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8F2" w:rsidP="003F6DBC" w:rsidRDefault="00C2575E" w14:paraId="6E361101" w14:textId="6AD46FC2">
      <w:r w:rsidRPr="00667BB5">
        <w:t xml:space="preserve">Tijdens de procedurevergadering van 16 april jl. heeft uw Kamer verzocht om </w:t>
      </w:r>
      <w:r w:rsidRPr="00667BB5" w:rsidR="00E442D1">
        <w:t xml:space="preserve">een brief </w:t>
      </w:r>
      <w:r w:rsidRPr="00667BB5">
        <w:t xml:space="preserve">over de stand van zaken en het voorgenomen beleid inzake ongewenste buitenlandse inmenging (OBI) en beïnvloeding in Nederland, inclusief de voortgang van het OBI-meldpunt. </w:t>
      </w:r>
      <w:r w:rsidRPr="00667BB5" w:rsidR="00832A94">
        <w:t>M</w:t>
      </w:r>
      <w:r w:rsidRPr="00667BB5" w:rsidR="00214DB9">
        <w:t xml:space="preserve">iddels deze brief </w:t>
      </w:r>
      <w:r w:rsidRPr="00667BB5" w:rsidR="00E442D1">
        <w:t>kom ik</w:t>
      </w:r>
      <w:r w:rsidRPr="00667BB5" w:rsidR="00214DB9">
        <w:t>, m</w:t>
      </w:r>
      <w:r w:rsidRPr="00667BB5" w:rsidR="00832A94">
        <w:t>ede namens de minister</w:t>
      </w:r>
      <w:r w:rsidRPr="00667BB5" w:rsidR="00527CAE">
        <w:t>s</w:t>
      </w:r>
      <w:r w:rsidRPr="00667BB5" w:rsidR="00832A94">
        <w:t xml:space="preserve"> van Buitenlandse Zaken,</w:t>
      </w:r>
      <w:r w:rsidRPr="00667BB5" w:rsidR="003D373A">
        <w:t xml:space="preserve"> Binnenlandse Zaken en Koninkrijksrelaties en </w:t>
      </w:r>
      <w:r w:rsidRPr="00667BB5" w:rsidR="0034319E">
        <w:t>Werk en Participatie</w:t>
      </w:r>
      <w:r w:rsidRPr="00667BB5" w:rsidR="00832A94">
        <w:t xml:space="preserve"> </w:t>
      </w:r>
      <w:r w:rsidRPr="00667BB5" w:rsidR="00E442D1">
        <w:t>tegemoet aan dit verzoek</w:t>
      </w:r>
      <w:r w:rsidR="007618F2">
        <w:t xml:space="preserve">. </w:t>
      </w:r>
      <w:r w:rsidR="00FB1A48">
        <w:t>Deze brief bevat</w:t>
      </w:r>
      <w:r w:rsidR="007618F2">
        <w:t xml:space="preserve"> de meest relevante </w:t>
      </w:r>
      <w:r w:rsidRPr="00667BB5" w:rsidR="007618F2">
        <w:t>ontwikkelingen inzake de aanpak van ongewenste buitenlandse inmenging en het tegengaan van ongewenste buitenlandse financiering</w:t>
      </w:r>
      <w:r w:rsidR="00FB1A48">
        <w:t>.</w:t>
      </w:r>
      <w:r w:rsidRPr="00667BB5" w:rsidR="00794BD9">
        <w:rPr>
          <w:rStyle w:val="Voetnootmarkering"/>
        </w:rPr>
        <w:footnoteReference w:id="1"/>
      </w:r>
      <w:r w:rsidR="00794BD9">
        <w:t xml:space="preserve"> Over relevante ontwikkelingen in het tegengaan van ongewenste buitenlandse beïnvloeding gericht op de democratie en het informeel onderwijs, wordt uw Kamer in het najaar separaat door mijn collega’s van Binnenlandse Zaken en Koninkrijksrelaties en Onderwijs, Cultuur en Wetenschap geïnformeerd.</w:t>
      </w:r>
    </w:p>
    <w:p w:rsidRPr="000D0190" w:rsidR="003F6DBC" w:rsidP="003F6DBC" w:rsidRDefault="003F6DBC" w14:paraId="02D6D494" w14:textId="77777777">
      <w:pPr>
        <w:rPr>
          <w:b/>
          <w:bCs/>
        </w:rPr>
      </w:pPr>
    </w:p>
    <w:p w:rsidRPr="004F5839" w:rsidR="00673FC6" w:rsidP="00673FC6" w:rsidRDefault="00673FC6" w14:paraId="10286C70" w14:textId="77777777">
      <w:pPr>
        <w:rPr>
          <w:b/>
          <w:bCs/>
        </w:rPr>
      </w:pPr>
      <w:r w:rsidRPr="004F5839">
        <w:rPr>
          <w:b/>
          <w:bCs/>
        </w:rPr>
        <w:t xml:space="preserve">Recente ontwikkelingen </w:t>
      </w:r>
    </w:p>
    <w:p w:rsidRPr="00C250C7" w:rsidR="00C250C7" w:rsidP="00C250C7" w:rsidRDefault="00C250C7" w14:paraId="2A7C3073" w14:textId="77777777">
      <w:pPr>
        <w:rPr>
          <w:i/>
          <w:iCs/>
        </w:rPr>
      </w:pPr>
      <w:r w:rsidRPr="00C250C7">
        <w:rPr>
          <w:i/>
          <w:iCs/>
        </w:rPr>
        <w:t>Ongewenste buitenlandse inmenging</w:t>
      </w:r>
    </w:p>
    <w:p w:rsidRPr="00C250C7" w:rsidR="00C250C7" w:rsidP="00C250C7" w:rsidRDefault="00C250C7" w14:paraId="795B8863" w14:textId="77777777">
      <w:r w:rsidRPr="00C250C7">
        <w:t>Ongewenste buitenlandse inmenging (of: statelijke inmenging) is een verzamelnaam voor allerlei grensoverschrijdende manieren waarop buitenlandse overheden zich proberen te mengen in de samenleving en democratische rechtsorde van Nederland.</w:t>
      </w:r>
      <w:r w:rsidRPr="00C250C7">
        <w:rPr>
          <w:vertAlign w:val="superscript"/>
        </w:rPr>
        <w:footnoteReference w:id="2"/>
      </w:r>
      <w:r w:rsidRPr="00C250C7">
        <w:t xml:space="preserve"> Laat ik vooropstellen: het kabinet vindt alle vormen van ongewenste buitenlandse inmenging volstrekt onacceptabel. Iedereen in Nederland moeten in vrijheid kunnen leven en eigen keuzes kunnen maken, zonder door autoriteiten van derde landen in die keuzes te worden beperkt. Net als uw Kamer is het kabinet zeer alert op dit fenomeen. Middels de </w:t>
      </w:r>
      <w:proofErr w:type="spellStart"/>
      <w:r w:rsidRPr="00C250C7">
        <w:t>Rijksbrede</w:t>
      </w:r>
      <w:proofErr w:type="spellEnd"/>
      <w:r w:rsidRPr="00C250C7">
        <w:t xml:space="preserve"> aanpak worden inmengingsactiviteiten van statelijke actoren sinds 2018 gecoördineerd tegengegaan. Op 17 oktober 2024 is uw Kamer over de voortgang van de verschillende maatregelen binnen deze aanpak geïnformeerd. In lijn met een eerdere toezegging, wordt de aanpak van ongewenste buitenlandse inmenging momenteel geëvalueerd.</w:t>
      </w:r>
      <w:r w:rsidRPr="00C250C7">
        <w:rPr>
          <w:vertAlign w:val="superscript"/>
        </w:rPr>
        <w:footnoteReference w:id="3"/>
      </w:r>
      <w:r w:rsidRPr="00C250C7">
        <w:t xml:space="preserve"> Deze beleidsevaluatie valt samen met de doorontwikkeling van de bredere aanpak van statelijke dreigingen. In het najaar wordt uw Kamer over de opvolging van de evaluatie in het kader van de ontwikkeling aanpak statelijke en hybride dreigingen geïnformeerd.</w:t>
      </w:r>
    </w:p>
    <w:p w:rsidR="00913338" w:rsidP="00D6257D" w:rsidRDefault="00913338" w14:paraId="00ACF87D" w14:textId="09155B26"/>
    <w:p w:rsidRPr="00C250C7" w:rsidR="00C250C7" w:rsidP="00C250C7" w:rsidRDefault="00C250C7" w14:paraId="7D4E4C77" w14:textId="4EFB8875">
      <w:pPr>
        <w:rPr>
          <w:i/>
          <w:iCs/>
        </w:rPr>
      </w:pPr>
      <w:r w:rsidRPr="00C250C7">
        <w:rPr>
          <w:i/>
          <w:iCs/>
        </w:rPr>
        <w:t>Vertrouwenslijn Buitenlandse Inmenging</w:t>
      </w:r>
    </w:p>
    <w:p w:rsidR="00F90E8F" w:rsidP="00C250C7" w:rsidRDefault="00C250C7" w14:paraId="30059767" w14:textId="2D79DE89">
      <w:r w:rsidRPr="00C250C7">
        <w:t xml:space="preserve">Sinds de zomer van 2023 kunnen burgers via verschillende ingangen bij de Rijksoverheid terecht om meldingen en signalen te delen over ongewenste </w:t>
      </w:r>
      <w:r w:rsidRPr="00C250C7">
        <w:lastRenderedPageBreak/>
        <w:t xml:space="preserve">buitenlandse inmenging. </w:t>
      </w:r>
      <w:r w:rsidR="00FB1A48">
        <w:t xml:space="preserve">Op deze manier </w:t>
      </w:r>
      <w:r w:rsidR="00794BD9">
        <w:t xml:space="preserve">wordt de drempel voor burgers om meldingen te doen bij de Rijksoverheid zo laag mogelijk gehouden en </w:t>
      </w:r>
      <w:r w:rsidRPr="00C250C7">
        <w:t>krijgt het kabinet meer zicht op dit fenomeen. In lijn met eerdere toezeggingen aan en moties van uw Kamer, werkt het kabinet aanvullend aan de totstandkoming van een centraal meldpunt buiten de Rijksoverheid.</w:t>
      </w:r>
      <w:r w:rsidRPr="00C250C7">
        <w:rPr>
          <w:vertAlign w:val="superscript"/>
        </w:rPr>
        <w:footnoteReference w:id="4"/>
      </w:r>
      <w:r w:rsidRPr="00C250C7">
        <w:t xml:space="preserve"> Daar moeten slachtoffers van ongewenste buitenlandse inmenging terecht kunnen voor een luisterend oor en handelingsperspectief. Mijn ambtsvoorganger heeft uw Kamer op 12 december 2025 over de stand van zaken </w:t>
      </w:r>
      <w:r w:rsidR="007618F2">
        <w:t>van</w:t>
      </w:r>
      <w:r w:rsidRPr="00C250C7" w:rsidR="007618F2">
        <w:t xml:space="preserve"> </w:t>
      </w:r>
      <w:r w:rsidRPr="00C250C7">
        <w:t>deze zogenaamde Vertrouwenslijn geïnformeerd.</w:t>
      </w:r>
      <w:r w:rsidRPr="00C250C7">
        <w:rPr>
          <w:vertAlign w:val="superscript"/>
        </w:rPr>
        <w:footnoteReference w:id="5"/>
      </w:r>
      <w:r w:rsidRPr="00C250C7">
        <w:t xml:space="preserve"> </w:t>
      </w:r>
    </w:p>
    <w:p w:rsidR="00F90E8F" w:rsidP="00C250C7" w:rsidRDefault="00F90E8F" w14:paraId="512B3511" w14:textId="77777777"/>
    <w:p w:rsidR="0070645A" w:rsidP="00C250C7" w:rsidRDefault="00C250C7" w14:paraId="28B3B6E5" w14:textId="2CB550CE">
      <w:r w:rsidRPr="00C250C7">
        <w:t>Het opzetten van een dergelijk centraal punt buiten de Rijksoverheid vraagt om een aantal randvoorwaarden voor functionaliteit en veiligheid, onder andere op het gebied van privacy en cybersecurity.</w:t>
      </w:r>
      <w:r w:rsidRPr="00C250C7">
        <w:rPr>
          <w:vertAlign w:val="superscript"/>
        </w:rPr>
        <w:footnoteReference w:id="6"/>
      </w:r>
      <w:r w:rsidRPr="00C250C7">
        <w:t xml:space="preserve"> Hoewel de voorbereidingen in een vergevorderd stadium verkeren, moet ik uw Kamer mededelen dat de beoogde operationalisering voor de zomerperiode niet langer realistisch is. Zeer recent is </w:t>
      </w:r>
      <w:r w:rsidR="00F27D5F">
        <w:t xml:space="preserve">uit een informeel gesprek met de Autoriteit Persoonsgegevens </w:t>
      </w:r>
      <w:r w:rsidRPr="00C250C7" w:rsidR="00545844">
        <w:t xml:space="preserve">gebleken </w:t>
      </w:r>
      <w:r w:rsidRPr="00C250C7">
        <w:t>dat de</w:t>
      </w:r>
      <w:r w:rsidR="00545844">
        <w:t xml:space="preserve"> opzet van het meldpunt op dit moment niet voldoet aan de vereisten van de AVG.</w:t>
      </w:r>
      <w:r w:rsidRPr="00C250C7">
        <w:t xml:space="preserve"> Dit noopt</w:t>
      </w:r>
      <w:r w:rsidR="009A5F8D">
        <w:t xml:space="preserve"> tot</w:t>
      </w:r>
      <w:r w:rsidRPr="00C250C7">
        <w:t xml:space="preserve"> </w:t>
      </w:r>
      <w:r w:rsidR="00545844">
        <w:t>overleg</w:t>
      </w:r>
      <w:r w:rsidRPr="00C250C7">
        <w:t xml:space="preserve"> en nader onderzoek. Met spoed worden de alternatieve mogelijkheden momenteel onderzocht, bijvoorbeeld in de vorm van een eigenstandig wetsvoorstel. Daarnaast worden de resultaten en (eventuele) aanbevelingen van de laatste technische risicoanalyse van de digitale infrastructuur voorafgaand aan de zomer verwacht.</w:t>
      </w:r>
      <w:r w:rsidR="0070645A">
        <w:t xml:space="preserve"> </w:t>
      </w:r>
      <w:r w:rsidR="007073B0">
        <w:t xml:space="preserve">Gezien de gevoeligheid van de informatie die binnenkomt bij de Vertrouwenslijn, </w:t>
      </w:r>
      <w:r w:rsidR="000652FC">
        <w:t xml:space="preserve">vind ik </w:t>
      </w:r>
      <w:r w:rsidR="007073B0">
        <w:t>het</w:t>
      </w:r>
      <w:r w:rsidR="000652FC">
        <w:t xml:space="preserve"> van groot belang om </w:t>
      </w:r>
      <w:r w:rsidR="007073B0">
        <w:t xml:space="preserve">deze </w:t>
      </w:r>
      <w:r w:rsidR="000652FC">
        <w:t xml:space="preserve">eventuele </w:t>
      </w:r>
      <w:r w:rsidR="007073B0">
        <w:t>technische aanbevelingen</w:t>
      </w:r>
      <w:r w:rsidR="000652FC">
        <w:t xml:space="preserve"> secuur te implementeren</w:t>
      </w:r>
      <w:r w:rsidR="007073B0">
        <w:t xml:space="preserve">. </w:t>
      </w:r>
      <w:r w:rsidR="00850E70">
        <w:t xml:space="preserve"> </w:t>
      </w:r>
    </w:p>
    <w:p w:rsidR="0070645A" w:rsidP="00C250C7" w:rsidRDefault="0070645A" w14:paraId="72102852" w14:textId="77777777"/>
    <w:p w:rsidRPr="00ED7B4E" w:rsidR="00166309" w:rsidP="00166309" w:rsidRDefault="00166309" w14:paraId="7D91B77F" w14:textId="1171A69B">
      <w:r w:rsidRPr="00C9564F">
        <w:t xml:space="preserve">Ik hecht eraan te benadrukken dat </w:t>
      </w:r>
      <w:r w:rsidR="005A0826">
        <w:t>de realisatie van de Vertrouwenslijn niet ter discussie staat.</w:t>
      </w:r>
      <w:r w:rsidRPr="00C9564F">
        <w:t xml:space="preserve"> Zoals ook beschreven in het </w:t>
      </w:r>
      <w:r w:rsidRPr="00C9564F" w:rsidR="00ED7B4E">
        <w:t>c</w:t>
      </w:r>
      <w:r w:rsidRPr="00C9564F">
        <w:t xml:space="preserve">oalitieakkoord, ziet de ambitie van het kabinet op dit thema voor een zo spoedig mogelijke start van een functioneel, maar bovenal veilig, meldpunt </w:t>
      </w:r>
      <w:r w:rsidRPr="00C9564F" w:rsidR="0020430D">
        <w:t>waar</w:t>
      </w:r>
      <w:r w:rsidRPr="00C9564F">
        <w:t xml:space="preserve"> slachtoffers van ongewenste buitenlandse inmenging</w:t>
      </w:r>
      <w:r w:rsidRPr="00C9564F" w:rsidR="0020430D">
        <w:t xml:space="preserve"> zo nodig anoniem terecht kunnen voor een melding van transnationale repressie</w:t>
      </w:r>
      <w:r w:rsidRPr="00C9564F">
        <w:t>.</w:t>
      </w:r>
      <w:r w:rsidRPr="00C9564F">
        <w:rPr>
          <w:rStyle w:val="Voetnootmarkering"/>
        </w:rPr>
        <w:footnoteReference w:id="7"/>
      </w:r>
      <w:r w:rsidRPr="00C9564F" w:rsidR="0020430D">
        <w:t xml:space="preserve"> Tegelijkertijd heb ik recht te doen aan de</w:t>
      </w:r>
      <w:r w:rsidRPr="00C9564F">
        <w:t xml:space="preserve"> daartoe noodzakelijke waarborgen op het gebied van privacy en (digitale) veiligheid. Ik zeg uw Kamer toe uiterlijk in het najaar te informeren over een aangepast tijdspad voor de start van de Vertrouwenslijn.</w:t>
      </w:r>
      <w:r>
        <w:t xml:space="preserve"> </w:t>
      </w:r>
    </w:p>
    <w:p w:rsidRPr="00C250C7" w:rsidR="00C250C7" w:rsidP="00166309" w:rsidRDefault="00C250C7" w14:paraId="1340B880" w14:textId="77777777">
      <w:pPr>
        <w:rPr>
          <w:i/>
          <w:iCs/>
        </w:rPr>
      </w:pPr>
    </w:p>
    <w:p w:rsidRPr="00C250C7" w:rsidR="00C250C7" w:rsidP="00C250C7" w:rsidRDefault="00C250C7" w14:paraId="34F2B435" w14:textId="77777777">
      <w:pPr>
        <w:rPr>
          <w:i/>
          <w:iCs/>
        </w:rPr>
      </w:pPr>
      <w:r w:rsidRPr="00C250C7">
        <w:rPr>
          <w:i/>
          <w:iCs/>
        </w:rPr>
        <w:t>Ongewenste buitenlandse financiering</w:t>
      </w:r>
    </w:p>
    <w:p w:rsidRPr="00C250C7" w:rsidR="00C250C7" w:rsidP="00C250C7" w:rsidRDefault="00C250C7" w14:paraId="5DF82773" w14:textId="525F3D21">
      <w:r w:rsidRPr="00C250C7">
        <w:t xml:space="preserve">Om effectief op te kunnen treden tegen ongewenste buitenlandse financiering dient de overheid </w:t>
      </w:r>
      <w:r w:rsidR="00BC128A">
        <w:t>zich</w:t>
      </w:r>
      <w:r w:rsidRPr="00C250C7">
        <w:t xml:space="preserve"> </w:t>
      </w:r>
      <w:r w:rsidR="00240611">
        <w:t>te richten</w:t>
      </w:r>
      <w:r w:rsidRPr="00C250C7">
        <w:t xml:space="preserve"> op specifieke vormen van financiering. Nederland kent daarom een systeem waarbij in de eerste plaats de inlichtingen- en veiligheidsdiensten onderzoek kunnen doen in de gevallen waarin er ernstige vermoedens zijn van financiering vanuit het buitenland die een gevaar opleveren voor de democratische rechtsorde of waardoor risico’s ontstaan voor de nationale veiligheid. Indien het ministerie van Buitenlandse Zaken notes verbales over financieringsstromen van derde landen ontvangt, kan BZ deze doorsturen naar de AIVD. Ook kent Nederland verschillende instrumenten om witwassen en terrorismefinanciering tegen te gaan. Zo analyseert de Financial Intelligence Unit Nederland (FIU) ongebruikelijke en verdachte transacties en kan de FIU deze </w:t>
      </w:r>
      <w:r w:rsidRPr="00C250C7">
        <w:lastRenderedPageBreak/>
        <w:t xml:space="preserve">delen met de opsporings-, inlichtingen- en veiligheidsdiensten om hierop te acteren. </w:t>
      </w:r>
    </w:p>
    <w:p w:rsidRPr="00C250C7" w:rsidR="00C250C7" w:rsidP="00C250C7" w:rsidRDefault="00C250C7" w14:paraId="140E4A96" w14:textId="77777777"/>
    <w:p w:rsidRPr="00C250C7" w:rsidR="00C250C7" w:rsidP="00C250C7" w:rsidRDefault="00C250C7" w14:paraId="03500DE0" w14:textId="77777777">
      <w:r w:rsidRPr="00C250C7">
        <w:t xml:space="preserve">Daarnaast blijft Europese samenwerking in de aanpak van ongewenste buitenlandse financiering van belang. Binnen het Radicalisation Awareness Netwerk (RAN) en diens opvolger de EU Knowledge Hub on Prevention of Radicalisation, wordt gewerkt aan bewustwording over het onderwerp binnen de lidstaten. Dit onder andere in de vorm van het delen van best practices en het komen tot mogelijke maatregelen. </w:t>
      </w:r>
    </w:p>
    <w:p w:rsidRPr="00C250C7" w:rsidR="00C250C7" w:rsidP="00C250C7" w:rsidRDefault="00C250C7" w14:paraId="3130F263" w14:textId="77777777">
      <w:pPr>
        <w:rPr>
          <w:b/>
          <w:bCs/>
        </w:rPr>
      </w:pPr>
    </w:p>
    <w:p w:rsidRPr="00ED7B4E" w:rsidR="00E26C60" w:rsidP="00E26C60" w:rsidRDefault="00E26C60" w14:paraId="41F0A535" w14:textId="400803FC">
      <w:pPr>
        <w:rPr>
          <w:color w:val="auto"/>
        </w:rPr>
      </w:pPr>
      <w:r w:rsidRPr="00C9564F">
        <w:rPr>
          <w:color w:val="auto"/>
        </w:rPr>
        <w:t xml:space="preserve">Uit het eindverslag van de Parlementaire Ondervragingscommissie Ongewenste Beïnvloeding (POCOB) in 2020 </w:t>
      </w:r>
      <w:r w:rsidR="00240611">
        <w:rPr>
          <w:color w:val="auto"/>
        </w:rPr>
        <w:t xml:space="preserve">bleek </w:t>
      </w:r>
      <w:r w:rsidRPr="00C9564F">
        <w:rPr>
          <w:color w:val="auto"/>
        </w:rPr>
        <w:t xml:space="preserve">dat sprake </w:t>
      </w:r>
      <w:r w:rsidR="00240611">
        <w:rPr>
          <w:color w:val="auto"/>
        </w:rPr>
        <w:t xml:space="preserve">was </w:t>
      </w:r>
      <w:r w:rsidRPr="00C9564F">
        <w:rPr>
          <w:color w:val="auto"/>
        </w:rPr>
        <w:t>van beïnvloeding van maatschappelijke organisaties in Nederland, door of vanuit onvrije landen.</w:t>
      </w:r>
      <w:r w:rsidRPr="00C9564F">
        <w:rPr>
          <w:rStyle w:val="Voetnootmarkering"/>
          <w:color w:val="auto"/>
        </w:rPr>
        <w:footnoteReference w:id="8"/>
      </w:r>
      <w:r w:rsidRPr="00C9564F">
        <w:rPr>
          <w:color w:val="auto"/>
        </w:rPr>
        <w:t xml:space="preserve"> De Wet transparantie en tegengaan ondermijning door maatschappelijke organisaties (Wtmo) moest de overheid onder andere helpen bij het tegengaan van financiering van activiteiten die de democratische rechtsstaat ondermijnen. Met dit voorstel werd onwenselijke buitenlandse beïnvloeding door middel van ontvangen donaties bij maatschappelijke organisaties in Nederland tegengegaan.</w:t>
      </w:r>
      <w:r w:rsidR="006B6B15">
        <w:rPr>
          <w:color w:val="auto"/>
        </w:rPr>
        <w:t xml:space="preserve"> </w:t>
      </w:r>
      <w:r w:rsidRPr="00C9564F">
        <w:rPr>
          <w:color w:val="auto"/>
        </w:rPr>
        <w:t xml:space="preserve">Het verdient aandacht dat de Wtmo op 24 maart jl. door de Eerste Kamer is verworpen. </w:t>
      </w:r>
      <w:r w:rsidRPr="00A34B25" w:rsidR="006B6B15">
        <w:rPr>
          <w:color w:val="auto"/>
        </w:rPr>
        <w:t>Het kabinet beziet momenteel welke aanvullende instrumenten – eventueel via lopende en/of voorgenomen wetsvoorstellen - kunnen worden ingebouwd om ongewenste buitenlandse financiering te voorkomen</w:t>
      </w:r>
      <w:r w:rsidR="006B6B15">
        <w:rPr>
          <w:color w:val="auto"/>
        </w:rPr>
        <w:t xml:space="preserve">. </w:t>
      </w:r>
    </w:p>
    <w:p w:rsidR="0043425F" w:rsidP="00226A0F" w:rsidRDefault="0043425F" w14:paraId="78D73130" w14:textId="77777777">
      <w:pPr>
        <w:rPr>
          <w:i/>
          <w:iCs/>
        </w:rPr>
      </w:pPr>
    </w:p>
    <w:p w:rsidR="00226A0F" w:rsidP="00226A0F" w:rsidRDefault="00226A0F" w14:paraId="046D41AE" w14:textId="77777777">
      <w:r>
        <w:rPr>
          <w:b/>
          <w:bCs/>
        </w:rPr>
        <w:t>Tot slot</w:t>
      </w:r>
    </w:p>
    <w:p w:rsidRPr="000D0190" w:rsidR="003F6DBC" w:rsidP="003F6DBC" w:rsidRDefault="007D7437" w14:paraId="3C98B89D" w14:textId="3688DBF5">
      <w:pPr>
        <w:rPr>
          <w:i/>
          <w:iCs/>
          <w:color w:val="FF0000"/>
        </w:rPr>
      </w:pPr>
      <w:r w:rsidRPr="000D0190">
        <w:rPr>
          <w:color w:val="auto"/>
        </w:rPr>
        <w:t>Met deze brief heb</w:t>
      </w:r>
      <w:r w:rsidR="006F2286">
        <w:rPr>
          <w:color w:val="auto"/>
        </w:rPr>
        <w:t xml:space="preserve"> ik</w:t>
      </w:r>
      <w:r w:rsidR="00230ABA">
        <w:rPr>
          <w:color w:val="auto"/>
        </w:rPr>
        <w:t xml:space="preserve"> de meest relevante ontwikkelingen ten aanzien van het </w:t>
      </w:r>
      <w:r w:rsidRPr="000D0190">
        <w:rPr>
          <w:color w:val="auto"/>
        </w:rPr>
        <w:t>actuele beleid inzake ongewenste buitenlandse inmenging en beïnvloeding</w:t>
      </w:r>
      <w:r w:rsidR="00230ABA">
        <w:rPr>
          <w:color w:val="auto"/>
        </w:rPr>
        <w:t xml:space="preserve"> beschreven</w:t>
      </w:r>
      <w:r w:rsidRPr="000D0190">
        <w:rPr>
          <w:color w:val="auto"/>
        </w:rPr>
        <w:t xml:space="preserve">. </w:t>
      </w:r>
      <w:r w:rsidRPr="000D0190" w:rsidR="008D1C70">
        <w:rPr>
          <w:color w:val="auto"/>
        </w:rPr>
        <w:t xml:space="preserve">Ik hecht eraan te benadrukken dat de ambitie van het kabinet, net als uw Kamer, ziet op </w:t>
      </w:r>
      <w:r w:rsidRPr="000D0190" w:rsidR="00092D20">
        <w:rPr>
          <w:color w:val="auto"/>
        </w:rPr>
        <w:t>een veilig Nederland</w:t>
      </w:r>
      <w:r w:rsidR="00866D89">
        <w:rPr>
          <w:color w:val="auto"/>
        </w:rPr>
        <w:t xml:space="preserve">, </w:t>
      </w:r>
      <w:r w:rsidRPr="000D0190" w:rsidR="00092D20">
        <w:rPr>
          <w:color w:val="auto"/>
        </w:rPr>
        <w:t>dat vrij is</w:t>
      </w:r>
      <w:r w:rsidRPr="000D0190" w:rsidR="008D1C70">
        <w:rPr>
          <w:color w:val="auto"/>
        </w:rPr>
        <w:t xml:space="preserve"> van ongewenste buitenlandse inmenging en beïnvloeding</w:t>
      </w:r>
      <w:r w:rsidRPr="000D0190" w:rsidR="008D1C70">
        <w:rPr>
          <w:i/>
          <w:iCs/>
          <w:color w:val="auto"/>
        </w:rPr>
        <w:t>.</w:t>
      </w:r>
      <w:r w:rsidRPr="000D0190" w:rsidR="008D1C70">
        <w:rPr>
          <w:color w:val="auto"/>
        </w:rPr>
        <w:t xml:space="preserve"> </w:t>
      </w:r>
      <w:r w:rsidR="008D1C70">
        <w:t>De maatschappelijke urgentie en elkaar snel opvolgende geopolitieke ontwikkelingen nopen daartoe.</w:t>
      </w:r>
      <w:r w:rsidR="00092D20">
        <w:t xml:space="preserve"> </w:t>
      </w:r>
      <w:r w:rsidR="008D1C70">
        <w:t xml:space="preserve">Tegelijkertijd acht ik het van wezenlijk belang dat maatregelen </w:t>
      </w:r>
      <w:r w:rsidR="00866D89">
        <w:t xml:space="preserve">op het meest actuele dreigingsbeeld worden gebaseerd en </w:t>
      </w:r>
      <w:r w:rsidR="008D1C70">
        <w:t>voldoen aan de vereiste randvoorwaarden</w:t>
      </w:r>
      <w:r w:rsidR="008C1D2A">
        <w:t>. I</w:t>
      </w:r>
      <w:r w:rsidR="008D1C70">
        <w:t xml:space="preserve">n het bijzonder </w:t>
      </w:r>
      <w:r w:rsidR="00866D89">
        <w:t>d</w:t>
      </w:r>
      <w:r w:rsidR="008D1C70">
        <w:t>aar</w:t>
      </w:r>
      <w:r w:rsidR="00866D89">
        <w:t xml:space="preserve"> waar</w:t>
      </w:r>
      <w:r w:rsidR="008D1C70">
        <w:t xml:space="preserve"> het de veiligheid en zorgvuldige behandeling van slachtoffers betreft. </w:t>
      </w:r>
    </w:p>
    <w:p w:rsidR="008D1C70" w:rsidP="007D7437" w:rsidRDefault="008D1C70" w14:paraId="528D2687" w14:textId="32E8891B"/>
    <w:p w:rsidR="00226A0F" w:rsidP="00226A0F" w:rsidRDefault="00226A0F" w14:paraId="5434092C" w14:textId="77777777"/>
    <w:p w:rsidR="00226A0F" w:rsidP="00226A0F" w:rsidRDefault="00226A0F" w14:paraId="6B50CF79" w14:textId="77777777">
      <w:r>
        <w:t xml:space="preserve">De Minister van Justitie en Veiligheid, </w:t>
      </w:r>
    </w:p>
    <w:p w:rsidR="00226A0F" w:rsidP="00226A0F" w:rsidRDefault="00226A0F" w14:paraId="163443C7" w14:textId="77777777"/>
    <w:p w:rsidR="00226A0F" w:rsidP="00226A0F" w:rsidRDefault="00226A0F" w14:paraId="6E18F5A4" w14:textId="77777777"/>
    <w:p w:rsidR="00226A0F" w:rsidP="00226A0F" w:rsidRDefault="00226A0F" w14:paraId="4E94984D" w14:textId="77777777"/>
    <w:p w:rsidR="007E7ECD" w:rsidP="00226A0F" w:rsidRDefault="007E7ECD" w14:paraId="5474FFCD" w14:textId="77777777"/>
    <w:p w:rsidRPr="009A2693" w:rsidR="00226A0F" w:rsidP="00226A0F" w:rsidRDefault="00226A0F" w14:paraId="35A3A867" w14:textId="77777777">
      <w:r>
        <w:t>D.M. van Weel</w:t>
      </w:r>
    </w:p>
    <w:p w:rsidR="007B27F9" w:rsidRDefault="007B27F9" w14:paraId="6E071167" w14:textId="77777777"/>
    <w:sectPr w:rsidR="007B27F9" w:rsidSect="00226A0F">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ADCD" w14:textId="77777777" w:rsidR="00784880" w:rsidRDefault="00784880" w:rsidP="00226A0F">
      <w:pPr>
        <w:spacing w:line="240" w:lineRule="auto"/>
      </w:pPr>
      <w:r>
        <w:separator/>
      </w:r>
    </w:p>
  </w:endnote>
  <w:endnote w:type="continuationSeparator" w:id="0">
    <w:p w14:paraId="1904C691" w14:textId="77777777" w:rsidR="00784880" w:rsidRDefault="00784880" w:rsidP="00226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85FF" w14:textId="77777777" w:rsidR="000A3879" w:rsidRDefault="000A387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E25E" w14:textId="77777777" w:rsidR="00784880" w:rsidRDefault="00784880" w:rsidP="00226A0F">
      <w:pPr>
        <w:spacing w:line="240" w:lineRule="auto"/>
      </w:pPr>
      <w:r>
        <w:separator/>
      </w:r>
    </w:p>
  </w:footnote>
  <w:footnote w:type="continuationSeparator" w:id="0">
    <w:p w14:paraId="32C799EE" w14:textId="77777777" w:rsidR="00784880" w:rsidRDefault="00784880" w:rsidP="00226A0F">
      <w:pPr>
        <w:spacing w:line="240" w:lineRule="auto"/>
      </w:pPr>
      <w:r>
        <w:continuationSeparator/>
      </w:r>
    </w:p>
  </w:footnote>
  <w:footnote w:id="1">
    <w:p w14:paraId="1B4C3857" w14:textId="77777777" w:rsidR="00794BD9" w:rsidRPr="003F6DBC" w:rsidRDefault="00794BD9" w:rsidP="00794BD9">
      <w:pPr>
        <w:pStyle w:val="Voetnoottekst"/>
        <w:rPr>
          <w:sz w:val="14"/>
          <w:szCs w:val="14"/>
        </w:rPr>
      </w:pPr>
      <w:r w:rsidRPr="003F6DBC">
        <w:rPr>
          <w:rStyle w:val="Voetnootmarkering"/>
          <w:sz w:val="14"/>
          <w:szCs w:val="14"/>
        </w:rPr>
        <w:footnoteRef/>
      </w:r>
      <w:r w:rsidRPr="003F6DBC">
        <w:rPr>
          <w:sz w:val="14"/>
          <w:szCs w:val="14"/>
        </w:rPr>
        <w:t xml:space="preserve"> Kamerstuk 30 821, nr. 258</w:t>
      </w:r>
    </w:p>
  </w:footnote>
  <w:footnote w:id="2">
    <w:p w14:paraId="478C2B49" w14:textId="77777777" w:rsidR="00C250C7" w:rsidRDefault="00C250C7" w:rsidP="00C250C7">
      <w:pPr>
        <w:pStyle w:val="Voetnoottekst"/>
        <w:rPr>
          <w:sz w:val="14"/>
          <w:szCs w:val="14"/>
        </w:rPr>
      </w:pPr>
      <w:r>
        <w:rPr>
          <w:rStyle w:val="Voetnootmarkering"/>
          <w:sz w:val="14"/>
          <w:szCs w:val="14"/>
        </w:rPr>
        <w:footnoteRef/>
      </w:r>
      <w:r>
        <w:rPr>
          <w:sz w:val="14"/>
          <w:szCs w:val="14"/>
        </w:rPr>
        <w:t xml:space="preserve"> AIVD en NCTV. </w:t>
      </w:r>
      <w:r>
        <w:rPr>
          <w:i/>
          <w:iCs/>
          <w:sz w:val="14"/>
          <w:szCs w:val="14"/>
        </w:rPr>
        <w:t>Over de grens. Statelijke inmenging in diasporagemeenschappen in Nederland.</w:t>
      </w:r>
      <w:r>
        <w:rPr>
          <w:sz w:val="14"/>
          <w:szCs w:val="14"/>
        </w:rPr>
        <w:t xml:space="preserve"> Oktober 2024.</w:t>
      </w:r>
    </w:p>
  </w:footnote>
  <w:footnote w:id="3">
    <w:p w14:paraId="676569F5" w14:textId="77777777" w:rsidR="00C250C7" w:rsidRDefault="00C250C7" w:rsidP="00C250C7">
      <w:pPr>
        <w:pStyle w:val="Voetnoottekst"/>
        <w:rPr>
          <w:sz w:val="12"/>
          <w:szCs w:val="12"/>
        </w:rPr>
      </w:pPr>
      <w:r>
        <w:rPr>
          <w:rStyle w:val="Voetnootmarkering"/>
          <w:sz w:val="12"/>
          <w:szCs w:val="12"/>
        </w:rPr>
        <w:footnoteRef/>
      </w:r>
      <w:r>
        <w:rPr>
          <w:sz w:val="12"/>
          <w:szCs w:val="12"/>
        </w:rPr>
        <w:t xml:space="preserve"> Kamerstuk 30 821, nr. 180</w:t>
      </w:r>
    </w:p>
  </w:footnote>
  <w:footnote w:id="4">
    <w:p w14:paraId="60469CC5" w14:textId="17D45E68" w:rsidR="00C250C7" w:rsidRDefault="00C250C7" w:rsidP="00C250C7">
      <w:pPr>
        <w:pStyle w:val="Voetnoottekst"/>
        <w:rPr>
          <w:sz w:val="14"/>
          <w:szCs w:val="14"/>
        </w:rPr>
      </w:pPr>
      <w:r>
        <w:rPr>
          <w:rStyle w:val="Voetnootmarkering"/>
          <w:sz w:val="14"/>
          <w:szCs w:val="14"/>
        </w:rPr>
        <w:footnoteRef/>
      </w:r>
      <w:r>
        <w:rPr>
          <w:sz w:val="14"/>
          <w:szCs w:val="14"/>
        </w:rPr>
        <w:t xml:space="preserve"> Kenmerk 35228, nr. 44 en Kenmerk 36 200 V, nr. 34</w:t>
      </w:r>
    </w:p>
  </w:footnote>
  <w:footnote w:id="5">
    <w:p w14:paraId="0FF90A23" w14:textId="77777777" w:rsidR="00C250C7" w:rsidRDefault="00C250C7" w:rsidP="00C250C7">
      <w:pPr>
        <w:pStyle w:val="Voetnoottekst"/>
        <w:rPr>
          <w:sz w:val="14"/>
          <w:szCs w:val="14"/>
        </w:rPr>
      </w:pPr>
      <w:r>
        <w:rPr>
          <w:rStyle w:val="Voetnootmarkering"/>
          <w:sz w:val="14"/>
          <w:szCs w:val="14"/>
        </w:rPr>
        <w:footnoteRef/>
      </w:r>
      <w:r>
        <w:rPr>
          <w:sz w:val="14"/>
          <w:szCs w:val="14"/>
        </w:rPr>
        <w:t xml:space="preserve"> Kamerstuk 30 821, nr. 325. </w:t>
      </w:r>
    </w:p>
  </w:footnote>
  <w:footnote w:id="6">
    <w:p w14:paraId="600688A6" w14:textId="77777777" w:rsidR="00C250C7" w:rsidRDefault="00C250C7" w:rsidP="00C250C7">
      <w:pPr>
        <w:pStyle w:val="Voetnoottekst"/>
        <w:rPr>
          <w:sz w:val="14"/>
          <w:szCs w:val="14"/>
        </w:rPr>
      </w:pPr>
      <w:r>
        <w:rPr>
          <w:rStyle w:val="Voetnootmarkering"/>
          <w:sz w:val="14"/>
          <w:szCs w:val="14"/>
        </w:rPr>
        <w:footnoteRef/>
      </w:r>
      <w:r>
        <w:rPr>
          <w:sz w:val="14"/>
          <w:szCs w:val="14"/>
        </w:rPr>
        <w:t xml:space="preserve"> Zie o.a. AIVD, MIVD en NCTV. </w:t>
      </w:r>
      <w:r>
        <w:rPr>
          <w:i/>
          <w:iCs/>
          <w:sz w:val="14"/>
          <w:szCs w:val="14"/>
        </w:rPr>
        <w:t>Dreigingsbeeld Statelijke Actoren 2025</w:t>
      </w:r>
      <w:r>
        <w:rPr>
          <w:sz w:val="14"/>
          <w:szCs w:val="14"/>
        </w:rPr>
        <w:t xml:space="preserve">. Juli 2025 &amp; NCTV. </w:t>
      </w:r>
      <w:r>
        <w:rPr>
          <w:i/>
          <w:iCs/>
          <w:sz w:val="14"/>
          <w:szCs w:val="14"/>
        </w:rPr>
        <w:t>Cybersecuritybeeld Nederland</w:t>
      </w:r>
      <w:r>
        <w:rPr>
          <w:sz w:val="14"/>
          <w:szCs w:val="14"/>
        </w:rPr>
        <w:t>. November 2025.</w:t>
      </w:r>
    </w:p>
  </w:footnote>
  <w:footnote w:id="7">
    <w:p w14:paraId="6C81B46D" w14:textId="6D08275C" w:rsidR="00166309" w:rsidRPr="00B006B8" w:rsidRDefault="00166309" w:rsidP="00166309">
      <w:pPr>
        <w:pStyle w:val="Voetnoottekst"/>
        <w:rPr>
          <w:sz w:val="14"/>
          <w:szCs w:val="14"/>
        </w:rPr>
      </w:pPr>
      <w:r w:rsidRPr="00B006B8">
        <w:rPr>
          <w:rStyle w:val="Voetnootmarkering"/>
          <w:sz w:val="14"/>
          <w:szCs w:val="14"/>
        </w:rPr>
        <w:footnoteRef/>
      </w:r>
      <w:r w:rsidRPr="00B006B8">
        <w:rPr>
          <w:sz w:val="14"/>
          <w:szCs w:val="14"/>
        </w:rPr>
        <w:t xml:space="preserve"> </w:t>
      </w:r>
      <w:r w:rsidR="00ED7B4E" w:rsidRPr="00B006B8">
        <w:rPr>
          <w:sz w:val="14"/>
          <w:szCs w:val="14"/>
        </w:rPr>
        <w:t xml:space="preserve">Zie </w:t>
      </w:r>
      <w:r w:rsidR="00B006B8">
        <w:rPr>
          <w:sz w:val="14"/>
          <w:szCs w:val="14"/>
        </w:rPr>
        <w:t>C</w:t>
      </w:r>
      <w:r w:rsidR="00ED7B4E" w:rsidRPr="00B006B8">
        <w:rPr>
          <w:sz w:val="14"/>
          <w:szCs w:val="14"/>
        </w:rPr>
        <w:t xml:space="preserve">oalitieakkoord </w:t>
      </w:r>
      <w:proofErr w:type="spellStart"/>
      <w:r w:rsidR="00ED7B4E">
        <w:rPr>
          <w:sz w:val="14"/>
          <w:szCs w:val="14"/>
        </w:rPr>
        <w:t>Jetten</w:t>
      </w:r>
      <w:proofErr w:type="spellEnd"/>
      <w:r w:rsidR="00ED7B4E">
        <w:rPr>
          <w:sz w:val="14"/>
          <w:szCs w:val="14"/>
        </w:rPr>
        <w:t xml:space="preserve"> I </w:t>
      </w:r>
      <w:r w:rsidR="00B006B8">
        <w:rPr>
          <w:sz w:val="14"/>
          <w:szCs w:val="14"/>
        </w:rPr>
        <w:t>“</w:t>
      </w:r>
      <w:r w:rsidR="00ED7B4E" w:rsidRPr="00B006B8">
        <w:rPr>
          <w:i/>
          <w:iCs/>
          <w:sz w:val="14"/>
          <w:szCs w:val="14"/>
        </w:rPr>
        <w:t>Aan de slag 2026-2030</w:t>
      </w:r>
      <w:r w:rsidR="00B006B8">
        <w:rPr>
          <w:i/>
          <w:iCs/>
          <w:sz w:val="14"/>
          <w:szCs w:val="14"/>
        </w:rPr>
        <w:t>”</w:t>
      </w:r>
      <w:r w:rsidR="00ED7B4E" w:rsidRPr="00B006B8">
        <w:rPr>
          <w:i/>
          <w:iCs/>
          <w:sz w:val="14"/>
          <w:szCs w:val="14"/>
        </w:rPr>
        <w:t xml:space="preserve">, </w:t>
      </w:r>
      <w:r w:rsidR="00ED7B4E" w:rsidRPr="00B006B8">
        <w:rPr>
          <w:sz w:val="14"/>
          <w:szCs w:val="14"/>
        </w:rPr>
        <w:t>p.39</w:t>
      </w:r>
      <w:r w:rsidR="00ED7B4E" w:rsidRPr="00B006B8">
        <w:rPr>
          <w:i/>
          <w:iCs/>
          <w:sz w:val="14"/>
          <w:szCs w:val="14"/>
        </w:rPr>
        <w:t xml:space="preserve">. </w:t>
      </w:r>
    </w:p>
  </w:footnote>
  <w:footnote w:id="8">
    <w:p w14:paraId="47FEB2F4" w14:textId="77777777" w:rsidR="00E26C60" w:rsidRPr="00924C2D" w:rsidRDefault="00E26C60" w:rsidP="00E26C60">
      <w:pPr>
        <w:pStyle w:val="Voetnoottekst"/>
        <w:rPr>
          <w:sz w:val="14"/>
          <w:szCs w:val="14"/>
        </w:rPr>
      </w:pPr>
      <w:r w:rsidRPr="00DB64BF">
        <w:rPr>
          <w:rStyle w:val="Voetnootmarkering"/>
          <w:sz w:val="14"/>
          <w:szCs w:val="14"/>
        </w:rPr>
        <w:footnoteRef/>
      </w:r>
      <w:r w:rsidRPr="00DB64BF">
        <w:rPr>
          <w:sz w:val="14"/>
          <w:szCs w:val="14"/>
        </w:rPr>
        <w:t xml:space="preserve"> Kamerstukken II 2019/20, 35 288, nr.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1B75" w14:textId="77777777" w:rsidR="000A3879" w:rsidRDefault="00F723F3">
    <w:r>
      <w:rPr>
        <w:noProof/>
      </w:rPr>
      <mc:AlternateContent>
        <mc:Choice Requires="wps">
          <w:drawing>
            <wp:anchor distT="0" distB="0" distL="0" distR="0" simplePos="0" relativeHeight="251659264" behindDoc="0" locked="1" layoutInCell="1" allowOverlap="1" wp14:anchorId="710F6797" wp14:editId="7705F79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C7AB9A" w14:textId="77777777" w:rsidR="000A3879" w:rsidRDefault="00F723F3">
                          <w:pPr>
                            <w:pStyle w:val="Referentiegegevensbold"/>
                          </w:pPr>
                          <w:r>
                            <w:t>Nationaal Coördinator Terrorismebestrijding en Veiligheid</w:t>
                          </w:r>
                        </w:p>
                        <w:p w14:paraId="7E0F11CD" w14:textId="77777777" w:rsidR="000A3879" w:rsidRDefault="00F723F3">
                          <w:pPr>
                            <w:pStyle w:val="Referentiegegevens"/>
                          </w:pPr>
                          <w:r>
                            <w:t>Cybersecurity en Statelijke dreigingen</w:t>
                          </w:r>
                        </w:p>
                        <w:p w14:paraId="232AE407" w14:textId="77777777" w:rsidR="000A3879" w:rsidRDefault="00F723F3">
                          <w:pPr>
                            <w:pStyle w:val="Referentiegegevens"/>
                          </w:pPr>
                          <w:r>
                            <w:t>Statelijke Dreigingen</w:t>
                          </w:r>
                        </w:p>
                        <w:p w14:paraId="3F7AB271" w14:textId="77777777" w:rsidR="000A3879" w:rsidRDefault="000A3879">
                          <w:pPr>
                            <w:pStyle w:val="WitregelW2"/>
                          </w:pPr>
                        </w:p>
                        <w:p w14:paraId="611C60FB" w14:textId="77777777" w:rsidR="000A3879" w:rsidRDefault="00F723F3">
                          <w:pPr>
                            <w:pStyle w:val="Referentiegegevensbold"/>
                          </w:pPr>
                          <w:r>
                            <w:t>Datum</w:t>
                          </w:r>
                        </w:p>
                        <w:p w14:paraId="18C16569" w14:textId="6A92A835" w:rsidR="000A3879" w:rsidRDefault="004B656A">
                          <w:pPr>
                            <w:pStyle w:val="Referentiegegevens"/>
                          </w:pPr>
                          <w:sdt>
                            <w:sdtPr>
                              <w:id w:val="-1191605050"/>
                              <w:date w:fullDate="2026-06-04T00:00:00Z">
                                <w:dateFormat w:val="d MMMM yyyy"/>
                                <w:lid w:val="nl"/>
                                <w:storeMappedDataAs w:val="dateTime"/>
                                <w:calendar w:val="gregorian"/>
                              </w:date>
                            </w:sdtPr>
                            <w:sdtEndPr/>
                            <w:sdtContent>
                              <w:r w:rsidR="007E7ECD">
                                <w:rPr>
                                  <w:lang w:val="nl"/>
                                </w:rPr>
                                <w:t>4 juni 2026</w:t>
                              </w:r>
                            </w:sdtContent>
                          </w:sdt>
                        </w:p>
                        <w:p w14:paraId="4E5C3A05" w14:textId="77777777" w:rsidR="000A3879" w:rsidRDefault="000A3879">
                          <w:pPr>
                            <w:pStyle w:val="WitregelW1"/>
                          </w:pPr>
                        </w:p>
                        <w:p w14:paraId="432AB998" w14:textId="77777777" w:rsidR="000A3879" w:rsidRDefault="00F723F3">
                          <w:pPr>
                            <w:pStyle w:val="Referentiegegevensbold"/>
                          </w:pPr>
                          <w:r>
                            <w:t>Onze referentie</w:t>
                          </w:r>
                        </w:p>
                        <w:p w14:paraId="591EC5A6" w14:textId="72903E4B" w:rsidR="000A3879" w:rsidRDefault="00DD1454">
                          <w:pPr>
                            <w:pStyle w:val="Referentiegegevens"/>
                          </w:pPr>
                          <w:r>
                            <w:t>7607</w:t>
                          </w:r>
                          <w:r w:rsidR="005318BA">
                            <w:t>801</w:t>
                          </w:r>
                        </w:p>
                      </w:txbxContent>
                    </wps:txbx>
                    <wps:bodyPr vert="horz" wrap="square" lIns="0" tIns="0" rIns="0" bIns="0" anchor="t" anchorCtr="0"/>
                  </wps:wsp>
                </a:graphicData>
              </a:graphic>
            </wp:anchor>
          </w:drawing>
        </mc:Choice>
        <mc:Fallback>
          <w:pict>
            <v:shapetype w14:anchorId="710F679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3C7AB9A" w14:textId="77777777" w:rsidR="000A3879" w:rsidRDefault="00F723F3">
                    <w:pPr>
                      <w:pStyle w:val="Referentiegegevensbold"/>
                    </w:pPr>
                    <w:r>
                      <w:t>Nationaal Coördinator Terrorismebestrijding en Veiligheid</w:t>
                    </w:r>
                  </w:p>
                  <w:p w14:paraId="7E0F11CD" w14:textId="77777777" w:rsidR="000A3879" w:rsidRDefault="00F723F3">
                    <w:pPr>
                      <w:pStyle w:val="Referentiegegevens"/>
                    </w:pPr>
                    <w:r>
                      <w:t>Cybersecurity en Statelijke dreigingen</w:t>
                    </w:r>
                  </w:p>
                  <w:p w14:paraId="232AE407" w14:textId="77777777" w:rsidR="000A3879" w:rsidRDefault="00F723F3">
                    <w:pPr>
                      <w:pStyle w:val="Referentiegegevens"/>
                    </w:pPr>
                    <w:r>
                      <w:t>Statelijke Dreigingen</w:t>
                    </w:r>
                  </w:p>
                  <w:p w14:paraId="3F7AB271" w14:textId="77777777" w:rsidR="000A3879" w:rsidRDefault="000A3879">
                    <w:pPr>
                      <w:pStyle w:val="WitregelW2"/>
                    </w:pPr>
                  </w:p>
                  <w:p w14:paraId="611C60FB" w14:textId="77777777" w:rsidR="000A3879" w:rsidRDefault="00F723F3">
                    <w:pPr>
                      <w:pStyle w:val="Referentiegegevensbold"/>
                    </w:pPr>
                    <w:r>
                      <w:t>Datum</w:t>
                    </w:r>
                  </w:p>
                  <w:p w14:paraId="18C16569" w14:textId="6A92A835" w:rsidR="000A3879" w:rsidRDefault="004B656A">
                    <w:pPr>
                      <w:pStyle w:val="Referentiegegevens"/>
                    </w:pPr>
                    <w:sdt>
                      <w:sdtPr>
                        <w:id w:val="-1191605050"/>
                        <w:date w:fullDate="2026-06-04T00:00:00Z">
                          <w:dateFormat w:val="d MMMM yyyy"/>
                          <w:lid w:val="nl"/>
                          <w:storeMappedDataAs w:val="dateTime"/>
                          <w:calendar w:val="gregorian"/>
                        </w:date>
                      </w:sdtPr>
                      <w:sdtEndPr/>
                      <w:sdtContent>
                        <w:r w:rsidR="007E7ECD">
                          <w:rPr>
                            <w:lang w:val="nl"/>
                          </w:rPr>
                          <w:t>4 juni 2026</w:t>
                        </w:r>
                      </w:sdtContent>
                    </w:sdt>
                  </w:p>
                  <w:p w14:paraId="4E5C3A05" w14:textId="77777777" w:rsidR="000A3879" w:rsidRDefault="000A3879">
                    <w:pPr>
                      <w:pStyle w:val="WitregelW1"/>
                    </w:pPr>
                  </w:p>
                  <w:p w14:paraId="432AB998" w14:textId="77777777" w:rsidR="000A3879" w:rsidRDefault="00F723F3">
                    <w:pPr>
                      <w:pStyle w:val="Referentiegegevensbold"/>
                    </w:pPr>
                    <w:r>
                      <w:t>Onze referentie</w:t>
                    </w:r>
                  </w:p>
                  <w:p w14:paraId="591EC5A6" w14:textId="72903E4B" w:rsidR="000A3879" w:rsidRDefault="00DD1454">
                    <w:pPr>
                      <w:pStyle w:val="Referentiegegevens"/>
                    </w:pPr>
                    <w:r>
                      <w:t>7607</w:t>
                    </w:r>
                    <w:r w:rsidR="005318BA">
                      <w:t>801</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AF8B094" wp14:editId="719AEB5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D081B99" w14:textId="3785858D" w:rsidR="000A3879" w:rsidRDefault="000A3879">
                          <w:pPr>
                            <w:pStyle w:val="Rubricering"/>
                          </w:pPr>
                        </w:p>
                      </w:txbxContent>
                    </wps:txbx>
                    <wps:bodyPr vert="horz" wrap="square" lIns="0" tIns="0" rIns="0" bIns="0" anchor="t" anchorCtr="0"/>
                  </wps:wsp>
                </a:graphicData>
              </a:graphic>
            </wp:anchor>
          </w:drawing>
        </mc:Choice>
        <mc:Fallback>
          <w:pict>
            <v:shape w14:anchorId="3AF8B094"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D081B99" w14:textId="3785858D" w:rsidR="000A3879" w:rsidRDefault="000A387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F425C30" wp14:editId="0FD78EA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68DC22" w14:textId="77777777" w:rsidR="000A3879" w:rsidRDefault="00F723F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F425C30" id="46fef0b8-aa3c-11ea-a756-beb5f67e67be" o:spid="_x0000_s1028" type="#_x0000_t202" style="position:absolute;margin-left:466.25pt;margin-top:802.75pt;width:101.25pt;height:12.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068DC22" w14:textId="77777777" w:rsidR="000A3879" w:rsidRDefault="00F723F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DB88" w14:textId="77777777" w:rsidR="000A3879" w:rsidRDefault="00F723F3">
    <w:pPr>
      <w:spacing w:after="6377" w:line="14" w:lineRule="exact"/>
    </w:pPr>
    <w:r>
      <w:rPr>
        <w:noProof/>
      </w:rPr>
      <mc:AlternateContent>
        <mc:Choice Requires="wps">
          <w:drawing>
            <wp:anchor distT="0" distB="0" distL="0" distR="0" simplePos="0" relativeHeight="251662336" behindDoc="0" locked="1" layoutInCell="1" allowOverlap="1" wp14:anchorId="5B88881D" wp14:editId="1FDAAC8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29CD9A" w14:textId="77777777" w:rsidR="007E7ECD" w:rsidRDefault="00F723F3">
                          <w:r>
                            <w:t xml:space="preserve">Aan de Voorzitter van de Tweede Kamer </w:t>
                          </w:r>
                        </w:p>
                        <w:p w14:paraId="4CCCBDE2" w14:textId="1B9F526D" w:rsidR="000A3879" w:rsidRDefault="00F723F3">
                          <w:r>
                            <w:t>der Staten-Generaal</w:t>
                          </w:r>
                        </w:p>
                        <w:p w14:paraId="659D6F7A" w14:textId="77777777" w:rsidR="000A3879" w:rsidRDefault="00F723F3">
                          <w:r>
                            <w:t xml:space="preserve">Postbus 20018 </w:t>
                          </w:r>
                        </w:p>
                        <w:p w14:paraId="63CA7622" w14:textId="77777777" w:rsidR="000A3879" w:rsidRDefault="00F723F3">
                          <w:r>
                            <w:t>2500 EA  DEN HAAG</w:t>
                          </w:r>
                        </w:p>
                      </w:txbxContent>
                    </wps:txbx>
                    <wps:bodyPr vert="horz" wrap="square" lIns="0" tIns="0" rIns="0" bIns="0" anchor="t" anchorCtr="0"/>
                  </wps:wsp>
                </a:graphicData>
              </a:graphic>
            </wp:anchor>
          </w:drawing>
        </mc:Choice>
        <mc:Fallback>
          <w:pict>
            <v:shapetype w14:anchorId="5B88881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A29CD9A" w14:textId="77777777" w:rsidR="007E7ECD" w:rsidRDefault="00F723F3">
                    <w:r>
                      <w:t xml:space="preserve">Aan de Voorzitter van de Tweede Kamer </w:t>
                    </w:r>
                  </w:p>
                  <w:p w14:paraId="4CCCBDE2" w14:textId="1B9F526D" w:rsidR="000A3879" w:rsidRDefault="00F723F3">
                    <w:r>
                      <w:t>der Staten-Generaal</w:t>
                    </w:r>
                  </w:p>
                  <w:p w14:paraId="659D6F7A" w14:textId="77777777" w:rsidR="000A3879" w:rsidRDefault="00F723F3">
                    <w:r>
                      <w:t xml:space="preserve">Postbus 20018 </w:t>
                    </w:r>
                  </w:p>
                  <w:p w14:paraId="63CA7622" w14:textId="77777777" w:rsidR="000A3879" w:rsidRDefault="00F723F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318C741" wp14:editId="08A0BBCB">
              <wp:simplePos x="0" y="0"/>
              <wp:positionH relativeFrom="margin">
                <wp:align>right</wp:align>
              </wp:positionH>
              <wp:positionV relativeFrom="page">
                <wp:posOffset>3028950</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824E8" w14:paraId="758C640A" w14:textId="77777777">
                            <w:trPr>
                              <w:trHeight w:val="240"/>
                            </w:trPr>
                            <w:tc>
                              <w:tcPr>
                                <w:tcW w:w="1140" w:type="dxa"/>
                              </w:tcPr>
                              <w:p w14:paraId="78742FA4" w14:textId="77777777" w:rsidR="000A3879" w:rsidRDefault="00F723F3">
                                <w:r>
                                  <w:t>Datum</w:t>
                                </w:r>
                              </w:p>
                            </w:tc>
                            <w:tc>
                              <w:tcPr>
                                <w:tcW w:w="5918" w:type="dxa"/>
                              </w:tcPr>
                              <w:p w14:paraId="1C54A00A" w14:textId="59991BC6" w:rsidR="000A3879" w:rsidRPr="00667BB5" w:rsidRDefault="004B656A">
                                <w:sdt>
                                  <w:sdtPr>
                                    <w:id w:val="478045591"/>
                                    <w:date w:fullDate="2026-06-04T00:00:00Z">
                                      <w:dateFormat w:val="d MMMM yyyy"/>
                                      <w:lid w:val="nl"/>
                                      <w:storeMappedDataAs w:val="dateTime"/>
                                      <w:calendar w:val="gregorian"/>
                                    </w:date>
                                  </w:sdtPr>
                                  <w:sdtEndPr/>
                                  <w:sdtContent>
                                    <w:r w:rsidR="007E7ECD">
                                      <w:rPr>
                                        <w:lang w:val="nl"/>
                                      </w:rPr>
                                      <w:t>4 juni 2026</w:t>
                                    </w:r>
                                  </w:sdtContent>
                                </w:sdt>
                              </w:p>
                            </w:tc>
                          </w:tr>
                          <w:tr w:rsidR="00A824E8" w14:paraId="7C4B88F8" w14:textId="77777777">
                            <w:trPr>
                              <w:trHeight w:val="240"/>
                            </w:trPr>
                            <w:tc>
                              <w:tcPr>
                                <w:tcW w:w="1140" w:type="dxa"/>
                              </w:tcPr>
                              <w:p w14:paraId="25E6CD9E" w14:textId="77777777" w:rsidR="000A3879" w:rsidRDefault="00F723F3">
                                <w:r>
                                  <w:t>Betreft</w:t>
                                </w:r>
                              </w:p>
                            </w:tc>
                            <w:tc>
                              <w:tcPr>
                                <w:tcW w:w="5918" w:type="dxa"/>
                              </w:tcPr>
                              <w:p w14:paraId="226AF526" w14:textId="56E5DC1F" w:rsidR="000A3879" w:rsidRPr="00667BB5" w:rsidRDefault="00F723F3">
                                <w:r w:rsidRPr="00667BB5">
                                  <w:t>Reactie op verzoek commissie stand van zaken en het voorgenomen beleid inzake ongewenste buitenlandse inmenging en beïnvloeding in Nederland</w:t>
                                </w:r>
                              </w:p>
                            </w:tc>
                          </w:tr>
                        </w:tbl>
                        <w:p w14:paraId="78D28DF2" w14:textId="77777777" w:rsidR="000A3879" w:rsidRDefault="000A387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318C741" id="46feebd0-aa3c-11ea-a756-beb5f67e67be" o:spid="_x0000_s1030" type="#_x0000_t202" style="position:absolute;margin-left:325.8pt;margin-top:238.5pt;width:377pt;height:51pt;z-index:25166336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e4ngEAAC4DAAAOAAAAZHJzL2Uyb0RvYy54bWysUttO4zAQfV+Jf7D8ThMQomzUFHERq5XQ&#10;7krAB7iO3ViKPWbsNilfv2OnaRG8IV6ckxn7zJkzs7gebMe2CoMBV/OzWcmZchIa49Y1f3l+OL3i&#10;LEThGtGBUzXfqcCvlyc/Fr2v1Dm00DUKGZG4UPW+5m2MviqKIFtlRZiBV46SGtCKSL+4LhoUPbHb&#10;rjgvy8uiB2w8glQhUPR+TPJl5tdayfhX66Ai62pO2mI+MZ+rdBbLhajWKHxr5F6G+IIKK4yjogeq&#10;exEF26D5RGWNRAig40yCLUBrI1Xugbo5Kz9089QKr3IvZE7wB5vC99HKP9sn/w9ZHG5hoAEmQ3of&#10;qkDB1M+g0aYvKWWUJwt3B9vUEJmk4MX8av6zpJSk3OXFfE6YaIrja48h/lJgWQI1RxpLdktsH0Mc&#10;r05XUjEHD6brUvwoJaE4rAZmGqo4yVxBsyP1tIBE2wK+cdbTMGseXjcCFWfdb0dupclPACewmoBw&#10;kp7WPHI2wruYN2SUcrOJoE1WmTSMFffSaCi5z/0Cpam//8+3jmu+/A8AAP//AwBQSwMEFAAGAAgA&#10;AAAhAClLPLLeAAAACAEAAA8AAABkcnMvZG93bnJldi54bWxMj8FOwzAQRO9I/IO1SNyoXdQ2NM2m&#10;qhCckBBpOHB0YjeJGq9D7Lbh71lO5TarGc2+ybaT68XZjqHzhDCfKRCWam86ahA+y9eHJxAhajK6&#10;92QRfmyAbX57k+nU+AsV9ryPjeASCqlGaGMcUilD3Vqnw8wPltg7+NHpyOfYSDPqC5e7Xj4qtZJO&#10;d8QfWj3Y59bWx/3JIey+qHjpvt+rj+JQdGW5VvS2OiLe3027DYhop3gNwx8+o0POTJU/kQmiR+Ah&#10;EWGRJCzYTpYLFhXCMlkrkHkm/w/IfwEAAP//AwBQSwECLQAUAAYACAAAACEAtoM4kv4AAADhAQAA&#10;EwAAAAAAAAAAAAAAAAAAAAAAW0NvbnRlbnRfVHlwZXNdLnhtbFBLAQItABQABgAIAAAAIQA4/SH/&#10;1gAAAJQBAAALAAAAAAAAAAAAAAAAAC8BAABfcmVscy8ucmVsc1BLAQItABQABgAIAAAAIQA8yue4&#10;ngEAAC4DAAAOAAAAAAAAAAAAAAAAAC4CAABkcnMvZTJvRG9jLnhtbFBLAQItABQABgAIAAAAIQAp&#10;Szyy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824E8" w14:paraId="758C640A" w14:textId="77777777">
                      <w:trPr>
                        <w:trHeight w:val="240"/>
                      </w:trPr>
                      <w:tc>
                        <w:tcPr>
                          <w:tcW w:w="1140" w:type="dxa"/>
                        </w:tcPr>
                        <w:p w14:paraId="78742FA4" w14:textId="77777777" w:rsidR="000A3879" w:rsidRDefault="00F723F3">
                          <w:r>
                            <w:t>Datum</w:t>
                          </w:r>
                        </w:p>
                      </w:tc>
                      <w:tc>
                        <w:tcPr>
                          <w:tcW w:w="5918" w:type="dxa"/>
                        </w:tcPr>
                        <w:p w14:paraId="1C54A00A" w14:textId="59991BC6" w:rsidR="000A3879" w:rsidRPr="00667BB5" w:rsidRDefault="004B656A">
                          <w:sdt>
                            <w:sdtPr>
                              <w:id w:val="478045591"/>
                              <w:date w:fullDate="2026-06-04T00:00:00Z">
                                <w:dateFormat w:val="d MMMM yyyy"/>
                                <w:lid w:val="nl"/>
                                <w:storeMappedDataAs w:val="dateTime"/>
                                <w:calendar w:val="gregorian"/>
                              </w:date>
                            </w:sdtPr>
                            <w:sdtEndPr/>
                            <w:sdtContent>
                              <w:r w:rsidR="007E7ECD">
                                <w:rPr>
                                  <w:lang w:val="nl"/>
                                </w:rPr>
                                <w:t>4 juni 2026</w:t>
                              </w:r>
                            </w:sdtContent>
                          </w:sdt>
                        </w:p>
                      </w:tc>
                    </w:tr>
                    <w:tr w:rsidR="00A824E8" w14:paraId="7C4B88F8" w14:textId="77777777">
                      <w:trPr>
                        <w:trHeight w:val="240"/>
                      </w:trPr>
                      <w:tc>
                        <w:tcPr>
                          <w:tcW w:w="1140" w:type="dxa"/>
                        </w:tcPr>
                        <w:p w14:paraId="25E6CD9E" w14:textId="77777777" w:rsidR="000A3879" w:rsidRDefault="00F723F3">
                          <w:r>
                            <w:t>Betreft</w:t>
                          </w:r>
                        </w:p>
                      </w:tc>
                      <w:tc>
                        <w:tcPr>
                          <w:tcW w:w="5918" w:type="dxa"/>
                        </w:tcPr>
                        <w:p w14:paraId="226AF526" w14:textId="56E5DC1F" w:rsidR="000A3879" w:rsidRPr="00667BB5" w:rsidRDefault="00F723F3">
                          <w:r w:rsidRPr="00667BB5">
                            <w:t>Reactie op verzoek commissie stand van zaken en het voorgenomen beleid inzake ongewenste buitenlandse inmenging en beïnvloeding in Nederland</w:t>
                          </w:r>
                        </w:p>
                      </w:tc>
                    </w:tr>
                  </w:tbl>
                  <w:p w14:paraId="78D28DF2" w14:textId="77777777" w:rsidR="000A3879" w:rsidRDefault="000A3879"/>
                </w:txbxContent>
              </v:textbox>
              <w10:wrap anchorx="margin" anchory="page"/>
              <w10:anchorlock/>
            </v:shape>
          </w:pict>
        </mc:Fallback>
      </mc:AlternateContent>
    </w:r>
    <w:r>
      <w:rPr>
        <w:noProof/>
      </w:rPr>
      <mc:AlternateContent>
        <mc:Choice Requires="wps">
          <w:drawing>
            <wp:anchor distT="0" distB="0" distL="0" distR="0" simplePos="0" relativeHeight="251664384" behindDoc="0" locked="1" layoutInCell="1" allowOverlap="1" wp14:anchorId="1951108C" wp14:editId="55F48E5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EE68D5" w14:textId="77777777" w:rsidR="000A3879" w:rsidRDefault="00F723F3">
                          <w:pPr>
                            <w:pStyle w:val="Referentiegegevensbold"/>
                          </w:pPr>
                          <w:r>
                            <w:t>Nationaal Coördinator Terrorismebestrijding en Veiligheid</w:t>
                          </w:r>
                        </w:p>
                        <w:p w14:paraId="08389517" w14:textId="77777777" w:rsidR="000A3879" w:rsidRDefault="00F723F3">
                          <w:pPr>
                            <w:pStyle w:val="Referentiegegevens"/>
                          </w:pPr>
                          <w:r>
                            <w:t>Cybersecurity en Statelijke dreigingen</w:t>
                          </w:r>
                        </w:p>
                        <w:p w14:paraId="7DBC416F" w14:textId="77777777" w:rsidR="000A3879" w:rsidRDefault="00F723F3">
                          <w:pPr>
                            <w:pStyle w:val="Referentiegegevens"/>
                          </w:pPr>
                          <w:r>
                            <w:t>Statelijke Dreigingen</w:t>
                          </w:r>
                        </w:p>
                        <w:p w14:paraId="3A27345D" w14:textId="77777777" w:rsidR="000A3879" w:rsidRDefault="000A3879">
                          <w:pPr>
                            <w:pStyle w:val="WitregelW1"/>
                          </w:pPr>
                        </w:p>
                        <w:p w14:paraId="0D10A323" w14:textId="77777777" w:rsidR="000A3879" w:rsidRDefault="00F723F3">
                          <w:pPr>
                            <w:pStyle w:val="Referentiegegevens"/>
                          </w:pPr>
                          <w:r>
                            <w:t>Turfmarkt 147</w:t>
                          </w:r>
                        </w:p>
                        <w:p w14:paraId="524F36E7" w14:textId="77777777" w:rsidR="000A3879" w:rsidRDefault="00F723F3">
                          <w:pPr>
                            <w:pStyle w:val="Referentiegegevens"/>
                          </w:pPr>
                          <w:r>
                            <w:t>2511 DP  Den Haag</w:t>
                          </w:r>
                        </w:p>
                        <w:p w14:paraId="43FA16CE" w14:textId="77777777" w:rsidR="000A3879" w:rsidRPr="009A2693" w:rsidRDefault="00F723F3">
                          <w:pPr>
                            <w:pStyle w:val="Referentiegegevens"/>
                            <w:rPr>
                              <w:lang w:val="de-DE"/>
                            </w:rPr>
                          </w:pPr>
                          <w:r w:rsidRPr="009A2693">
                            <w:rPr>
                              <w:lang w:val="de-DE"/>
                            </w:rPr>
                            <w:t>Postbus 16950</w:t>
                          </w:r>
                        </w:p>
                        <w:p w14:paraId="6C49C356" w14:textId="77777777" w:rsidR="000A3879" w:rsidRPr="009A2693" w:rsidRDefault="00F723F3">
                          <w:pPr>
                            <w:pStyle w:val="Referentiegegevens"/>
                            <w:rPr>
                              <w:lang w:val="de-DE"/>
                            </w:rPr>
                          </w:pPr>
                          <w:r w:rsidRPr="009A2693">
                            <w:rPr>
                              <w:lang w:val="de-DE"/>
                            </w:rPr>
                            <w:t>2500 BZ  Den Haag</w:t>
                          </w:r>
                        </w:p>
                        <w:p w14:paraId="64D7A6A9" w14:textId="77777777" w:rsidR="000A3879" w:rsidRPr="009A2693" w:rsidRDefault="00F723F3">
                          <w:pPr>
                            <w:pStyle w:val="Referentiegegevens"/>
                            <w:rPr>
                              <w:lang w:val="de-DE"/>
                            </w:rPr>
                          </w:pPr>
                          <w:r w:rsidRPr="009A2693">
                            <w:rPr>
                              <w:lang w:val="de-DE"/>
                            </w:rPr>
                            <w:t>www.rijksoverheid.nl/jenv</w:t>
                          </w:r>
                        </w:p>
                        <w:p w14:paraId="40219B4E" w14:textId="77777777" w:rsidR="000A3879" w:rsidRPr="009A2693" w:rsidRDefault="000A3879">
                          <w:pPr>
                            <w:pStyle w:val="WitregelW2"/>
                            <w:rPr>
                              <w:lang w:val="de-DE"/>
                            </w:rPr>
                          </w:pPr>
                        </w:p>
                        <w:p w14:paraId="644FC71E" w14:textId="77777777" w:rsidR="000A3879" w:rsidRDefault="00F723F3">
                          <w:pPr>
                            <w:pStyle w:val="Referentiegegevensbold"/>
                          </w:pPr>
                          <w:r>
                            <w:t>Onze referentie</w:t>
                          </w:r>
                        </w:p>
                        <w:p w14:paraId="6396A42F" w14:textId="37113EF3" w:rsidR="000A3879" w:rsidRDefault="00DD1454">
                          <w:pPr>
                            <w:pStyle w:val="Referentiegegevens"/>
                          </w:pPr>
                          <w:r>
                            <w:t>7607</w:t>
                          </w:r>
                          <w:r w:rsidR="005318BA">
                            <w:t>801</w:t>
                          </w:r>
                        </w:p>
                      </w:txbxContent>
                    </wps:txbx>
                    <wps:bodyPr vert="horz" wrap="square" lIns="0" tIns="0" rIns="0" bIns="0" anchor="t" anchorCtr="0"/>
                  </wps:wsp>
                </a:graphicData>
              </a:graphic>
            </wp:anchor>
          </w:drawing>
        </mc:Choice>
        <mc:Fallback>
          <w:pict>
            <v:shape w14:anchorId="1951108C" id="46feec20-aa3c-11ea-a756-beb5f67e67be" o:spid="_x0000_s1031" type="#_x0000_t202" style="position:absolute;margin-left:466.25pt;margin-top:154.75pt;width:100.6pt;height:630.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FEE68D5" w14:textId="77777777" w:rsidR="000A3879" w:rsidRDefault="00F723F3">
                    <w:pPr>
                      <w:pStyle w:val="Referentiegegevensbold"/>
                    </w:pPr>
                    <w:r>
                      <w:t>Nationaal Coördinator Terrorismebestrijding en Veiligheid</w:t>
                    </w:r>
                  </w:p>
                  <w:p w14:paraId="08389517" w14:textId="77777777" w:rsidR="000A3879" w:rsidRDefault="00F723F3">
                    <w:pPr>
                      <w:pStyle w:val="Referentiegegevens"/>
                    </w:pPr>
                    <w:r>
                      <w:t>Cybersecurity en Statelijke dreigingen</w:t>
                    </w:r>
                  </w:p>
                  <w:p w14:paraId="7DBC416F" w14:textId="77777777" w:rsidR="000A3879" w:rsidRDefault="00F723F3">
                    <w:pPr>
                      <w:pStyle w:val="Referentiegegevens"/>
                    </w:pPr>
                    <w:r>
                      <w:t>Statelijke Dreigingen</w:t>
                    </w:r>
                  </w:p>
                  <w:p w14:paraId="3A27345D" w14:textId="77777777" w:rsidR="000A3879" w:rsidRDefault="000A3879">
                    <w:pPr>
                      <w:pStyle w:val="WitregelW1"/>
                    </w:pPr>
                  </w:p>
                  <w:p w14:paraId="0D10A323" w14:textId="77777777" w:rsidR="000A3879" w:rsidRDefault="00F723F3">
                    <w:pPr>
                      <w:pStyle w:val="Referentiegegevens"/>
                    </w:pPr>
                    <w:r>
                      <w:t>Turfmarkt 147</w:t>
                    </w:r>
                  </w:p>
                  <w:p w14:paraId="524F36E7" w14:textId="77777777" w:rsidR="000A3879" w:rsidRDefault="00F723F3">
                    <w:pPr>
                      <w:pStyle w:val="Referentiegegevens"/>
                    </w:pPr>
                    <w:r>
                      <w:t>2511 DP  Den Haag</w:t>
                    </w:r>
                  </w:p>
                  <w:p w14:paraId="43FA16CE" w14:textId="77777777" w:rsidR="000A3879" w:rsidRPr="009A2693" w:rsidRDefault="00F723F3">
                    <w:pPr>
                      <w:pStyle w:val="Referentiegegevens"/>
                      <w:rPr>
                        <w:lang w:val="de-DE"/>
                      </w:rPr>
                    </w:pPr>
                    <w:r w:rsidRPr="009A2693">
                      <w:rPr>
                        <w:lang w:val="de-DE"/>
                      </w:rPr>
                      <w:t>Postbus 16950</w:t>
                    </w:r>
                  </w:p>
                  <w:p w14:paraId="6C49C356" w14:textId="77777777" w:rsidR="000A3879" w:rsidRPr="009A2693" w:rsidRDefault="00F723F3">
                    <w:pPr>
                      <w:pStyle w:val="Referentiegegevens"/>
                      <w:rPr>
                        <w:lang w:val="de-DE"/>
                      </w:rPr>
                    </w:pPr>
                    <w:r w:rsidRPr="009A2693">
                      <w:rPr>
                        <w:lang w:val="de-DE"/>
                      </w:rPr>
                      <w:t>2500 BZ  Den Haag</w:t>
                    </w:r>
                  </w:p>
                  <w:p w14:paraId="64D7A6A9" w14:textId="77777777" w:rsidR="000A3879" w:rsidRPr="009A2693" w:rsidRDefault="00F723F3">
                    <w:pPr>
                      <w:pStyle w:val="Referentiegegevens"/>
                      <w:rPr>
                        <w:lang w:val="de-DE"/>
                      </w:rPr>
                    </w:pPr>
                    <w:r w:rsidRPr="009A2693">
                      <w:rPr>
                        <w:lang w:val="de-DE"/>
                      </w:rPr>
                      <w:t>www.rijksoverheid.nl/jenv</w:t>
                    </w:r>
                  </w:p>
                  <w:p w14:paraId="40219B4E" w14:textId="77777777" w:rsidR="000A3879" w:rsidRPr="009A2693" w:rsidRDefault="000A3879">
                    <w:pPr>
                      <w:pStyle w:val="WitregelW2"/>
                      <w:rPr>
                        <w:lang w:val="de-DE"/>
                      </w:rPr>
                    </w:pPr>
                  </w:p>
                  <w:p w14:paraId="644FC71E" w14:textId="77777777" w:rsidR="000A3879" w:rsidRDefault="00F723F3">
                    <w:pPr>
                      <w:pStyle w:val="Referentiegegevensbold"/>
                    </w:pPr>
                    <w:r>
                      <w:t>Onze referentie</w:t>
                    </w:r>
                  </w:p>
                  <w:p w14:paraId="6396A42F" w14:textId="37113EF3" w:rsidR="000A3879" w:rsidRDefault="00DD1454">
                    <w:pPr>
                      <w:pStyle w:val="Referentiegegevens"/>
                    </w:pPr>
                    <w:r>
                      <w:t>7607</w:t>
                    </w:r>
                    <w:r w:rsidR="005318BA">
                      <w:t>801</w:t>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22069F3E" wp14:editId="7317C0F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A7209D" w14:textId="5F474CBF" w:rsidR="000A3879" w:rsidRDefault="000A3879">
                          <w:pPr>
                            <w:pStyle w:val="Rubricering"/>
                          </w:pPr>
                        </w:p>
                      </w:txbxContent>
                    </wps:txbx>
                    <wps:bodyPr vert="horz" wrap="square" lIns="0" tIns="0" rIns="0" bIns="0" anchor="t" anchorCtr="0"/>
                  </wps:wsp>
                </a:graphicData>
              </a:graphic>
            </wp:anchor>
          </w:drawing>
        </mc:Choice>
        <mc:Fallback>
          <w:pict>
            <v:shape w14:anchorId="22069F3E" id="46feec6f-aa3c-11ea-a756-beb5f67e67be" o:spid="_x0000_s1032" type="#_x0000_t202" style="position:absolute;margin-left:79.35pt;margin-top:802.7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EA7209D" w14:textId="5F474CBF" w:rsidR="000A3879" w:rsidRDefault="000A387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7153EEAB" wp14:editId="3BF8160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161337" w14:textId="77777777" w:rsidR="000A3879" w:rsidRDefault="00F723F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153EEAB" id="46feecbe-aa3c-11ea-a756-beb5f67e67be" o:spid="_x0000_s1033" type="#_x0000_t202" style="position:absolute;margin-left:466.25pt;margin-top:802.75pt;width:101.25pt;height:12.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0161337" w14:textId="77777777" w:rsidR="000A3879" w:rsidRDefault="00F723F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3771C06B" wp14:editId="21EF935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4016A1" w14:textId="77777777" w:rsidR="000A3879" w:rsidRDefault="00F723F3">
                          <w:pPr>
                            <w:spacing w:line="240" w:lineRule="auto"/>
                          </w:pPr>
                          <w:r>
                            <w:rPr>
                              <w:noProof/>
                            </w:rPr>
                            <w:drawing>
                              <wp:inline distT="0" distB="0" distL="0" distR="0" wp14:anchorId="0BD19914" wp14:editId="02EA4A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71C06B" id="46feed0e-aa3c-11ea-a756-beb5f67e67be" o:spid="_x0000_s1034" type="#_x0000_t202" style="position:absolute;margin-left:279.2pt;margin-top:0;width:36.85pt;height:124.6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A4016A1" w14:textId="77777777" w:rsidR="000A3879" w:rsidRDefault="00F723F3">
                    <w:pPr>
                      <w:spacing w:line="240" w:lineRule="auto"/>
                    </w:pPr>
                    <w:r>
                      <w:rPr>
                        <w:noProof/>
                      </w:rPr>
                      <w:drawing>
                        <wp:inline distT="0" distB="0" distL="0" distR="0" wp14:anchorId="0BD19914" wp14:editId="02EA4A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7EF4AC4C" wp14:editId="0B82E03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44F064" w14:textId="77777777" w:rsidR="000A3879" w:rsidRDefault="00F723F3">
                          <w:pPr>
                            <w:spacing w:line="240" w:lineRule="auto"/>
                          </w:pPr>
                          <w:r>
                            <w:rPr>
                              <w:noProof/>
                            </w:rPr>
                            <w:drawing>
                              <wp:inline distT="0" distB="0" distL="0" distR="0" wp14:anchorId="7DA001B3" wp14:editId="7E6E292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F4AC4C" id="46feed67-aa3c-11ea-a756-beb5f67e67be" o:spid="_x0000_s1035" type="#_x0000_t202" style="position:absolute;margin-left:314.6pt;margin-top:0;width:184.25pt;height:124.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144F064" w14:textId="77777777" w:rsidR="000A3879" w:rsidRDefault="00F723F3">
                    <w:pPr>
                      <w:spacing w:line="240" w:lineRule="auto"/>
                    </w:pPr>
                    <w:r>
                      <w:rPr>
                        <w:noProof/>
                      </w:rPr>
                      <w:drawing>
                        <wp:inline distT="0" distB="0" distL="0" distR="0" wp14:anchorId="7DA001B3" wp14:editId="7E6E292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36DF5F97" wp14:editId="3262E8A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2EE556" w14:textId="77777777" w:rsidR="000A3879" w:rsidRDefault="00F723F3">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36DF5F97" id="5920b9fb-d041-4aa9-8d80-26b233cc0f6e" o:spid="_x0000_s1036" type="#_x0000_t202" style="position:absolute;margin-left:79.6pt;margin-top:135.45pt;width:377pt;height:12.7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32EE556" w14:textId="77777777" w:rsidR="000A3879" w:rsidRDefault="00F723F3">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69E2"/>
    <w:multiLevelType w:val="hybridMultilevel"/>
    <w:tmpl w:val="AB9AC196"/>
    <w:lvl w:ilvl="0" w:tplc="3E1E7E40">
      <w:start w:val="1"/>
      <w:numFmt w:val="bullet"/>
      <w:lvlText w:val=""/>
      <w:lvlJc w:val="left"/>
      <w:pPr>
        <w:ind w:left="1440" w:hanging="360"/>
      </w:pPr>
      <w:rPr>
        <w:rFonts w:ascii="Symbol" w:hAnsi="Symbol"/>
      </w:rPr>
    </w:lvl>
    <w:lvl w:ilvl="1" w:tplc="CA28F776">
      <w:start w:val="1"/>
      <w:numFmt w:val="bullet"/>
      <w:lvlText w:val=""/>
      <w:lvlJc w:val="left"/>
      <w:pPr>
        <w:ind w:left="1440" w:hanging="360"/>
      </w:pPr>
      <w:rPr>
        <w:rFonts w:ascii="Symbol" w:hAnsi="Symbol"/>
      </w:rPr>
    </w:lvl>
    <w:lvl w:ilvl="2" w:tplc="0F66FB60">
      <w:start w:val="1"/>
      <w:numFmt w:val="bullet"/>
      <w:lvlText w:val=""/>
      <w:lvlJc w:val="left"/>
      <w:pPr>
        <w:ind w:left="1440" w:hanging="360"/>
      </w:pPr>
      <w:rPr>
        <w:rFonts w:ascii="Symbol" w:hAnsi="Symbol"/>
      </w:rPr>
    </w:lvl>
    <w:lvl w:ilvl="3" w:tplc="20F48840">
      <w:start w:val="1"/>
      <w:numFmt w:val="bullet"/>
      <w:lvlText w:val=""/>
      <w:lvlJc w:val="left"/>
      <w:pPr>
        <w:ind w:left="1440" w:hanging="360"/>
      </w:pPr>
      <w:rPr>
        <w:rFonts w:ascii="Symbol" w:hAnsi="Symbol"/>
      </w:rPr>
    </w:lvl>
    <w:lvl w:ilvl="4" w:tplc="65388460">
      <w:start w:val="1"/>
      <w:numFmt w:val="bullet"/>
      <w:lvlText w:val=""/>
      <w:lvlJc w:val="left"/>
      <w:pPr>
        <w:ind w:left="1440" w:hanging="360"/>
      </w:pPr>
      <w:rPr>
        <w:rFonts w:ascii="Symbol" w:hAnsi="Symbol"/>
      </w:rPr>
    </w:lvl>
    <w:lvl w:ilvl="5" w:tplc="C91AA19C">
      <w:start w:val="1"/>
      <w:numFmt w:val="bullet"/>
      <w:lvlText w:val=""/>
      <w:lvlJc w:val="left"/>
      <w:pPr>
        <w:ind w:left="1440" w:hanging="360"/>
      </w:pPr>
      <w:rPr>
        <w:rFonts w:ascii="Symbol" w:hAnsi="Symbol"/>
      </w:rPr>
    </w:lvl>
    <w:lvl w:ilvl="6" w:tplc="5306A2F8">
      <w:start w:val="1"/>
      <w:numFmt w:val="bullet"/>
      <w:lvlText w:val=""/>
      <w:lvlJc w:val="left"/>
      <w:pPr>
        <w:ind w:left="1440" w:hanging="360"/>
      </w:pPr>
      <w:rPr>
        <w:rFonts w:ascii="Symbol" w:hAnsi="Symbol"/>
      </w:rPr>
    </w:lvl>
    <w:lvl w:ilvl="7" w:tplc="8152BE7C">
      <w:start w:val="1"/>
      <w:numFmt w:val="bullet"/>
      <w:lvlText w:val=""/>
      <w:lvlJc w:val="left"/>
      <w:pPr>
        <w:ind w:left="1440" w:hanging="360"/>
      </w:pPr>
      <w:rPr>
        <w:rFonts w:ascii="Symbol" w:hAnsi="Symbol"/>
      </w:rPr>
    </w:lvl>
    <w:lvl w:ilvl="8" w:tplc="10E6CDD6">
      <w:start w:val="1"/>
      <w:numFmt w:val="bullet"/>
      <w:lvlText w:val=""/>
      <w:lvlJc w:val="left"/>
      <w:pPr>
        <w:ind w:left="1440" w:hanging="360"/>
      </w:pPr>
      <w:rPr>
        <w:rFonts w:ascii="Symbol" w:hAnsi="Symbol"/>
      </w:rPr>
    </w:lvl>
  </w:abstractNum>
  <w:abstractNum w:abstractNumId="1" w15:restartNumberingAfterBreak="0">
    <w:nsid w:val="519218EA"/>
    <w:multiLevelType w:val="hybridMultilevel"/>
    <w:tmpl w:val="F27E653A"/>
    <w:lvl w:ilvl="0" w:tplc="B450D73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E77AE2"/>
    <w:multiLevelType w:val="hybridMultilevel"/>
    <w:tmpl w:val="1FBAA24A"/>
    <w:lvl w:ilvl="0" w:tplc="82FEF29C">
      <w:start w:val="1"/>
      <w:numFmt w:val="bullet"/>
      <w:lvlText w:val=""/>
      <w:lvlJc w:val="left"/>
      <w:pPr>
        <w:ind w:left="1440" w:hanging="360"/>
      </w:pPr>
      <w:rPr>
        <w:rFonts w:ascii="Symbol" w:hAnsi="Symbol"/>
      </w:rPr>
    </w:lvl>
    <w:lvl w:ilvl="1" w:tplc="FD24D59E">
      <w:start w:val="1"/>
      <w:numFmt w:val="bullet"/>
      <w:lvlText w:val=""/>
      <w:lvlJc w:val="left"/>
      <w:pPr>
        <w:ind w:left="1440" w:hanging="360"/>
      </w:pPr>
      <w:rPr>
        <w:rFonts w:ascii="Symbol" w:hAnsi="Symbol"/>
      </w:rPr>
    </w:lvl>
    <w:lvl w:ilvl="2" w:tplc="940070F8">
      <w:start w:val="1"/>
      <w:numFmt w:val="bullet"/>
      <w:lvlText w:val=""/>
      <w:lvlJc w:val="left"/>
      <w:pPr>
        <w:ind w:left="1440" w:hanging="360"/>
      </w:pPr>
      <w:rPr>
        <w:rFonts w:ascii="Symbol" w:hAnsi="Symbol"/>
      </w:rPr>
    </w:lvl>
    <w:lvl w:ilvl="3" w:tplc="6D141B70">
      <w:start w:val="1"/>
      <w:numFmt w:val="bullet"/>
      <w:lvlText w:val=""/>
      <w:lvlJc w:val="left"/>
      <w:pPr>
        <w:ind w:left="1440" w:hanging="360"/>
      </w:pPr>
      <w:rPr>
        <w:rFonts w:ascii="Symbol" w:hAnsi="Symbol"/>
      </w:rPr>
    </w:lvl>
    <w:lvl w:ilvl="4" w:tplc="FF52AD56">
      <w:start w:val="1"/>
      <w:numFmt w:val="bullet"/>
      <w:lvlText w:val=""/>
      <w:lvlJc w:val="left"/>
      <w:pPr>
        <w:ind w:left="1440" w:hanging="360"/>
      </w:pPr>
      <w:rPr>
        <w:rFonts w:ascii="Symbol" w:hAnsi="Symbol"/>
      </w:rPr>
    </w:lvl>
    <w:lvl w:ilvl="5" w:tplc="6A42C678">
      <w:start w:val="1"/>
      <w:numFmt w:val="bullet"/>
      <w:lvlText w:val=""/>
      <w:lvlJc w:val="left"/>
      <w:pPr>
        <w:ind w:left="1440" w:hanging="360"/>
      </w:pPr>
      <w:rPr>
        <w:rFonts w:ascii="Symbol" w:hAnsi="Symbol"/>
      </w:rPr>
    </w:lvl>
    <w:lvl w:ilvl="6" w:tplc="6172D5DA">
      <w:start w:val="1"/>
      <w:numFmt w:val="bullet"/>
      <w:lvlText w:val=""/>
      <w:lvlJc w:val="left"/>
      <w:pPr>
        <w:ind w:left="1440" w:hanging="360"/>
      </w:pPr>
      <w:rPr>
        <w:rFonts w:ascii="Symbol" w:hAnsi="Symbol"/>
      </w:rPr>
    </w:lvl>
    <w:lvl w:ilvl="7" w:tplc="9A4002FC">
      <w:start w:val="1"/>
      <w:numFmt w:val="bullet"/>
      <w:lvlText w:val=""/>
      <w:lvlJc w:val="left"/>
      <w:pPr>
        <w:ind w:left="1440" w:hanging="360"/>
      </w:pPr>
      <w:rPr>
        <w:rFonts w:ascii="Symbol" w:hAnsi="Symbol"/>
      </w:rPr>
    </w:lvl>
    <w:lvl w:ilvl="8" w:tplc="F3CEE082">
      <w:start w:val="1"/>
      <w:numFmt w:val="bullet"/>
      <w:lvlText w:val=""/>
      <w:lvlJc w:val="left"/>
      <w:pPr>
        <w:ind w:left="1440" w:hanging="360"/>
      </w:pPr>
      <w:rPr>
        <w:rFonts w:ascii="Symbol" w:hAnsi="Symbol"/>
      </w:rPr>
    </w:lvl>
  </w:abstractNum>
  <w:num w:numId="1" w16cid:durableId="1488085994">
    <w:abstractNumId w:val="1"/>
  </w:num>
  <w:num w:numId="2" w16cid:durableId="314795486">
    <w:abstractNumId w:val="0"/>
  </w:num>
  <w:num w:numId="3" w16cid:durableId="712968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0F"/>
    <w:rsid w:val="00014B33"/>
    <w:rsid w:val="000652FC"/>
    <w:rsid w:val="000730FB"/>
    <w:rsid w:val="0008005B"/>
    <w:rsid w:val="0008249A"/>
    <w:rsid w:val="00092D20"/>
    <w:rsid w:val="000A3879"/>
    <w:rsid w:val="000B7914"/>
    <w:rsid w:val="000D0190"/>
    <w:rsid w:val="000E7388"/>
    <w:rsid w:val="000F3681"/>
    <w:rsid w:val="000F38C4"/>
    <w:rsid w:val="000F5F18"/>
    <w:rsid w:val="000F7736"/>
    <w:rsid w:val="00156888"/>
    <w:rsid w:val="001604ED"/>
    <w:rsid w:val="00163CFA"/>
    <w:rsid w:val="00166309"/>
    <w:rsid w:val="00187234"/>
    <w:rsid w:val="001C364E"/>
    <w:rsid w:val="001E79E5"/>
    <w:rsid w:val="001F4121"/>
    <w:rsid w:val="001F426D"/>
    <w:rsid w:val="0020430D"/>
    <w:rsid w:val="00207A56"/>
    <w:rsid w:val="00211297"/>
    <w:rsid w:val="00214DB9"/>
    <w:rsid w:val="00226A0F"/>
    <w:rsid w:val="00230ABA"/>
    <w:rsid w:val="00240611"/>
    <w:rsid w:val="002604C2"/>
    <w:rsid w:val="00263D2F"/>
    <w:rsid w:val="0026413F"/>
    <w:rsid w:val="002704E1"/>
    <w:rsid w:val="00285945"/>
    <w:rsid w:val="002C74EC"/>
    <w:rsid w:val="002D3AB8"/>
    <w:rsid w:val="002E36F6"/>
    <w:rsid w:val="002F4A56"/>
    <w:rsid w:val="002F7B0E"/>
    <w:rsid w:val="003075D4"/>
    <w:rsid w:val="00332A3D"/>
    <w:rsid w:val="0034319E"/>
    <w:rsid w:val="00354412"/>
    <w:rsid w:val="003756C8"/>
    <w:rsid w:val="0037598F"/>
    <w:rsid w:val="00384059"/>
    <w:rsid w:val="003A77E2"/>
    <w:rsid w:val="003B37AE"/>
    <w:rsid w:val="003B3928"/>
    <w:rsid w:val="003C3D65"/>
    <w:rsid w:val="003D373A"/>
    <w:rsid w:val="003D44C2"/>
    <w:rsid w:val="003F6DBC"/>
    <w:rsid w:val="0040372F"/>
    <w:rsid w:val="0043425F"/>
    <w:rsid w:val="00434885"/>
    <w:rsid w:val="00445636"/>
    <w:rsid w:val="00452D00"/>
    <w:rsid w:val="00453252"/>
    <w:rsid w:val="004667E4"/>
    <w:rsid w:val="004A342B"/>
    <w:rsid w:val="004A4D51"/>
    <w:rsid w:val="004A56FB"/>
    <w:rsid w:val="004B656A"/>
    <w:rsid w:val="004D30BF"/>
    <w:rsid w:val="004D3A9E"/>
    <w:rsid w:val="004E5564"/>
    <w:rsid w:val="004E7E59"/>
    <w:rsid w:val="004F55E5"/>
    <w:rsid w:val="004F5764"/>
    <w:rsid w:val="00516E4A"/>
    <w:rsid w:val="00521172"/>
    <w:rsid w:val="00527CAE"/>
    <w:rsid w:val="005318BA"/>
    <w:rsid w:val="00537F10"/>
    <w:rsid w:val="00544330"/>
    <w:rsid w:val="00545844"/>
    <w:rsid w:val="00552260"/>
    <w:rsid w:val="00565612"/>
    <w:rsid w:val="005674ED"/>
    <w:rsid w:val="00586E8F"/>
    <w:rsid w:val="005A0826"/>
    <w:rsid w:val="005A5DFC"/>
    <w:rsid w:val="005B1C1E"/>
    <w:rsid w:val="005C0F00"/>
    <w:rsid w:val="005F1117"/>
    <w:rsid w:val="005F1575"/>
    <w:rsid w:val="005F3EB2"/>
    <w:rsid w:val="00602CD9"/>
    <w:rsid w:val="00605A4F"/>
    <w:rsid w:val="006211FC"/>
    <w:rsid w:val="00642811"/>
    <w:rsid w:val="00643119"/>
    <w:rsid w:val="00643B75"/>
    <w:rsid w:val="00667BB5"/>
    <w:rsid w:val="00672FC7"/>
    <w:rsid w:val="00673FC6"/>
    <w:rsid w:val="006B5B93"/>
    <w:rsid w:val="006B6B15"/>
    <w:rsid w:val="006C0631"/>
    <w:rsid w:val="006D485F"/>
    <w:rsid w:val="006F2286"/>
    <w:rsid w:val="006F5EC0"/>
    <w:rsid w:val="0070645A"/>
    <w:rsid w:val="007073B0"/>
    <w:rsid w:val="00737005"/>
    <w:rsid w:val="007560F2"/>
    <w:rsid w:val="007618F2"/>
    <w:rsid w:val="007637CE"/>
    <w:rsid w:val="00763E30"/>
    <w:rsid w:val="007752AF"/>
    <w:rsid w:val="0078229A"/>
    <w:rsid w:val="00784880"/>
    <w:rsid w:val="0078644D"/>
    <w:rsid w:val="00794BD9"/>
    <w:rsid w:val="007B27F9"/>
    <w:rsid w:val="007D7437"/>
    <w:rsid w:val="007E7ECD"/>
    <w:rsid w:val="00802B2A"/>
    <w:rsid w:val="00802EDA"/>
    <w:rsid w:val="00803CDD"/>
    <w:rsid w:val="00804A97"/>
    <w:rsid w:val="0081765A"/>
    <w:rsid w:val="00832A94"/>
    <w:rsid w:val="00837596"/>
    <w:rsid w:val="00841C3A"/>
    <w:rsid w:val="00845A09"/>
    <w:rsid w:val="00850E70"/>
    <w:rsid w:val="00853645"/>
    <w:rsid w:val="00860315"/>
    <w:rsid w:val="00866D89"/>
    <w:rsid w:val="00887B13"/>
    <w:rsid w:val="00895596"/>
    <w:rsid w:val="008B23DB"/>
    <w:rsid w:val="008C1D2A"/>
    <w:rsid w:val="008D1C70"/>
    <w:rsid w:val="008D2603"/>
    <w:rsid w:val="00913338"/>
    <w:rsid w:val="00916FC9"/>
    <w:rsid w:val="00922E9C"/>
    <w:rsid w:val="00922F63"/>
    <w:rsid w:val="00924C2D"/>
    <w:rsid w:val="00936BD2"/>
    <w:rsid w:val="009449CD"/>
    <w:rsid w:val="00944D55"/>
    <w:rsid w:val="00950871"/>
    <w:rsid w:val="009577F1"/>
    <w:rsid w:val="00985CE8"/>
    <w:rsid w:val="0099363F"/>
    <w:rsid w:val="009A5F8D"/>
    <w:rsid w:val="009B720F"/>
    <w:rsid w:val="009D0CEF"/>
    <w:rsid w:val="009E2EB7"/>
    <w:rsid w:val="009E5686"/>
    <w:rsid w:val="009E716E"/>
    <w:rsid w:val="009F172D"/>
    <w:rsid w:val="009F27AD"/>
    <w:rsid w:val="00A2083B"/>
    <w:rsid w:val="00A31F72"/>
    <w:rsid w:val="00A44C26"/>
    <w:rsid w:val="00A47EEE"/>
    <w:rsid w:val="00A51242"/>
    <w:rsid w:val="00A51902"/>
    <w:rsid w:val="00A607C4"/>
    <w:rsid w:val="00A60CD5"/>
    <w:rsid w:val="00A62E6B"/>
    <w:rsid w:val="00A741C5"/>
    <w:rsid w:val="00A83AD3"/>
    <w:rsid w:val="00A843AA"/>
    <w:rsid w:val="00AB3EF4"/>
    <w:rsid w:val="00AD2EC8"/>
    <w:rsid w:val="00AD4744"/>
    <w:rsid w:val="00AE24CC"/>
    <w:rsid w:val="00AE583D"/>
    <w:rsid w:val="00AE7BA6"/>
    <w:rsid w:val="00AF175C"/>
    <w:rsid w:val="00B006B8"/>
    <w:rsid w:val="00B555EE"/>
    <w:rsid w:val="00B62452"/>
    <w:rsid w:val="00B64488"/>
    <w:rsid w:val="00B64B8D"/>
    <w:rsid w:val="00B711B9"/>
    <w:rsid w:val="00B826DB"/>
    <w:rsid w:val="00BC128A"/>
    <w:rsid w:val="00BC3C1A"/>
    <w:rsid w:val="00BF489B"/>
    <w:rsid w:val="00C012FF"/>
    <w:rsid w:val="00C10A71"/>
    <w:rsid w:val="00C17CC7"/>
    <w:rsid w:val="00C20F8C"/>
    <w:rsid w:val="00C23010"/>
    <w:rsid w:val="00C2320A"/>
    <w:rsid w:val="00C250C7"/>
    <w:rsid w:val="00C2575E"/>
    <w:rsid w:val="00C34159"/>
    <w:rsid w:val="00C34B0E"/>
    <w:rsid w:val="00C733D0"/>
    <w:rsid w:val="00C77B60"/>
    <w:rsid w:val="00C9564F"/>
    <w:rsid w:val="00CB56CE"/>
    <w:rsid w:val="00CC1BE9"/>
    <w:rsid w:val="00CC4550"/>
    <w:rsid w:val="00CC6B2E"/>
    <w:rsid w:val="00CD2E62"/>
    <w:rsid w:val="00CE6C80"/>
    <w:rsid w:val="00CF0A38"/>
    <w:rsid w:val="00D055AE"/>
    <w:rsid w:val="00D15871"/>
    <w:rsid w:val="00D37966"/>
    <w:rsid w:val="00D52560"/>
    <w:rsid w:val="00D60223"/>
    <w:rsid w:val="00D6161D"/>
    <w:rsid w:val="00D6257D"/>
    <w:rsid w:val="00DA2730"/>
    <w:rsid w:val="00DB64BF"/>
    <w:rsid w:val="00DD1121"/>
    <w:rsid w:val="00DD1454"/>
    <w:rsid w:val="00DE6694"/>
    <w:rsid w:val="00DE7A30"/>
    <w:rsid w:val="00E02B33"/>
    <w:rsid w:val="00E12805"/>
    <w:rsid w:val="00E16D49"/>
    <w:rsid w:val="00E23548"/>
    <w:rsid w:val="00E26C60"/>
    <w:rsid w:val="00E441DA"/>
    <w:rsid w:val="00E442D1"/>
    <w:rsid w:val="00E65B2D"/>
    <w:rsid w:val="00E9266F"/>
    <w:rsid w:val="00E9283B"/>
    <w:rsid w:val="00EA7704"/>
    <w:rsid w:val="00EB1792"/>
    <w:rsid w:val="00ED7986"/>
    <w:rsid w:val="00ED7B4E"/>
    <w:rsid w:val="00EE3152"/>
    <w:rsid w:val="00EE6252"/>
    <w:rsid w:val="00EF1CDD"/>
    <w:rsid w:val="00EF2297"/>
    <w:rsid w:val="00EF7E23"/>
    <w:rsid w:val="00F0167A"/>
    <w:rsid w:val="00F24600"/>
    <w:rsid w:val="00F27D5F"/>
    <w:rsid w:val="00F32FD5"/>
    <w:rsid w:val="00F47C40"/>
    <w:rsid w:val="00F53B61"/>
    <w:rsid w:val="00F5537C"/>
    <w:rsid w:val="00F66175"/>
    <w:rsid w:val="00F723F3"/>
    <w:rsid w:val="00F76CF0"/>
    <w:rsid w:val="00F90E8F"/>
    <w:rsid w:val="00FB1A48"/>
    <w:rsid w:val="00FC7B2B"/>
    <w:rsid w:val="00FD0EDE"/>
    <w:rsid w:val="00FE0A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65B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6A0F"/>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226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6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6A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6A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6A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6A0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6A0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6A0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6A0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6A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6A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6A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6A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6A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6A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6A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6A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6A0F"/>
    <w:rPr>
      <w:rFonts w:eastAsiaTheme="majorEastAsia" w:cstheme="majorBidi"/>
      <w:color w:val="272727" w:themeColor="text1" w:themeTint="D8"/>
    </w:rPr>
  </w:style>
  <w:style w:type="paragraph" w:styleId="Titel">
    <w:name w:val="Title"/>
    <w:basedOn w:val="Standaard"/>
    <w:next w:val="Standaard"/>
    <w:link w:val="TitelChar"/>
    <w:uiPriority w:val="10"/>
    <w:qFormat/>
    <w:rsid w:val="00226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6A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6A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6A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6A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6A0F"/>
    <w:rPr>
      <w:i/>
      <w:iCs/>
      <w:color w:val="404040" w:themeColor="text1" w:themeTint="BF"/>
    </w:rPr>
  </w:style>
  <w:style w:type="paragraph" w:styleId="Lijstalinea">
    <w:name w:val="List Paragraph"/>
    <w:basedOn w:val="Standaard"/>
    <w:uiPriority w:val="34"/>
    <w:qFormat/>
    <w:rsid w:val="00226A0F"/>
    <w:pPr>
      <w:ind w:left="720"/>
      <w:contextualSpacing/>
    </w:pPr>
  </w:style>
  <w:style w:type="character" w:styleId="Intensievebenadrukking">
    <w:name w:val="Intense Emphasis"/>
    <w:basedOn w:val="Standaardalinea-lettertype"/>
    <w:uiPriority w:val="21"/>
    <w:qFormat/>
    <w:rsid w:val="00226A0F"/>
    <w:rPr>
      <w:i/>
      <w:iCs/>
      <w:color w:val="0F4761" w:themeColor="accent1" w:themeShade="BF"/>
    </w:rPr>
  </w:style>
  <w:style w:type="paragraph" w:styleId="Duidelijkcitaat">
    <w:name w:val="Intense Quote"/>
    <w:basedOn w:val="Standaard"/>
    <w:next w:val="Standaard"/>
    <w:link w:val="DuidelijkcitaatChar"/>
    <w:uiPriority w:val="30"/>
    <w:qFormat/>
    <w:rsid w:val="00226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6A0F"/>
    <w:rPr>
      <w:i/>
      <w:iCs/>
      <w:color w:val="0F4761" w:themeColor="accent1" w:themeShade="BF"/>
    </w:rPr>
  </w:style>
  <w:style w:type="character" w:styleId="Intensieveverwijzing">
    <w:name w:val="Intense Reference"/>
    <w:basedOn w:val="Standaardalinea-lettertype"/>
    <w:uiPriority w:val="32"/>
    <w:qFormat/>
    <w:rsid w:val="00226A0F"/>
    <w:rPr>
      <w:b/>
      <w:bCs/>
      <w:smallCaps/>
      <w:color w:val="0F4761" w:themeColor="accent1" w:themeShade="BF"/>
      <w:spacing w:val="5"/>
    </w:rPr>
  </w:style>
  <w:style w:type="paragraph" w:customStyle="1" w:styleId="Referentiegegevens">
    <w:name w:val="Referentiegegevens"/>
    <w:basedOn w:val="Standaard"/>
    <w:next w:val="Standaard"/>
    <w:rsid w:val="00226A0F"/>
    <w:pPr>
      <w:spacing w:line="180" w:lineRule="exact"/>
    </w:pPr>
    <w:rPr>
      <w:sz w:val="13"/>
      <w:szCs w:val="13"/>
    </w:rPr>
  </w:style>
  <w:style w:type="paragraph" w:customStyle="1" w:styleId="Referentiegegevensbold">
    <w:name w:val="Referentiegegevens bold"/>
    <w:basedOn w:val="Standaard"/>
    <w:next w:val="Standaard"/>
    <w:rsid w:val="00226A0F"/>
    <w:pPr>
      <w:spacing w:line="180" w:lineRule="exact"/>
    </w:pPr>
    <w:rPr>
      <w:b/>
      <w:sz w:val="13"/>
      <w:szCs w:val="13"/>
    </w:rPr>
  </w:style>
  <w:style w:type="paragraph" w:customStyle="1" w:styleId="Rubricering">
    <w:name w:val="Rubricering"/>
    <w:basedOn w:val="Standaard"/>
    <w:next w:val="Standaard"/>
    <w:rsid w:val="00226A0F"/>
    <w:pPr>
      <w:spacing w:line="180" w:lineRule="exact"/>
    </w:pPr>
    <w:rPr>
      <w:b/>
      <w:caps/>
      <w:sz w:val="13"/>
      <w:szCs w:val="13"/>
    </w:rPr>
  </w:style>
  <w:style w:type="paragraph" w:customStyle="1" w:styleId="WitregelW1">
    <w:name w:val="Witregel W1"/>
    <w:basedOn w:val="Standaard"/>
    <w:next w:val="Standaard"/>
    <w:rsid w:val="00226A0F"/>
    <w:pPr>
      <w:spacing w:line="90" w:lineRule="exact"/>
    </w:pPr>
    <w:rPr>
      <w:sz w:val="9"/>
      <w:szCs w:val="9"/>
    </w:rPr>
  </w:style>
  <w:style w:type="paragraph" w:customStyle="1" w:styleId="WitregelW2">
    <w:name w:val="Witregel W2"/>
    <w:basedOn w:val="Standaard"/>
    <w:next w:val="Standaard"/>
    <w:rsid w:val="00226A0F"/>
    <w:pPr>
      <w:spacing w:line="270" w:lineRule="exact"/>
    </w:pPr>
    <w:rPr>
      <w:sz w:val="27"/>
      <w:szCs w:val="27"/>
    </w:rPr>
  </w:style>
  <w:style w:type="paragraph" w:styleId="Voetnoottekst">
    <w:name w:val="footnote text"/>
    <w:basedOn w:val="Standaard"/>
    <w:link w:val="VoetnoottekstChar"/>
    <w:uiPriority w:val="99"/>
    <w:semiHidden/>
    <w:unhideWhenUsed/>
    <w:rsid w:val="00226A0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26A0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26A0F"/>
    <w:rPr>
      <w:vertAlign w:val="superscript"/>
    </w:rPr>
  </w:style>
  <w:style w:type="character" w:styleId="Verwijzingopmerking">
    <w:name w:val="annotation reference"/>
    <w:basedOn w:val="Standaardalinea-lettertype"/>
    <w:uiPriority w:val="99"/>
    <w:semiHidden/>
    <w:unhideWhenUsed/>
    <w:rsid w:val="00226A0F"/>
    <w:rPr>
      <w:sz w:val="16"/>
      <w:szCs w:val="16"/>
    </w:rPr>
  </w:style>
  <w:style w:type="paragraph" w:styleId="Tekstopmerking">
    <w:name w:val="annotation text"/>
    <w:basedOn w:val="Standaard"/>
    <w:link w:val="TekstopmerkingChar"/>
    <w:uiPriority w:val="99"/>
    <w:unhideWhenUsed/>
    <w:rsid w:val="00226A0F"/>
    <w:pPr>
      <w:spacing w:line="240" w:lineRule="auto"/>
    </w:pPr>
    <w:rPr>
      <w:sz w:val="20"/>
      <w:szCs w:val="20"/>
    </w:rPr>
  </w:style>
  <w:style w:type="character" w:customStyle="1" w:styleId="TekstopmerkingChar">
    <w:name w:val="Tekst opmerking Char"/>
    <w:basedOn w:val="Standaardalinea-lettertype"/>
    <w:link w:val="Tekstopmerking"/>
    <w:uiPriority w:val="99"/>
    <w:rsid w:val="00226A0F"/>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26A0F"/>
    <w:rPr>
      <w:b/>
      <w:bCs/>
    </w:rPr>
  </w:style>
  <w:style w:type="character" w:customStyle="1" w:styleId="OnderwerpvanopmerkingChar">
    <w:name w:val="Onderwerp van opmerking Char"/>
    <w:basedOn w:val="TekstopmerkingChar"/>
    <w:link w:val="Onderwerpvanopmerking"/>
    <w:uiPriority w:val="99"/>
    <w:semiHidden/>
    <w:rsid w:val="00226A0F"/>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C012FF"/>
    <w:pPr>
      <w:spacing w:after="0" w:line="240" w:lineRule="auto"/>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67BB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7BB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67BB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7BB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825">
      <w:bodyDiv w:val="1"/>
      <w:marLeft w:val="0"/>
      <w:marRight w:val="0"/>
      <w:marTop w:val="0"/>
      <w:marBottom w:val="0"/>
      <w:divBdr>
        <w:top w:val="none" w:sz="0" w:space="0" w:color="auto"/>
        <w:left w:val="none" w:sz="0" w:space="0" w:color="auto"/>
        <w:bottom w:val="none" w:sz="0" w:space="0" w:color="auto"/>
        <w:right w:val="none" w:sz="0" w:space="0" w:color="auto"/>
      </w:divBdr>
    </w:div>
    <w:div w:id="332488022">
      <w:bodyDiv w:val="1"/>
      <w:marLeft w:val="0"/>
      <w:marRight w:val="0"/>
      <w:marTop w:val="0"/>
      <w:marBottom w:val="0"/>
      <w:divBdr>
        <w:top w:val="none" w:sz="0" w:space="0" w:color="auto"/>
        <w:left w:val="none" w:sz="0" w:space="0" w:color="auto"/>
        <w:bottom w:val="none" w:sz="0" w:space="0" w:color="auto"/>
        <w:right w:val="none" w:sz="0" w:space="0" w:color="auto"/>
      </w:divBdr>
    </w:div>
    <w:div w:id="422796483">
      <w:bodyDiv w:val="1"/>
      <w:marLeft w:val="0"/>
      <w:marRight w:val="0"/>
      <w:marTop w:val="0"/>
      <w:marBottom w:val="0"/>
      <w:divBdr>
        <w:top w:val="none" w:sz="0" w:space="0" w:color="auto"/>
        <w:left w:val="none" w:sz="0" w:space="0" w:color="auto"/>
        <w:bottom w:val="none" w:sz="0" w:space="0" w:color="auto"/>
        <w:right w:val="none" w:sz="0" w:space="0" w:color="auto"/>
      </w:divBdr>
    </w:div>
    <w:div w:id="582878793">
      <w:bodyDiv w:val="1"/>
      <w:marLeft w:val="0"/>
      <w:marRight w:val="0"/>
      <w:marTop w:val="0"/>
      <w:marBottom w:val="0"/>
      <w:divBdr>
        <w:top w:val="none" w:sz="0" w:space="0" w:color="auto"/>
        <w:left w:val="none" w:sz="0" w:space="0" w:color="auto"/>
        <w:bottom w:val="none" w:sz="0" w:space="0" w:color="auto"/>
        <w:right w:val="none" w:sz="0" w:space="0" w:color="auto"/>
      </w:divBdr>
    </w:div>
    <w:div w:id="775754245">
      <w:bodyDiv w:val="1"/>
      <w:marLeft w:val="0"/>
      <w:marRight w:val="0"/>
      <w:marTop w:val="0"/>
      <w:marBottom w:val="0"/>
      <w:divBdr>
        <w:top w:val="none" w:sz="0" w:space="0" w:color="auto"/>
        <w:left w:val="none" w:sz="0" w:space="0" w:color="auto"/>
        <w:bottom w:val="none" w:sz="0" w:space="0" w:color="auto"/>
        <w:right w:val="none" w:sz="0" w:space="0" w:color="auto"/>
      </w:divBdr>
    </w:div>
    <w:div w:id="1552034796">
      <w:bodyDiv w:val="1"/>
      <w:marLeft w:val="0"/>
      <w:marRight w:val="0"/>
      <w:marTop w:val="0"/>
      <w:marBottom w:val="0"/>
      <w:divBdr>
        <w:top w:val="none" w:sz="0" w:space="0" w:color="auto"/>
        <w:left w:val="none" w:sz="0" w:space="0" w:color="auto"/>
        <w:bottom w:val="none" w:sz="0" w:space="0" w:color="auto"/>
        <w:right w:val="none" w:sz="0" w:space="0" w:color="auto"/>
      </w:divBdr>
    </w:div>
    <w:div w:id="1685739915">
      <w:bodyDiv w:val="1"/>
      <w:marLeft w:val="0"/>
      <w:marRight w:val="0"/>
      <w:marTop w:val="0"/>
      <w:marBottom w:val="0"/>
      <w:divBdr>
        <w:top w:val="none" w:sz="0" w:space="0" w:color="auto"/>
        <w:left w:val="none" w:sz="0" w:space="0" w:color="auto"/>
        <w:bottom w:val="none" w:sz="0" w:space="0" w:color="auto"/>
        <w:right w:val="none" w:sz="0" w:space="0" w:color="auto"/>
      </w:divBdr>
    </w:div>
    <w:div w:id="1852913478">
      <w:bodyDiv w:val="1"/>
      <w:marLeft w:val="0"/>
      <w:marRight w:val="0"/>
      <w:marTop w:val="0"/>
      <w:marBottom w:val="0"/>
      <w:divBdr>
        <w:top w:val="none" w:sz="0" w:space="0" w:color="auto"/>
        <w:left w:val="none" w:sz="0" w:space="0" w:color="auto"/>
        <w:bottom w:val="none" w:sz="0" w:space="0" w:color="auto"/>
        <w:right w:val="none" w:sz="0" w:space="0" w:color="auto"/>
      </w:divBdr>
    </w:div>
    <w:div w:id="1985692471">
      <w:bodyDiv w:val="1"/>
      <w:marLeft w:val="0"/>
      <w:marRight w:val="0"/>
      <w:marTop w:val="0"/>
      <w:marBottom w:val="0"/>
      <w:divBdr>
        <w:top w:val="none" w:sz="0" w:space="0" w:color="auto"/>
        <w:left w:val="none" w:sz="0" w:space="0" w:color="auto"/>
        <w:bottom w:val="none" w:sz="0" w:space="0" w:color="auto"/>
        <w:right w:val="none" w:sz="0" w:space="0" w:color="auto"/>
      </w:divBdr>
    </w:div>
    <w:div w:id="20314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1181</ap:Words>
  <ap:Characters>6498</ap:Characters>
  <ap:DocSecurity>0</ap:DocSecurity>
  <ap:Lines>54</ap:Lines>
  <ap:Paragraphs>15</ap:Paragraphs>
  <ap:ScaleCrop>false</ap:ScaleCrop>
  <ap:LinksUpToDate>false</ap:LinksUpToDate>
  <ap:CharactersWithSpaces>7664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2026-06-04T08:33:00.0000000Z</dcterms:created>
  <dcterms:modified xsi:type="dcterms:W3CDTF">2026-06-04T08:33:00.0000000Z</dcterms:modified>
  <version/>
  <category/>
</coreProperties>
</file>