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56C8" w:rsidRDefault="00F956C8" w14:paraId="2E8349D3" w14:textId="1D99FFF5"/>
    <w:p w:rsidR="004C3EDE" w:rsidRDefault="004C3EDE" w14:paraId="0376684A" w14:textId="77777777"/>
    <w:p w:rsidR="004C3EDE" w:rsidRDefault="004C3EDE" w14:paraId="2D706759" w14:textId="073657E6">
      <w:r>
        <w:t xml:space="preserve">In antwoord op uw brief van 17 april 2026, deel ik u mede dat de vragen van de leden Dassen (Volt) en </w:t>
      </w:r>
      <w:proofErr w:type="spellStart"/>
      <w:r>
        <w:t>Kathmann</w:t>
      </w:r>
      <w:proofErr w:type="spellEnd"/>
      <w:r>
        <w:t xml:space="preserve"> (GL/PvdA) over de rechtelijke uitspraak dat X (Twitter) volledige inzage moet geven in persoonsgegevens, worden beantwoord zoals aangegeven in de bijlage bij deze brief.</w:t>
      </w:r>
    </w:p>
    <w:p w:rsidR="004C3EDE" w:rsidRDefault="004C3EDE" w14:paraId="2C0D975D" w14:textId="77777777"/>
    <w:p w:rsidR="004C3EDE" w:rsidRDefault="004C3EDE" w14:paraId="35A5C241" w14:textId="77777777"/>
    <w:p w:rsidR="004C3EDE" w:rsidRDefault="004C3EDE" w14:paraId="0A477EE0" w14:textId="77777777"/>
    <w:p w:rsidR="004C3EDE" w:rsidRDefault="004C3EDE" w14:paraId="3766E5E8" w14:textId="1DF1A9CC">
      <w:r>
        <w:t xml:space="preserve">De </w:t>
      </w:r>
      <w:r w:rsidR="00574EBB">
        <w:t>Staatssecretaris</w:t>
      </w:r>
      <w:r>
        <w:t xml:space="preserve"> van Justitie en Veiligheid,</w:t>
      </w:r>
    </w:p>
    <w:p w:rsidR="004C3EDE" w:rsidRDefault="004C3EDE" w14:paraId="44337805" w14:textId="77777777"/>
    <w:p w:rsidR="004C3EDE" w:rsidRDefault="004C3EDE" w14:paraId="06217EFA" w14:textId="77777777"/>
    <w:p w:rsidR="004C3EDE" w:rsidRDefault="004C3EDE" w14:paraId="7AD6C5AA" w14:textId="77777777"/>
    <w:p w:rsidR="00B63BB5" w:rsidRDefault="00B63BB5" w14:paraId="50AEC577" w14:textId="77777777"/>
    <w:p w:rsidR="004C3EDE" w:rsidRDefault="00574EBB" w14:paraId="2CFC5CA1" w14:textId="72C615DC">
      <w:r>
        <w:t>Claudia van Bruggen</w:t>
      </w:r>
    </w:p>
    <w:p w:rsidR="004C3EDE" w:rsidRDefault="004C3EDE" w14:paraId="22027E1F" w14:textId="77777777"/>
    <w:p w:rsidR="004C3EDE" w:rsidRDefault="004C3EDE" w14:paraId="1297B248" w14:textId="77777777"/>
    <w:p w:rsidR="004C3EDE" w:rsidRDefault="004C3EDE" w14:paraId="54CBC301" w14:textId="77777777"/>
    <w:p w:rsidR="004C3EDE" w:rsidRDefault="004C3EDE" w14:paraId="5FF6D293" w14:textId="77777777"/>
    <w:p w:rsidR="004C3EDE" w:rsidRDefault="004C3EDE" w14:paraId="6583A99B" w14:textId="77777777"/>
    <w:p w:rsidR="004C3EDE" w:rsidRDefault="004C3EDE" w14:paraId="53781F63" w14:textId="77777777"/>
    <w:p w:rsidR="004C3EDE" w:rsidRDefault="004C3EDE" w14:paraId="6A4210AD" w14:textId="77777777"/>
    <w:p w:rsidR="004C3EDE" w:rsidRDefault="004C3EDE" w14:paraId="620CB908" w14:textId="77777777"/>
    <w:p w:rsidR="004C3EDE" w:rsidRDefault="004C3EDE" w14:paraId="7063E29A" w14:textId="77777777"/>
    <w:p w:rsidR="004C3EDE" w:rsidRDefault="004C3EDE" w14:paraId="6BD10088" w14:textId="77777777"/>
    <w:p w:rsidR="004C3EDE" w:rsidRDefault="004C3EDE" w14:paraId="5E985148" w14:textId="77777777"/>
    <w:p w:rsidR="004C3EDE" w:rsidRDefault="004C3EDE" w14:paraId="20D2509C" w14:textId="77777777"/>
    <w:p w:rsidR="004C3EDE" w:rsidRDefault="004C3EDE" w14:paraId="0C64F6D5" w14:textId="77777777"/>
    <w:p w:rsidR="004C3EDE" w:rsidRDefault="004C3EDE" w14:paraId="6B52315B" w14:textId="77777777"/>
    <w:p w:rsidR="004C3EDE" w:rsidRDefault="004C3EDE" w14:paraId="63EBA2B7" w14:textId="77777777"/>
    <w:p w:rsidR="004C3EDE" w:rsidRDefault="004C3EDE" w14:paraId="3E303F24" w14:textId="77777777"/>
    <w:p w:rsidR="004C3EDE" w:rsidRDefault="004C3EDE" w14:paraId="1652899C" w14:textId="77777777"/>
    <w:p w:rsidR="004C3EDE" w:rsidRDefault="004C3EDE" w14:paraId="0223556F" w14:textId="77777777"/>
    <w:p w:rsidR="004C3EDE" w:rsidRDefault="004C3EDE" w14:paraId="7D3DF029" w14:textId="77777777"/>
    <w:p w:rsidR="004C3EDE" w:rsidRDefault="004C3EDE" w14:paraId="69C1817A" w14:textId="77777777"/>
    <w:p w:rsidR="004C3EDE" w:rsidRDefault="004C3EDE" w14:paraId="3CAD0A9F" w14:textId="77777777"/>
    <w:p w:rsidR="004C3EDE" w:rsidRDefault="004C3EDE" w14:paraId="435AF901" w14:textId="77777777"/>
    <w:p w:rsidRPr="004C3EDE" w:rsidR="004C3EDE" w:rsidP="004C3EDE" w:rsidRDefault="004C3EDE" w14:paraId="269BBF22" w14:textId="77777777">
      <w:pPr>
        <w:rPr>
          <w:b/>
          <w:bCs/>
        </w:rPr>
      </w:pPr>
    </w:p>
    <w:p w:rsidR="004C3EDE" w:rsidP="004C3EDE" w:rsidRDefault="004C3EDE" w14:paraId="400051F8" w14:textId="5BDA429E">
      <w:pPr>
        <w:rPr>
          <w:b/>
          <w:bCs/>
        </w:rPr>
      </w:pPr>
      <w:r w:rsidRPr="004C3EDE">
        <w:rPr>
          <w:b/>
          <w:bCs/>
        </w:rPr>
        <w:t xml:space="preserve">Vragen van de leden </w:t>
      </w:r>
      <w:proofErr w:type="spellStart"/>
      <w:r w:rsidRPr="004C3EDE">
        <w:rPr>
          <w:b/>
          <w:bCs/>
        </w:rPr>
        <w:t>Kathmann</w:t>
      </w:r>
      <w:proofErr w:type="spellEnd"/>
      <w:r w:rsidRPr="004C3EDE">
        <w:rPr>
          <w:b/>
          <w:bCs/>
        </w:rPr>
        <w:t xml:space="preserve"> (GroenLinks-PvdA) en Dassen (Volt) aan de minister van Justitie en Veiligheid en de staatssecretaris voor Economische Zaken en Klimaat over de rechtelijke uitspraak dat X (Twitter) volledige inzage moet geven in persoonsgegevens</w:t>
      </w:r>
    </w:p>
    <w:p w:rsidRPr="004C3EDE" w:rsidR="004C3EDE" w:rsidP="004C3EDE" w:rsidRDefault="004C3EDE" w14:paraId="4E9707AD" w14:textId="1EF6BB9A">
      <w:pPr>
        <w:pBdr>
          <w:bottom w:val="single" w:color="auto" w:sz="6" w:space="1"/>
        </w:pBdr>
        <w:rPr>
          <w:b/>
          <w:bCs/>
        </w:rPr>
      </w:pPr>
      <w:r>
        <w:rPr>
          <w:b/>
          <w:bCs/>
        </w:rPr>
        <w:t>(ingezonden op 17 april 2026, 2026Z083236)</w:t>
      </w:r>
    </w:p>
    <w:p w:rsidR="004C3EDE" w:rsidP="004C3EDE" w:rsidRDefault="004C3EDE" w14:paraId="3594A16E" w14:textId="77777777">
      <w:pPr>
        <w:rPr>
          <w:b/>
          <w:bCs/>
        </w:rPr>
      </w:pPr>
    </w:p>
    <w:p w:rsidRPr="004C3EDE" w:rsidR="004C3EDE" w:rsidP="004C3EDE" w:rsidRDefault="004C3EDE" w14:paraId="3B964D6C" w14:textId="77777777">
      <w:pPr>
        <w:rPr>
          <w:b/>
          <w:bCs/>
        </w:rPr>
      </w:pPr>
    </w:p>
    <w:p w:rsidRPr="004C3EDE" w:rsidR="004C3EDE" w:rsidP="004C3EDE" w:rsidRDefault="004C3EDE" w14:paraId="53B7D40C" w14:textId="77777777">
      <w:pPr>
        <w:rPr>
          <w:b/>
          <w:bCs/>
        </w:rPr>
      </w:pPr>
      <w:r w:rsidRPr="004C3EDE">
        <w:rPr>
          <w:b/>
          <w:bCs/>
        </w:rPr>
        <w:t>Vraag 1</w:t>
      </w:r>
    </w:p>
    <w:p w:rsidR="004C3EDE" w:rsidP="004C3EDE" w:rsidRDefault="004C3EDE" w14:paraId="4E4EB4D6" w14:textId="1024EB26">
      <w:pPr>
        <w:rPr>
          <w:b/>
          <w:bCs/>
        </w:rPr>
      </w:pPr>
      <w:r w:rsidRPr="004C3EDE">
        <w:rPr>
          <w:b/>
          <w:bCs/>
        </w:rPr>
        <w:t xml:space="preserve">Bent u bekend met de uitspraak van het Gerechtshof Amsterdam van 14 april 2026 in de zaak tussen X (Twitter) en een individu om inzage </w:t>
      </w:r>
      <w:proofErr w:type="spellStart"/>
      <w:r w:rsidRPr="004C3EDE">
        <w:rPr>
          <w:b/>
          <w:bCs/>
        </w:rPr>
        <w:t>temogen</w:t>
      </w:r>
      <w:proofErr w:type="spellEnd"/>
      <w:r w:rsidRPr="004C3EDE">
        <w:rPr>
          <w:b/>
          <w:bCs/>
        </w:rPr>
        <w:t xml:space="preserve"> krijgen in de gegevens die het bedrijf van hem bijhoudt?[1]</w:t>
      </w:r>
    </w:p>
    <w:p w:rsidR="00DF19C0" w:rsidP="004C3EDE" w:rsidRDefault="00DF19C0" w14:paraId="52F91E2C" w14:textId="77777777">
      <w:pPr>
        <w:rPr>
          <w:b/>
          <w:bCs/>
        </w:rPr>
      </w:pPr>
    </w:p>
    <w:p w:rsidRPr="004C3EDE" w:rsidR="00DF19C0" w:rsidP="004C3EDE" w:rsidRDefault="00DF19C0" w14:paraId="45AA37DE" w14:textId="3137355F">
      <w:pPr>
        <w:rPr>
          <w:b/>
          <w:bCs/>
        </w:rPr>
      </w:pPr>
      <w:r>
        <w:rPr>
          <w:b/>
          <w:bCs/>
        </w:rPr>
        <w:t xml:space="preserve">Antwoord </w:t>
      </w:r>
      <w:r w:rsidR="00B63BB5">
        <w:rPr>
          <w:b/>
          <w:bCs/>
        </w:rPr>
        <w:t xml:space="preserve">op vraag </w:t>
      </w:r>
      <w:r>
        <w:rPr>
          <w:b/>
          <w:bCs/>
        </w:rPr>
        <w:t>1</w:t>
      </w:r>
    </w:p>
    <w:p w:rsidRPr="00DF19C0" w:rsidR="004C3EDE" w:rsidP="004C3EDE" w:rsidRDefault="00DF19C0" w14:paraId="3C7C65D6" w14:textId="0B6D8AFE">
      <w:r>
        <w:t>Ja.</w:t>
      </w:r>
    </w:p>
    <w:p w:rsidRPr="004C3EDE" w:rsidR="00DF19C0" w:rsidP="004C3EDE" w:rsidRDefault="00DF19C0" w14:paraId="1F95E580" w14:textId="77777777">
      <w:pPr>
        <w:rPr>
          <w:b/>
          <w:bCs/>
        </w:rPr>
      </w:pPr>
    </w:p>
    <w:p w:rsidRPr="004C3EDE" w:rsidR="004C3EDE" w:rsidP="004C3EDE" w:rsidRDefault="004C3EDE" w14:paraId="0B5B9265" w14:textId="77777777">
      <w:pPr>
        <w:rPr>
          <w:b/>
          <w:bCs/>
        </w:rPr>
      </w:pPr>
      <w:r w:rsidRPr="004C3EDE">
        <w:rPr>
          <w:b/>
          <w:bCs/>
        </w:rPr>
        <w:t>Vraag 2</w:t>
      </w:r>
    </w:p>
    <w:p w:rsidRPr="004C3EDE" w:rsidR="004C3EDE" w:rsidP="004C3EDE" w:rsidRDefault="004C3EDE" w14:paraId="530BE363" w14:textId="77777777">
      <w:pPr>
        <w:rPr>
          <w:b/>
          <w:bCs/>
        </w:rPr>
      </w:pPr>
      <w:r w:rsidRPr="004C3EDE">
        <w:rPr>
          <w:b/>
          <w:bCs/>
        </w:rPr>
        <w:t xml:space="preserve">Wat is uw reactie op deze uitspraak en de gevolgen die het heeft voor de interpretatie van artikel 15 </w:t>
      </w:r>
      <w:bookmarkStart w:name="_Hlk230101067" w:id="0"/>
      <w:r w:rsidRPr="004C3EDE">
        <w:rPr>
          <w:b/>
          <w:bCs/>
        </w:rPr>
        <w:t>van de Algemene Verordening Gegevensbescherming (AVG)</w:t>
      </w:r>
      <w:bookmarkEnd w:id="0"/>
      <w:r w:rsidRPr="004C3EDE">
        <w:rPr>
          <w:b/>
          <w:bCs/>
        </w:rPr>
        <w:t>, zowel nationaal als in Europees verband?</w:t>
      </w:r>
    </w:p>
    <w:p w:rsidRPr="004C3EDE" w:rsidR="004C3EDE" w:rsidP="004C3EDE" w:rsidRDefault="004C3EDE" w14:paraId="0A1F3DBC" w14:textId="77777777">
      <w:pPr>
        <w:rPr>
          <w:b/>
          <w:bCs/>
        </w:rPr>
      </w:pPr>
    </w:p>
    <w:p w:rsidR="00DF19C0" w:rsidP="004C3EDE" w:rsidRDefault="00DF19C0" w14:paraId="703CAF7A" w14:textId="3A6120B1">
      <w:pPr>
        <w:rPr>
          <w:b/>
          <w:bCs/>
        </w:rPr>
      </w:pPr>
      <w:r>
        <w:rPr>
          <w:b/>
          <w:bCs/>
        </w:rPr>
        <w:t>Antwoord</w:t>
      </w:r>
      <w:r w:rsidRPr="004C3EDE">
        <w:rPr>
          <w:b/>
          <w:bCs/>
        </w:rPr>
        <w:t xml:space="preserve"> </w:t>
      </w:r>
      <w:r w:rsidR="00B63BB5">
        <w:rPr>
          <w:b/>
          <w:bCs/>
        </w:rPr>
        <w:t xml:space="preserve">op vraag </w:t>
      </w:r>
      <w:r>
        <w:rPr>
          <w:b/>
          <w:bCs/>
        </w:rPr>
        <w:t>2</w:t>
      </w:r>
    </w:p>
    <w:p w:rsidRPr="00DF19C0" w:rsidR="00DF19C0" w:rsidP="004C3EDE" w:rsidRDefault="00DF19C0" w14:paraId="15BEEF9C" w14:textId="2658CD2E">
      <w:r w:rsidRPr="00DF19C0">
        <w:t xml:space="preserve">De uitspraak is gedaan in een specifieke casus, waarin de rechter op basis van de feiten en omstandigheden van het geval tot een oordeel is gekomen. Van een nieuwe interpretatie van artikel 15 </w:t>
      </w:r>
      <w:r w:rsidRPr="00574EBB" w:rsidR="00574EBB">
        <w:t>van de Algemene Verordening Gegevensbescherming (AVG)</w:t>
      </w:r>
      <w:r w:rsidR="00574EBB">
        <w:t xml:space="preserve"> </w:t>
      </w:r>
      <w:r w:rsidRPr="00DF19C0">
        <w:t>geeft de uitspraak geen blijk</w:t>
      </w:r>
      <w:r w:rsidR="00574EBB">
        <w:t>.</w:t>
      </w:r>
      <w:r w:rsidRPr="00DF19C0">
        <w:t xml:space="preserve"> </w:t>
      </w:r>
      <w:r w:rsidR="00574EBB">
        <w:t>H</w:t>
      </w:r>
      <w:r w:rsidRPr="00DF19C0">
        <w:t xml:space="preserve">et is veeleer een toepassing van deze bepaling in de praktijk. De normen uit de AVG laten daar ook ruimte toe; zij staan een weging van belangen en een </w:t>
      </w:r>
      <w:proofErr w:type="spellStart"/>
      <w:r w:rsidRPr="00DF19C0">
        <w:t>risicogebaseerde</w:t>
      </w:r>
      <w:proofErr w:type="spellEnd"/>
      <w:r w:rsidRPr="00DF19C0">
        <w:t xml:space="preserve"> aanpak voor. Op dit moment zie ik in deze uitspraak dan ook geen aanleiding om te concluderen dat de interpretatie van artikel 15 van de AVG</w:t>
      </w:r>
      <w:r w:rsidR="0011789A">
        <w:t>,</w:t>
      </w:r>
      <w:r w:rsidRPr="00DF19C0">
        <w:t xml:space="preserve"> zowel op nationaal als in Europees verband, </w:t>
      </w:r>
      <w:r w:rsidR="00574EBB">
        <w:t xml:space="preserve">hierdoor </w:t>
      </w:r>
      <w:r w:rsidRPr="00DF19C0">
        <w:t>wezenlijk wijzigt.</w:t>
      </w:r>
    </w:p>
    <w:p w:rsidR="00DF19C0" w:rsidP="004C3EDE" w:rsidRDefault="00DF19C0" w14:paraId="557B07E1" w14:textId="77777777">
      <w:pPr>
        <w:rPr>
          <w:b/>
          <w:bCs/>
        </w:rPr>
      </w:pPr>
    </w:p>
    <w:p w:rsidRPr="004C3EDE" w:rsidR="004C3EDE" w:rsidP="004C3EDE" w:rsidRDefault="004C3EDE" w14:paraId="6B9016EF" w14:textId="6324CC4F">
      <w:pPr>
        <w:rPr>
          <w:b/>
          <w:bCs/>
        </w:rPr>
      </w:pPr>
      <w:r w:rsidRPr="004C3EDE">
        <w:rPr>
          <w:b/>
          <w:bCs/>
        </w:rPr>
        <w:t>Vraag 3</w:t>
      </w:r>
    </w:p>
    <w:p w:rsidRPr="004C3EDE" w:rsidR="004C3EDE" w:rsidP="004C3EDE" w:rsidRDefault="004C3EDE" w14:paraId="11CCAD29" w14:textId="77777777">
      <w:pPr>
        <w:rPr>
          <w:b/>
          <w:bCs/>
        </w:rPr>
      </w:pPr>
      <w:r w:rsidRPr="004C3EDE">
        <w:rPr>
          <w:b/>
          <w:bCs/>
        </w:rPr>
        <w:t>Bent u bereid om de Autoriteit Persoonsgegevens te vragen om een onafhankelijke analyse uit te voeren naar de gevolgen van de uitspraak voor de interpretatie, handhaving en uitoefening van het inzagerecht voor individuele gebruikers?</w:t>
      </w:r>
    </w:p>
    <w:p w:rsidR="004C3EDE" w:rsidP="004C3EDE" w:rsidRDefault="004C3EDE" w14:paraId="741BCBBE" w14:textId="77777777">
      <w:pPr>
        <w:rPr>
          <w:b/>
          <w:bCs/>
        </w:rPr>
      </w:pPr>
    </w:p>
    <w:p w:rsidR="00DF19C0" w:rsidP="004C3EDE" w:rsidRDefault="00DF19C0" w14:paraId="67F3A930" w14:textId="36918C8C">
      <w:pPr>
        <w:rPr>
          <w:b/>
          <w:bCs/>
        </w:rPr>
      </w:pPr>
      <w:r>
        <w:rPr>
          <w:b/>
          <w:bCs/>
        </w:rPr>
        <w:t xml:space="preserve">Antwoord </w:t>
      </w:r>
      <w:r w:rsidR="00B63BB5">
        <w:rPr>
          <w:b/>
          <w:bCs/>
        </w:rPr>
        <w:t xml:space="preserve">op vraag </w:t>
      </w:r>
      <w:r>
        <w:rPr>
          <w:b/>
          <w:bCs/>
        </w:rPr>
        <w:t>3</w:t>
      </w:r>
    </w:p>
    <w:p w:rsidRPr="00DF19C0" w:rsidR="00DF19C0" w:rsidP="004C3EDE" w:rsidRDefault="00DF19C0" w14:paraId="736BF098" w14:textId="2FF87FA5">
      <w:r w:rsidRPr="00DF19C0">
        <w:t xml:space="preserve">De Autoriteit Persoonsgegevens </w:t>
      </w:r>
      <w:r w:rsidR="00574EBB">
        <w:t xml:space="preserve">(AP) </w:t>
      </w:r>
      <w:r w:rsidRPr="00DF19C0">
        <w:t>ziet als onafhankelijke toezichthouder toe op de naleving van de AVG en kan handhavend optreden wanneer sprake is van een overtreding van de regels die zijn neergelegd in de AVG. Daarnaast heeft de toezichthouder een belangrijke rol in voorlichting.</w:t>
      </w:r>
      <w:r w:rsidR="0011789A">
        <w:t xml:space="preserve"> </w:t>
      </w:r>
      <w:r w:rsidRPr="00DF19C0">
        <w:t>Op dit moment biedt de A</w:t>
      </w:r>
      <w:r w:rsidR="00574EBB">
        <w:t>P</w:t>
      </w:r>
      <w:r w:rsidRPr="00DF19C0">
        <w:t xml:space="preserve"> via haar website duidelijke informatie en handvatten voor de uitoefening van het inzagerecht. Indien zij van mening is dat nieuwe ontwikkelingen aanleiding geven voor een nadere duiding of actualisatie van deze handvatten, ligt het in de rede dat de A</w:t>
      </w:r>
      <w:r w:rsidR="00574EBB">
        <w:t>P</w:t>
      </w:r>
      <w:r w:rsidRPr="00DF19C0">
        <w:t xml:space="preserve"> dit zelfstandig zal bezien. Ik zie alles bijeengenomen geen reden om de AP hierom te vragen.</w:t>
      </w:r>
    </w:p>
    <w:p w:rsidRPr="004C3EDE" w:rsidR="00DF19C0" w:rsidP="004C3EDE" w:rsidRDefault="00DF19C0" w14:paraId="22E12608" w14:textId="77777777">
      <w:pPr>
        <w:rPr>
          <w:b/>
          <w:bCs/>
        </w:rPr>
      </w:pPr>
    </w:p>
    <w:p w:rsidR="00B63BB5" w:rsidP="004C3EDE" w:rsidRDefault="00B63BB5" w14:paraId="39031D70" w14:textId="77777777">
      <w:pPr>
        <w:rPr>
          <w:b/>
          <w:bCs/>
        </w:rPr>
      </w:pPr>
    </w:p>
    <w:p w:rsidRPr="004C3EDE" w:rsidR="004C3EDE" w:rsidP="004C3EDE" w:rsidRDefault="004C3EDE" w14:paraId="69642DA9" w14:textId="08C9991A">
      <w:pPr>
        <w:rPr>
          <w:b/>
          <w:bCs/>
        </w:rPr>
      </w:pPr>
      <w:r w:rsidRPr="004C3EDE">
        <w:rPr>
          <w:b/>
          <w:bCs/>
        </w:rPr>
        <w:t>Vraag 4</w:t>
      </w:r>
    </w:p>
    <w:p w:rsidRPr="004C3EDE" w:rsidR="004C3EDE" w:rsidP="004C3EDE" w:rsidRDefault="004C3EDE" w14:paraId="43388D21" w14:textId="77777777">
      <w:pPr>
        <w:rPr>
          <w:b/>
          <w:bCs/>
        </w:rPr>
      </w:pPr>
      <w:r w:rsidRPr="004C3EDE">
        <w:rPr>
          <w:b/>
          <w:bCs/>
        </w:rPr>
        <w:t xml:space="preserve">Bent u op de hoogte van meer (soortgelijke) rechtszaken die tegen grote </w:t>
      </w:r>
      <w:proofErr w:type="spellStart"/>
      <w:r w:rsidRPr="004C3EDE">
        <w:rPr>
          <w:b/>
          <w:bCs/>
        </w:rPr>
        <w:t>techbedrijven</w:t>
      </w:r>
      <w:proofErr w:type="spellEnd"/>
      <w:r w:rsidRPr="004C3EDE">
        <w:rPr>
          <w:b/>
          <w:bCs/>
        </w:rPr>
        <w:t xml:space="preserve"> als X (Twitter) lopen? Welke gevolgen heeft de uitspraak op deze lopende zaken?</w:t>
      </w:r>
    </w:p>
    <w:p w:rsidR="004C3EDE" w:rsidP="004C3EDE" w:rsidRDefault="004C3EDE" w14:paraId="6B8AF192" w14:textId="77777777">
      <w:pPr>
        <w:rPr>
          <w:b/>
          <w:bCs/>
        </w:rPr>
      </w:pPr>
    </w:p>
    <w:p w:rsidR="00DF19C0" w:rsidP="004C3EDE" w:rsidRDefault="00DF19C0" w14:paraId="25DAE477" w14:textId="1FFA2C74">
      <w:pPr>
        <w:rPr>
          <w:b/>
          <w:bCs/>
        </w:rPr>
      </w:pPr>
      <w:r>
        <w:rPr>
          <w:b/>
          <w:bCs/>
        </w:rPr>
        <w:t xml:space="preserve">Antwoord </w:t>
      </w:r>
      <w:r w:rsidR="00B63BB5">
        <w:rPr>
          <w:b/>
          <w:bCs/>
        </w:rPr>
        <w:t xml:space="preserve">op vraag </w:t>
      </w:r>
      <w:r>
        <w:rPr>
          <w:b/>
          <w:bCs/>
        </w:rPr>
        <w:t>4</w:t>
      </w:r>
    </w:p>
    <w:p w:rsidRPr="00DF19C0" w:rsidR="00DF19C0" w:rsidP="004C3EDE" w:rsidRDefault="00DF19C0" w14:paraId="26E7AD91" w14:textId="16E803B0">
      <w:r w:rsidRPr="00DF19C0">
        <w:t>Ik beschik niet over deze informatie.</w:t>
      </w:r>
    </w:p>
    <w:p w:rsidRPr="004C3EDE" w:rsidR="00DF19C0" w:rsidP="004C3EDE" w:rsidRDefault="00DF19C0" w14:paraId="44459AF8" w14:textId="77777777">
      <w:pPr>
        <w:rPr>
          <w:b/>
          <w:bCs/>
        </w:rPr>
      </w:pPr>
    </w:p>
    <w:p w:rsidRPr="004C3EDE" w:rsidR="004C3EDE" w:rsidP="004C3EDE" w:rsidRDefault="004C3EDE" w14:paraId="4C624BEC" w14:textId="77777777">
      <w:pPr>
        <w:rPr>
          <w:b/>
          <w:bCs/>
        </w:rPr>
      </w:pPr>
      <w:r w:rsidRPr="004C3EDE">
        <w:rPr>
          <w:b/>
          <w:bCs/>
        </w:rPr>
        <w:t>Vraag 5</w:t>
      </w:r>
    </w:p>
    <w:p w:rsidRPr="004C3EDE" w:rsidR="004C3EDE" w:rsidP="004C3EDE" w:rsidRDefault="004C3EDE" w14:paraId="72078D80" w14:textId="77777777">
      <w:pPr>
        <w:rPr>
          <w:b/>
          <w:bCs/>
        </w:rPr>
      </w:pPr>
      <w:r w:rsidRPr="004C3EDE">
        <w:rPr>
          <w:b/>
          <w:bCs/>
        </w:rPr>
        <w:t>Hoe wordt er op toegezien dat X (Twitter) de uitspraak van de rechter naar behoren uitvoert en (nagenoeg) volledige inzage geeft in de persoonsgegevens van de gebruiker, gezien het feit dat deze partij eerder al weigerde dit te doen?</w:t>
      </w:r>
    </w:p>
    <w:p w:rsidR="004C3EDE" w:rsidP="004C3EDE" w:rsidRDefault="004C3EDE" w14:paraId="26CC4F81" w14:textId="77777777">
      <w:pPr>
        <w:rPr>
          <w:b/>
          <w:bCs/>
        </w:rPr>
      </w:pPr>
    </w:p>
    <w:p w:rsidR="00DF19C0" w:rsidP="004C3EDE" w:rsidRDefault="00DF19C0" w14:paraId="41178055" w14:textId="5453357C">
      <w:pPr>
        <w:rPr>
          <w:b/>
          <w:bCs/>
        </w:rPr>
      </w:pPr>
      <w:r>
        <w:rPr>
          <w:b/>
          <w:bCs/>
        </w:rPr>
        <w:t xml:space="preserve">Antwoord </w:t>
      </w:r>
      <w:r w:rsidR="00B63BB5">
        <w:rPr>
          <w:b/>
          <w:bCs/>
        </w:rPr>
        <w:t xml:space="preserve">op vraag </w:t>
      </w:r>
      <w:r>
        <w:rPr>
          <w:b/>
          <w:bCs/>
        </w:rPr>
        <w:t>5</w:t>
      </w:r>
    </w:p>
    <w:p w:rsidRPr="00DF19C0" w:rsidR="00DF19C0" w:rsidP="004C3EDE" w:rsidRDefault="00DF19C0" w14:paraId="7C3F69C3" w14:textId="1F001A0A">
      <w:r w:rsidRPr="00DF19C0">
        <w:t xml:space="preserve">In civielrechtelijke zaken zoals deze is het aan partijen zelf om uitvoering te geven aan </w:t>
      </w:r>
      <w:r w:rsidR="00574EBB">
        <w:t>een rechterlijke</w:t>
      </w:r>
      <w:r w:rsidRPr="00DF19C0">
        <w:t xml:space="preserve"> uitspraak. De uitspraak in kwestie is uitvoerbaar bij voorraad, wat inhoudt dat aan de uitspraak direct gevolg moet worden gegeven. Indien een partij dit nalaat, staan voor de wederpartij onder andere civielrechtelijke middelen open om nakoming af te dwingen.</w:t>
      </w:r>
    </w:p>
    <w:p w:rsidRPr="004C3EDE" w:rsidR="00DF19C0" w:rsidP="004C3EDE" w:rsidRDefault="00DF19C0" w14:paraId="48AD143D" w14:textId="77777777">
      <w:pPr>
        <w:rPr>
          <w:b/>
          <w:bCs/>
        </w:rPr>
      </w:pPr>
    </w:p>
    <w:p w:rsidRPr="004C3EDE" w:rsidR="004C3EDE" w:rsidP="004C3EDE" w:rsidRDefault="004C3EDE" w14:paraId="0712BFD7" w14:textId="77777777">
      <w:pPr>
        <w:rPr>
          <w:b/>
          <w:bCs/>
        </w:rPr>
      </w:pPr>
      <w:r w:rsidRPr="004C3EDE">
        <w:rPr>
          <w:b/>
          <w:bCs/>
        </w:rPr>
        <w:t>Vraag 6</w:t>
      </w:r>
    </w:p>
    <w:p w:rsidR="004C3EDE" w:rsidP="004C3EDE" w:rsidRDefault="004C3EDE" w14:paraId="75564284" w14:textId="77777777">
      <w:pPr>
        <w:rPr>
          <w:b/>
          <w:bCs/>
        </w:rPr>
      </w:pPr>
      <w:r w:rsidRPr="004C3EDE">
        <w:rPr>
          <w:b/>
          <w:bCs/>
        </w:rPr>
        <w:t xml:space="preserve">Bent u op de hoogte dat X (Twitter) in deze zaak meermaals heeft geprobeerd om de andere partij een spreekverbod op te leggen? Erkent u dat deze handelingen vanuit een groot internationaal </w:t>
      </w:r>
      <w:proofErr w:type="spellStart"/>
      <w:r w:rsidRPr="004C3EDE">
        <w:rPr>
          <w:b/>
          <w:bCs/>
        </w:rPr>
        <w:t>techbedrijf</w:t>
      </w:r>
      <w:proofErr w:type="spellEnd"/>
      <w:r w:rsidRPr="004C3EDE">
        <w:rPr>
          <w:b/>
          <w:bCs/>
        </w:rPr>
        <w:t xml:space="preserve"> intimiderend is tegenover één individu?</w:t>
      </w:r>
    </w:p>
    <w:p w:rsidR="00DF19C0" w:rsidP="004C3EDE" w:rsidRDefault="00DF19C0" w14:paraId="02A9348F" w14:textId="77777777">
      <w:pPr>
        <w:rPr>
          <w:b/>
          <w:bCs/>
        </w:rPr>
      </w:pPr>
    </w:p>
    <w:p w:rsidRPr="004C3EDE" w:rsidR="00DF19C0" w:rsidP="004C3EDE" w:rsidRDefault="00DF19C0" w14:paraId="705DDE04" w14:textId="2FD952BF">
      <w:pPr>
        <w:rPr>
          <w:b/>
          <w:bCs/>
        </w:rPr>
      </w:pPr>
      <w:r>
        <w:rPr>
          <w:b/>
          <w:bCs/>
        </w:rPr>
        <w:t xml:space="preserve">Antwoord </w:t>
      </w:r>
      <w:r w:rsidR="00B63BB5">
        <w:rPr>
          <w:b/>
          <w:bCs/>
        </w:rPr>
        <w:t xml:space="preserve">op vraag </w:t>
      </w:r>
      <w:r>
        <w:rPr>
          <w:b/>
          <w:bCs/>
        </w:rPr>
        <w:t>6</w:t>
      </w:r>
    </w:p>
    <w:p w:rsidRPr="00DF19C0" w:rsidR="004C3EDE" w:rsidP="004C3EDE" w:rsidRDefault="00DF19C0" w14:paraId="0942B0A0" w14:textId="135F2F5C">
      <w:r w:rsidRPr="00DF19C0">
        <w:t>Ik heb kennisgenomen van berichten in de media, waarin wordt gesteld dat X getracht zou hebben om de andere partij een spreekverbod op te leggen.</w:t>
      </w:r>
      <w:r w:rsidR="00C31A1B">
        <w:t xml:space="preserve"> Behalve wat hierover naar buiten is gebracht, beschik ik niet over informatie op basis waarvan ik objectief kan vaststellen wat er tussen partijen is voorgevallen. Ik wil daar dan ook geen uitspraken over doen. </w:t>
      </w:r>
    </w:p>
    <w:p w:rsidRPr="004C3EDE" w:rsidR="00DF19C0" w:rsidP="004C3EDE" w:rsidRDefault="00DF19C0" w14:paraId="5359C9C7" w14:textId="77777777">
      <w:pPr>
        <w:rPr>
          <w:b/>
          <w:bCs/>
        </w:rPr>
      </w:pPr>
    </w:p>
    <w:p w:rsidRPr="004C3EDE" w:rsidR="004C3EDE" w:rsidP="004C3EDE" w:rsidRDefault="004C3EDE" w14:paraId="5E7EA88A" w14:textId="77777777">
      <w:pPr>
        <w:rPr>
          <w:b/>
          <w:bCs/>
        </w:rPr>
      </w:pPr>
      <w:r w:rsidRPr="004C3EDE">
        <w:rPr>
          <w:b/>
          <w:bCs/>
        </w:rPr>
        <w:t>Vraag 7</w:t>
      </w:r>
    </w:p>
    <w:p w:rsidRPr="004C3EDE" w:rsidR="004C3EDE" w:rsidP="004C3EDE" w:rsidRDefault="004C3EDE" w14:paraId="3C149BBC" w14:textId="77777777">
      <w:pPr>
        <w:rPr>
          <w:b/>
          <w:bCs/>
        </w:rPr>
      </w:pPr>
      <w:r w:rsidRPr="004C3EDE">
        <w:rPr>
          <w:b/>
          <w:bCs/>
        </w:rPr>
        <w:t xml:space="preserve">Biedt de richtlijn tegen Strategic </w:t>
      </w:r>
      <w:proofErr w:type="spellStart"/>
      <w:r w:rsidRPr="004C3EDE">
        <w:rPr>
          <w:b/>
          <w:bCs/>
        </w:rPr>
        <w:t>Lawsuit</w:t>
      </w:r>
      <w:proofErr w:type="spellEnd"/>
      <w:r w:rsidRPr="004C3EDE">
        <w:rPr>
          <w:b/>
          <w:bCs/>
        </w:rPr>
        <w:t xml:space="preserve"> </w:t>
      </w:r>
      <w:proofErr w:type="spellStart"/>
      <w:r w:rsidRPr="004C3EDE">
        <w:rPr>
          <w:b/>
          <w:bCs/>
        </w:rPr>
        <w:t>Against</w:t>
      </w:r>
      <w:proofErr w:type="spellEnd"/>
      <w:r w:rsidRPr="004C3EDE">
        <w:rPr>
          <w:b/>
          <w:bCs/>
        </w:rPr>
        <w:t xml:space="preserve"> Public </w:t>
      </w:r>
      <w:proofErr w:type="spellStart"/>
      <w:r w:rsidRPr="004C3EDE">
        <w:rPr>
          <w:b/>
          <w:bCs/>
        </w:rPr>
        <w:t>Participation</w:t>
      </w:r>
      <w:proofErr w:type="spellEnd"/>
      <w:r w:rsidRPr="004C3EDE">
        <w:rPr>
          <w:b/>
          <w:bCs/>
        </w:rPr>
        <w:t xml:space="preserve"> (anti-SLAPP-richtlijn) genoeg bescherming tegen individuen die een zaak aanspannen richting grote internationale </w:t>
      </w:r>
      <w:proofErr w:type="spellStart"/>
      <w:r w:rsidRPr="004C3EDE">
        <w:rPr>
          <w:b/>
          <w:bCs/>
        </w:rPr>
        <w:t>techbedrijven</w:t>
      </w:r>
      <w:proofErr w:type="spellEnd"/>
      <w:r w:rsidRPr="004C3EDE">
        <w:rPr>
          <w:b/>
          <w:bCs/>
        </w:rPr>
        <w:t xml:space="preserve"> zoals X (Twitter)? Welke aanvullende maatregelen kunt u nemen om individuen die procederen tegen dit soort bedrijven te beschermen?</w:t>
      </w:r>
    </w:p>
    <w:p w:rsidRPr="004C3EDE" w:rsidR="004C3EDE" w:rsidP="004C3EDE" w:rsidRDefault="004C3EDE" w14:paraId="7DA760D2" w14:textId="77777777">
      <w:pPr>
        <w:rPr>
          <w:b/>
          <w:bCs/>
        </w:rPr>
      </w:pPr>
    </w:p>
    <w:p w:rsidR="00B63BB5" w:rsidP="004C3EDE" w:rsidRDefault="00B63BB5" w14:paraId="3D78E40B" w14:textId="77777777">
      <w:pPr>
        <w:rPr>
          <w:b/>
          <w:bCs/>
        </w:rPr>
      </w:pPr>
    </w:p>
    <w:p w:rsidR="00B63BB5" w:rsidP="004C3EDE" w:rsidRDefault="00B63BB5" w14:paraId="354DD8A4" w14:textId="77777777">
      <w:pPr>
        <w:rPr>
          <w:b/>
          <w:bCs/>
        </w:rPr>
      </w:pPr>
    </w:p>
    <w:p w:rsidR="00B63BB5" w:rsidP="004C3EDE" w:rsidRDefault="00B63BB5" w14:paraId="7F5A9879" w14:textId="77777777">
      <w:pPr>
        <w:rPr>
          <w:b/>
          <w:bCs/>
        </w:rPr>
      </w:pPr>
    </w:p>
    <w:p w:rsidR="00B63BB5" w:rsidP="004C3EDE" w:rsidRDefault="00B63BB5" w14:paraId="5B3AFA7D" w14:textId="77777777">
      <w:pPr>
        <w:rPr>
          <w:b/>
          <w:bCs/>
        </w:rPr>
      </w:pPr>
    </w:p>
    <w:p w:rsidR="00B63BB5" w:rsidP="004C3EDE" w:rsidRDefault="00B63BB5" w14:paraId="5785344F" w14:textId="77777777">
      <w:pPr>
        <w:rPr>
          <w:b/>
          <w:bCs/>
        </w:rPr>
      </w:pPr>
    </w:p>
    <w:p w:rsidR="00B63BB5" w:rsidP="004C3EDE" w:rsidRDefault="00B63BB5" w14:paraId="79FC5AB4" w14:textId="77777777">
      <w:pPr>
        <w:rPr>
          <w:b/>
          <w:bCs/>
        </w:rPr>
      </w:pPr>
    </w:p>
    <w:p w:rsidR="00B63BB5" w:rsidP="004C3EDE" w:rsidRDefault="00B63BB5" w14:paraId="21790BE2" w14:textId="77777777">
      <w:pPr>
        <w:rPr>
          <w:b/>
          <w:bCs/>
        </w:rPr>
      </w:pPr>
    </w:p>
    <w:p w:rsidR="00B63BB5" w:rsidP="004C3EDE" w:rsidRDefault="00B63BB5" w14:paraId="42D5803C" w14:textId="77777777">
      <w:pPr>
        <w:rPr>
          <w:b/>
          <w:bCs/>
        </w:rPr>
      </w:pPr>
    </w:p>
    <w:p w:rsidR="00DF19C0" w:rsidP="004C3EDE" w:rsidRDefault="00DF19C0" w14:paraId="566B8D57" w14:textId="3BC9ABED">
      <w:pPr>
        <w:rPr>
          <w:b/>
          <w:bCs/>
        </w:rPr>
      </w:pPr>
      <w:r>
        <w:rPr>
          <w:b/>
          <w:bCs/>
        </w:rPr>
        <w:t>Antwoord</w:t>
      </w:r>
      <w:r w:rsidRPr="004C3EDE">
        <w:rPr>
          <w:b/>
          <w:bCs/>
        </w:rPr>
        <w:t xml:space="preserve"> </w:t>
      </w:r>
      <w:r w:rsidR="00B63BB5">
        <w:rPr>
          <w:b/>
          <w:bCs/>
        </w:rPr>
        <w:t xml:space="preserve">op vraag </w:t>
      </w:r>
      <w:r>
        <w:rPr>
          <w:b/>
          <w:bCs/>
        </w:rPr>
        <w:t>7</w:t>
      </w:r>
    </w:p>
    <w:p w:rsidRPr="00DF19C0" w:rsidR="00DF19C0" w:rsidP="004C3EDE" w:rsidRDefault="00DF19C0" w14:paraId="42ECAE9E" w14:textId="3B4412F6">
      <w:r w:rsidRPr="00DF19C0">
        <w:t xml:space="preserve">De richtlijn betreffende bescherming van bij publieke participatie betrokken personen tegen kennelijk ongegronde vorderingen of misbruik van procesrecht ('strategische rechtszaken tegen publieke participatie') bevat maatregelen die mensen en organisaties die actief zijn in het publieke debat, kunnen gebruiken om zich te verweren tegen juridische procedures die tégen hen worden aangespannen met het doel om hen het zwijgen op te leggen. Dergelijke rechtszaken staan ook wel bekend onder de Engelstalige afkorting SLAPP (Strategic </w:t>
      </w:r>
      <w:proofErr w:type="spellStart"/>
      <w:r w:rsidRPr="00DF19C0">
        <w:t>Lawsuits</w:t>
      </w:r>
      <w:proofErr w:type="spellEnd"/>
      <w:r w:rsidRPr="00DF19C0">
        <w:t xml:space="preserve"> </w:t>
      </w:r>
      <w:proofErr w:type="spellStart"/>
      <w:r w:rsidRPr="00DF19C0">
        <w:t>Against</w:t>
      </w:r>
      <w:proofErr w:type="spellEnd"/>
      <w:r w:rsidRPr="00DF19C0">
        <w:t xml:space="preserve"> Public </w:t>
      </w:r>
      <w:proofErr w:type="spellStart"/>
      <w:r w:rsidRPr="00DF19C0">
        <w:t>Participation</w:t>
      </w:r>
      <w:proofErr w:type="spellEnd"/>
      <w:r w:rsidRPr="00DF19C0">
        <w:t xml:space="preserve">). Er is geen sprake van een SLAPP als een individu zelf een procedure aanspant tegen een groot internationaal </w:t>
      </w:r>
      <w:proofErr w:type="spellStart"/>
      <w:r w:rsidRPr="00DF19C0">
        <w:t>techbedrijf</w:t>
      </w:r>
      <w:proofErr w:type="spellEnd"/>
      <w:r w:rsidRPr="00DF19C0">
        <w:t>. Als het bedrijf in reactie op de rechtszaak zelf procedures start tegen het individu of een tegenvordering indient</w:t>
      </w:r>
      <w:r w:rsidR="0011789A">
        <w:t>,</w:t>
      </w:r>
      <w:r w:rsidRPr="00DF19C0">
        <w:t xml:space="preserve"> dan kan daar onder omstandigheden wel sprake van zijn. Het Nederlandse procesrecht voorziet in afdoende maatregelen om hiertegen op te komen.</w:t>
      </w:r>
      <w:r w:rsidR="00BF47B3">
        <w:t xml:space="preserve"> </w:t>
      </w:r>
      <w:r w:rsidRPr="00BF47B3" w:rsidR="00BF47B3">
        <w:t>Ter uitvoering van de richtlijn moet enkel de door de richtlijn voorgeschreven maatregel van zekerheidstelling nog worden geïmplementeerd. Het betreffende wetsvoorstel is aanhangig bij Uw Kamer</w:t>
      </w:r>
      <w:r w:rsidR="00BF47B3">
        <w:rPr>
          <w:rStyle w:val="Voetnootmarkering"/>
        </w:rPr>
        <w:footnoteReference w:id="1"/>
      </w:r>
      <w:r w:rsidR="00BF47B3">
        <w:t>.</w:t>
      </w:r>
      <w:r w:rsidRPr="00BF47B3" w:rsidR="00BF47B3">
        <w:t xml:space="preserve">  </w:t>
      </w:r>
    </w:p>
    <w:p w:rsidR="00DF19C0" w:rsidP="004C3EDE" w:rsidRDefault="00DF19C0" w14:paraId="343A5FB2" w14:textId="77777777">
      <w:pPr>
        <w:rPr>
          <w:b/>
          <w:bCs/>
        </w:rPr>
      </w:pPr>
    </w:p>
    <w:p w:rsidRPr="004C3EDE" w:rsidR="004C3EDE" w:rsidP="004C3EDE" w:rsidRDefault="004C3EDE" w14:paraId="193A5D37" w14:textId="771A3192">
      <w:pPr>
        <w:rPr>
          <w:b/>
          <w:bCs/>
        </w:rPr>
      </w:pPr>
      <w:r w:rsidRPr="004C3EDE">
        <w:rPr>
          <w:b/>
          <w:bCs/>
        </w:rPr>
        <w:t>Vraag 8</w:t>
      </w:r>
    </w:p>
    <w:p w:rsidRPr="004C3EDE" w:rsidR="004C3EDE" w:rsidP="004C3EDE" w:rsidRDefault="004C3EDE" w14:paraId="6F16C372" w14:textId="77777777">
      <w:pPr>
        <w:rPr>
          <w:b/>
          <w:bCs/>
        </w:rPr>
      </w:pPr>
      <w:r w:rsidRPr="004C3EDE">
        <w:rPr>
          <w:b/>
          <w:bCs/>
        </w:rPr>
        <w:t>Bent u bekend met de afwijzing van een handhavingsverzoek van de betrokken individu bij de Autoriteit Consument &amp; Markt (ACM), mede omdat er al een civiele zaak loopt?[2] Kunt u er in samenwerking met de ACM op toezien dat handhavingsverzoeken en civiele zaken elkaar in het vervolg niet meer uitsluiten?</w:t>
      </w:r>
    </w:p>
    <w:p w:rsidRPr="004C3EDE" w:rsidR="004C3EDE" w:rsidP="004C3EDE" w:rsidRDefault="004C3EDE" w14:paraId="5754DCA8" w14:textId="77777777">
      <w:pPr>
        <w:rPr>
          <w:b/>
          <w:bCs/>
        </w:rPr>
      </w:pPr>
    </w:p>
    <w:p w:rsidR="00DF19C0" w:rsidP="004C3EDE" w:rsidRDefault="00DF19C0" w14:paraId="466696F7" w14:textId="3EA1FAC8">
      <w:pPr>
        <w:rPr>
          <w:b/>
          <w:bCs/>
        </w:rPr>
      </w:pPr>
      <w:r>
        <w:rPr>
          <w:b/>
          <w:bCs/>
        </w:rPr>
        <w:t>Antwoord</w:t>
      </w:r>
      <w:r w:rsidRPr="004C3EDE">
        <w:rPr>
          <w:b/>
          <w:bCs/>
        </w:rPr>
        <w:t xml:space="preserve"> </w:t>
      </w:r>
      <w:r w:rsidR="00B63BB5">
        <w:rPr>
          <w:b/>
          <w:bCs/>
        </w:rPr>
        <w:t xml:space="preserve">op vraag </w:t>
      </w:r>
      <w:r>
        <w:rPr>
          <w:b/>
          <w:bCs/>
        </w:rPr>
        <w:t>8</w:t>
      </w:r>
    </w:p>
    <w:p w:rsidRPr="00DF19C0" w:rsidR="00DF19C0" w:rsidP="004C3EDE" w:rsidRDefault="00DF19C0" w14:paraId="0EEFF9A0" w14:textId="40ACFCF8">
      <w:r w:rsidRPr="00DF19C0">
        <w:t xml:space="preserve">Bij de behandeling van handhavingsverzoeken past de ACM haar prioriteringsbeleid toe. Daarbij kijkt ACM naar de schadelijkheid van het gedrag waar het verzoek op is gericht, hoe groot het maatschappelijk belang is en in hoeverre ACM in staat is doeltreffend en doelmatig op te treden. In het kader van een beoordeling of de inzet van middelen efficiënt is, of de ingeschatte impact die optreden van ACM kan hebben, kan het reeds lopen van een civiele procedure een factor zijn die wordt meewegen om een verzoek al dan niet in behandeling te nemen. Als een civiele rechter het geschil al behandelt, kan de ACM concluderen dat haar inzet minder noodzakelijk is. De ACM heeft daarin een eigen verantwoordelijkheid waar zij onafhankelijk van politieke sturing invulling aan geeft. </w:t>
      </w:r>
      <w:r w:rsidR="00574EBB">
        <w:t xml:space="preserve">Het kabinet </w:t>
      </w:r>
      <w:r w:rsidRPr="00DF19C0">
        <w:t>kan en ga</w:t>
      </w:r>
      <w:r w:rsidR="00574EBB">
        <w:t>at</w:t>
      </w:r>
      <w:r w:rsidRPr="00DF19C0">
        <w:t xml:space="preserve"> daar niet in treden.</w:t>
      </w:r>
    </w:p>
    <w:p w:rsidR="00DF19C0" w:rsidP="004C3EDE" w:rsidRDefault="00DF19C0" w14:paraId="4DE7FDC6" w14:textId="77777777">
      <w:pPr>
        <w:rPr>
          <w:b/>
          <w:bCs/>
        </w:rPr>
      </w:pPr>
    </w:p>
    <w:p w:rsidRPr="004C3EDE" w:rsidR="004C3EDE" w:rsidP="004C3EDE" w:rsidRDefault="004C3EDE" w14:paraId="6DA1F6C4" w14:textId="68BA4B4F">
      <w:pPr>
        <w:rPr>
          <w:b/>
          <w:bCs/>
        </w:rPr>
      </w:pPr>
      <w:r w:rsidRPr="004C3EDE">
        <w:rPr>
          <w:b/>
          <w:bCs/>
        </w:rPr>
        <w:t>Vraag 9</w:t>
      </w:r>
    </w:p>
    <w:p w:rsidRPr="004C3EDE" w:rsidR="004C3EDE" w:rsidP="004C3EDE" w:rsidRDefault="004C3EDE" w14:paraId="79849FF5" w14:textId="77777777">
      <w:pPr>
        <w:rPr>
          <w:b/>
          <w:bCs/>
        </w:rPr>
      </w:pPr>
      <w:r w:rsidRPr="004C3EDE">
        <w:rPr>
          <w:b/>
          <w:bCs/>
        </w:rPr>
        <w:t>Welke gevolgen heeft het als X (Twitter) niet voldoet aan deze uitspraak? Kan het bedrijf worden gesanctioneerd of alsnog tot openheid gedwongen worden?</w:t>
      </w:r>
    </w:p>
    <w:p w:rsidRPr="004C3EDE" w:rsidR="004C3EDE" w:rsidP="004C3EDE" w:rsidRDefault="004C3EDE" w14:paraId="6FF9636D" w14:textId="77777777">
      <w:pPr>
        <w:rPr>
          <w:b/>
          <w:bCs/>
        </w:rPr>
      </w:pPr>
    </w:p>
    <w:p w:rsidR="00DF19C0" w:rsidP="004C3EDE" w:rsidRDefault="00DF19C0" w14:paraId="5ABEFDD9" w14:textId="716C3ABC">
      <w:pPr>
        <w:rPr>
          <w:b/>
          <w:bCs/>
        </w:rPr>
      </w:pPr>
      <w:r>
        <w:rPr>
          <w:b/>
          <w:bCs/>
        </w:rPr>
        <w:t xml:space="preserve">Antwoord </w:t>
      </w:r>
      <w:r w:rsidR="00B63BB5">
        <w:rPr>
          <w:b/>
          <w:bCs/>
        </w:rPr>
        <w:t xml:space="preserve">op vraag </w:t>
      </w:r>
      <w:r>
        <w:rPr>
          <w:b/>
          <w:bCs/>
        </w:rPr>
        <w:t>9</w:t>
      </w:r>
    </w:p>
    <w:p w:rsidRPr="00DF19C0" w:rsidR="00DF19C0" w:rsidP="004C3EDE" w:rsidRDefault="00DF19C0" w14:paraId="4C765536" w14:textId="1A787797">
      <w:r w:rsidRPr="00DF19C0">
        <w:t>Voor dit antwoord verwijs ik naar het antwoord op vraag 5. Dit is iets tussen partijen; het kabinet heeft hierin geen rol.</w:t>
      </w:r>
    </w:p>
    <w:p w:rsidR="00DF19C0" w:rsidP="004C3EDE" w:rsidRDefault="00DF19C0" w14:paraId="3E33168A" w14:textId="77777777">
      <w:pPr>
        <w:rPr>
          <w:b/>
          <w:bCs/>
        </w:rPr>
      </w:pPr>
    </w:p>
    <w:p w:rsidR="00B63BB5" w:rsidP="004C3EDE" w:rsidRDefault="00B63BB5" w14:paraId="4DB6A549" w14:textId="77777777">
      <w:pPr>
        <w:rPr>
          <w:b/>
          <w:bCs/>
        </w:rPr>
      </w:pPr>
    </w:p>
    <w:p w:rsidR="00B63BB5" w:rsidP="004C3EDE" w:rsidRDefault="00B63BB5" w14:paraId="71ABAD53" w14:textId="77777777">
      <w:pPr>
        <w:rPr>
          <w:b/>
          <w:bCs/>
        </w:rPr>
      </w:pPr>
    </w:p>
    <w:p w:rsidRPr="004C3EDE" w:rsidR="004C3EDE" w:rsidP="004C3EDE" w:rsidRDefault="004C3EDE" w14:paraId="4D683C51" w14:textId="6C1D6185">
      <w:pPr>
        <w:rPr>
          <w:b/>
          <w:bCs/>
        </w:rPr>
      </w:pPr>
      <w:r w:rsidRPr="004C3EDE">
        <w:rPr>
          <w:b/>
          <w:bCs/>
        </w:rPr>
        <w:t>Vraag 10</w:t>
      </w:r>
    </w:p>
    <w:p w:rsidRPr="004C3EDE" w:rsidR="004C3EDE" w:rsidP="004C3EDE" w:rsidRDefault="004C3EDE" w14:paraId="32DEC2AC" w14:textId="77777777">
      <w:pPr>
        <w:rPr>
          <w:b/>
          <w:bCs/>
        </w:rPr>
      </w:pPr>
      <w:r w:rsidRPr="004C3EDE">
        <w:rPr>
          <w:b/>
          <w:bCs/>
        </w:rPr>
        <w:t>Zijn de huidige boetemogelijkheden voor het niet naleven van de AVG volgens u voldoende effectief? Bent u bereid te onderzoeken of er aanvullende handhavingsmogelijkheden, zoals het persoonlijk aansprakelijk maken van bestuurders zoals in andere EU-landen,[3] wenselijk zijn voor bedrijven die stelselmatig de wet niet naleven?</w:t>
      </w:r>
    </w:p>
    <w:p w:rsidRPr="004C3EDE" w:rsidR="004C3EDE" w:rsidP="004C3EDE" w:rsidRDefault="004C3EDE" w14:paraId="26DF12C2" w14:textId="77777777">
      <w:pPr>
        <w:rPr>
          <w:b/>
          <w:bCs/>
        </w:rPr>
      </w:pPr>
    </w:p>
    <w:p w:rsidR="00DF19C0" w:rsidP="004C3EDE" w:rsidRDefault="00DF19C0" w14:paraId="6D1E1A29" w14:textId="28793082">
      <w:pPr>
        <w:rPr>
          <w:b/>
          <w:bCs/>
        </w:rPr>
      </w:pPr>
      <w:r>
        <w:rPr>
          <w:b/>
          <w:bCs/>
        </w:rPr>
        <w:t>Antwoord</w:t>
      </w:r>
      <w:r w:rsidRPr="004C3EDE">
        <w:rPr>
          <w:b/>
          <w:bCs/>
        </w:rPr>
        <w:t xml:space="preserve"> </w:t>
      </w:r>
      <w:r w:rsidR="00B63BB5">
        <w:rPr>
          <w:b/>
          <w:bCs/>
        </w:rPr>
        <w:t xml:space="preserve">op vraag </w:t>
      </w:r>
      <w:r>
        <w:rPr>
          <w:b/>
          <w:bCs/>
        </w:rPr>
        <w:t>10</w:t>
      </w:r>
    </w:p>
    <w:p w:rsidRPr="00DF19C0" w:rsidR="00DF19C0" w:rsidP="004C3EDE" w:rsidRDefault="00DF19C0" w14:paraId="13FB6FF8" w14:textId="2ABCBBAC">
      <w:r w:rsidRPr="00DF19C0">
        <w:t>Ik beschik niet over aanknopingspunten dat het bestaande instrumentarium tekort schiet. Artikel 82 AVG voorziet in een recht op schadevergoeding; de AVG sluit daarbij niet uit dat bestuurders persoonlijk aansprakelijk worden gesteld voor schade die is ontstaan door schendingen van de AVG. In Nederland biedt het burgerlijk recht hiervoor mogelijkheden. Verder bestaat de mogelijkheid dat ex artikel 83 AVG een persoonlijke boete aan een bestuurder of leidinggevende wordt opgelegd, wanneer in strijd met de AVG is gehandeld en dat handelen als functioneel daderschap aan een of meer personen kan worden toegerekend</w:t>
      </w:r>
      <w:r>
        <w:t>.</w:t>
      </w:r>
    </w:p>
    <w:p w:rsidR="00DF19C0" w:rsidP="004C3EDE" w:rsidRDefault="00DF19C0" w14:paraId="76E443D7" w14:textId="77777777">
      <w:pPr>
        <w:rPr>
          <w:b/>
          <w:bCs/>
        </w:rPr>
      </w:pPr>
    </w:p>
    <w:p w:rsidRPr="004C3EDE" w:rsidR="004C3EDE" w:rsidP="004C3EDE" w:rsidRDefault="004C3EDE" w14:paraId="56DF60E3" w14:textId="36DE94B3">
      <w:pPr>
        <w:rPr>
          <w:b/>
          <w:bCs/>
        </w:rPr>
      </w:pPr>
      <w:r w:rsidRPr="004C3EDE">
        <w:rPr>
          <w:b/>
          <w:bCs/>
        </w:rPr>
        <w:t>Vraag 11</w:t>
      </w:r>
    </w:p>
    <w:p w:rsidRPr="004C3EDE" w:rsidR="004C3EDE" w:rsidP="004C3EDE" w:rsidRDefault="004C3EDE" w14:paraId="5294B816" w14:textId="77777777">
      <w:pPr>
        <w:rPr>
          <w:b/>
          <w:bCs/>
        </w:rPr>
      </w:pPr>
      <w:r w:rsidRPr="004C3EDE">
        <w:rPr>
          <w:b/>
          <w:bCs/>
        </w:rPr>
        <w:t>Erkent u dat, na deze historische uitspraak, elke gebruiker het recht heeft om (nagenoeg) volledige inzage te verkrijgen in de gegevens die X (Twitter) over hem of haar bijhoudt? Voor welke andere (soorten) bedrijven zet deze uitspraak een precedent?</w:t>
      </w:r>
    </w:p>
    <w:p w:rsidRPr="004C3EDE" w:rsidR="004C3EDE" w:rsidP="004C3EDE" w:rsidRDefault="004C3EDE" w14:paraId="2E66F2BE" w14:textId="77777777">
      <w:pPr>
        <w:rPr>
          <w:b/>
          <w:bCs/>
        </w:rPr>
      </w:pPr>
    </w:p>
    <w:p w:rsidR="00DF19C0" w:rsidP="004C3EDE" w:rsidRDefault="00DF19C0" w14:paraId="014582BE" w14:textId="396111CF">
      <w:pPr>
        <w:rPr>
          <w:b/>
          <w:bCs/>
        </w:rPr>
      </w:pPr>
      <w:r>
        <w:rPr>
          <w:b/>
          <w:bCs/>
        </w:rPr>
        <w:t>Antwoord</w:t>
      </w:r>
      <w:r w:rsidRPr="004C3EDE">
        <w:rPr>
          <w:b/>
          <w:bCs/>
        </w:rPr>
        <w:t xml:space="preserve"> </w:t>
      </w:r>
      <w:r w:rsidR="00B63BB5">
        <w:rPr>
          <w:b/>
          <w:bCs/>
        </w:rPr>
        <w:t xml:space="preserve">op vraag </w:t>
      </w:r>
      <w:r>
        <w:rPr>
          <w:b/>
          <w:bCs/>
        </w:rPr>
        <w:t>11</w:t>
      </w:r>
    </w:p>
    <w:p w:rsidRPr="00DF19C0" w:rsidR="00DF19C0" w:rsidP="004C3EDE" w:rsidRDefault="00DF19C0" w14:paraId="6432ADC8" w14:textId="59676E19">
      <w:r w:rsidRPr="00DF19C0">
        <w:t>De uitspraak is een belangrijke invulling van het inzagerecht uit de AVG</w:t>
      </w:r>
      <w:r w:rsidR="00574EBB">
        <w:t xml:space="preserve"> in de praktijk</w:t>
      </w:r>
      <w:r w:rsidRPr="00DF19C0">
        <w:t>. Uit de uitspraak wordt duidelijk dat weigeringsgronden slechts onder uitzonderlijke omstandigheden met succes kunnen worden ingeroepen. Voor welke andere verwerkingen deze uitspraak in het bijzonder precedentwerking heeft, kan ik niet overzien. Zoals ook beschreven in mijn antwoord op vraag 2, heeft de uitspraak betrekking op een specifieke casus waarin de rechter op basis van concrete feiten, omstandigheden van het geval en een belangenafweging tot een oordeel is gekomen.</w:t>
      </w:r>
    </w:p>
    <w:p w:rsidR="00DF19C0" w:rsidP="004C3EDE" w:rsidRDefault="00DF19C0" w14:paraId="4E27428E" w14:textId="77777777">
      <w:pPr>
        <w:rPr>
          <w:b/>
          <w:bCs/>
        </w:rPr>
      </w:pPr>
    </w:p>
    <w:p w:rsidRPr="004C3EDE" w:rsidR="004C3EDE" w:rsidP="004C3EDE" w:rsidRDefault="004C3EDE" w14:paraId="3E7B3931" w14:textId="0741D083">
      <w:pPr>
        <w:rPr>
          <w:b/>
          <w:bCs/>
        </w:rPr>
      </w:pPr>
      <w:r w:rsidRPr="004C3EDE">
        <w:rPr>
          <w:b/>
          <w:bCs/>
        </w:rPr>
        <w:t>Vraag 12</w:t>
      </w:r>
    </w:p>
    <w:p w:rsidR="004C3EDE" w:rsidP="004C3EDE" w:rsidRDefault="004C3EDE" w14:paraId="184DE24C" w14:textId="77777777">
      <w:pPr>
        <w:rPr>
          <w:b/>
          <w:bCs/>
        </w:rPr>
      </w:pPr>
      <w:r w:rsidRPr="004C3EDE">
        <w:rPr>
          <w:b/>
          <w:bCs/>
        </w:rPr>
        <w:t>Bent u het met de indieners eens dat de toegang tot het inzagerecht voor alle gebruikers toegankelijk moet zijn en uitgeoefend kan worden, ongeacht juridische kennis en middelen?</w:t>
      </w:r>
    </w:p>
    <w:p w:rsidR="00DF19C0" w:rsidP="004C3EDE" w:rsidRDefault="00DF19C0" w14:paraId="3EA24C94" w14:textId="77777777">
      <w:pPr>
        <w:rPr>
          <w:b/>
          <w:bCs/>
        </w:rPr>
      </w:pPr>
    </w:p>
    <w:p w:rsidRPr="004C3EDE" w:rsidR="00DF19C0" w:rsidP="004C3EDE" w:rsidRDefault="00DF19C0" w14:paraId="5AB119AB" w14:textId="1F1B5D8E">
      <w:pPr>
        <w:rPr>
          <w:b/>
          <w:bCs/>
        </w:rPr>
      </w:pPr>
      <w:r>
        <w:rPr>
          <w:b/>
          <w:bCs/>
        </w:rPr>
        <w:t xml:space="preserve">Antwoord </w:t>
      </w:r>
      <w:r w:rsidR="00B63BB5">
        <w:rPr>
          <w:b/>
          <w:bCs/>
        </w:rPr>
        <w:t xml:space="preserve">op vraag </w:t>
      </w:r>
      <w:r>
        <w:rPr>
          <w:b/>
          <w:bCs/>
        </w:rPr>
        <w:t>12</w:t>
      </w:r>
    </w:p>
    <w:p w:rsidRPr="00DF19C0" w:rsidR="004C3EDE" w:rsidP="004C3EDE" w:rsidRDefault="00DF19C0" w14:paraId="7EEF3ABF" w14:textId="3704CFD7">
      <w:r w:rsidRPr="00DF19C0">
        <w:t xml:space="preserve">Ik onderschrijf deze stelling. Dat de uitoefening van het recht op inzage zo toegankelijk mogelijk moet zijn, is ook mijn opvatting. Dit geldt voor alle rechten die onder de AVG aan de burger toekomen. De AP geeft op haar website duidelijke informatie en handvatten ten aanzien van verzoeken om inzage. Daarnaast is op de website van de AP een voorbeeldbrief voor het doen van een verzoek tot het verwijderen persoonsgegevens te vinden.   </w:t>
      </w:r>
    </w:p>
    <w:p w:rsidRPr="004C3EDE" w:rsidR="00DF19C0" w:rsidP="004C3EDE" w:rsidRDefault="00DF19C0" w14:paraId="560D0E69" w14:textId="77777777">
      <w:pPr>
        <w:rPr>
          <w:b/>
          <w:bCs/>
        </w:rPr>
      </w:pPr>
    </w:p>
    <w:p w:rsidR="00B63BB5" w:rsidP="004C3EDE" w:rsidRDefault="00B63BB5" w14:paraId="0985B52C" w14:textId="77777777">
      <w:pPr>
        <w:rPr>
          <w:b/>
          <w:bCs/>
        </w:rPr>
      </w:pPr>
    </w:p>
    <w:p w:rsidR="00B63BB5" w:rsidP="004C3EDE" w:rsidRDefault="00B63BB5" w14:paraId="0926E4D2" w14:textId="77777777">
      <w:pPr>
        <w:rPr>
          <w:b/>
          <w:bCs/>
        </w:rPr>
      </w:pPr>
    </w:p>
    <w:p w:rsidR="00B63BB5" w:rsidP="004C3EDE" w:rsidRDefault="00B63BB5" w14:paraId="09AB9CEE" w14:textId="77777777">
      <w:pPr>
        <w:rPr>
          <w:b/>
          <w:bCs/>
        </w:rPr>
      </w:pPr>
    </w:p>
    <w:p w:rsidRPr="004C3EDE" w:rsidR="004C3EDE" w:rsidP="004C3EDE" w:rsidRDefault="004C3EDE" w14:paraId="3AADB9FB" w14:textId="3424FA85">
      <w:pPr>
        <w:rPr>
          <w:b/>
          <w:bCs/>
        </w:rPr>
      </w:pPr>
      <w:r w:rsidRPr="004C3EDE">
        <w:rPr>
          <w:b/>
          <w:bCs/>
        </w:rPr>
        <w:t>Vraag 13</w:t>
      </w:r>
    </w:p>
    <w:p w:rsidRPr="004C3EDE" w:rsidR="004C3EDE" w:rsidP="004C3EDE" w:rsidRDefault="004C3EDE" w14:paraId="35C4B11E" w14:textId="77777777">
      <w:pPr>
        <w:rPr>
          <w:b/>
          <w:bCs/>
        </w:rPr>
      </w:pPr>
      <w:r w:rsidRPr="004C3EDE">
        <w:rPr>
          <w:b/>
          <w:bCs/>
        </w:rPr>
        <w:t xml:space="preserve">Hoe kan de rechtspositie van individuele gebruikers versterkt worden om zich met gemak te beroepen op het inzagerecht richting grote </w:t>
      </w:r>
      <w:proofErr w:type="spellStart"/>
      <w:r w:rsidRPr="004C3EDE">
        <w:rPr>
          <w:b/>
          <w:bCs/>
        </w:rPr>
        <w:t>techbedrijven</w:t>
      </w:r>
      <w:proofErr w:type="spellEnd"/>
      <w:r w:rsidRPr="004C3EDE">
        <w:rPr>
          <w:b/>
          <w:bCs/>
        </w:rPr>
        <w:t>? Welke maatregelen kunt u hiertoe nemen?</w:t>
      </w:r>
    </w:p>
    <w:p w:rsidRPr="004C3EDE" w:rsidR="004C3EDE" w:rsidP="004C3EDE" w:rsidRDefault="004C3EDE" w14:paraId="55CBAB0E" w14:textId="77777777">
      <w:pPr>
        <w:rPr>
          <w:b/>
          <w:bCs/>
        </w:rPr>
      </w:pPr>
    </w:p>
    <w:p w:rsidR="00DF19C0" w:rsidP="004C3EDE" w:rsidRDefault="00DF19C0" w14:paraId="0A682E53" w14:textId="1EECE7CD">
      <w:pPr>
        <w:rPr>
          <w:b/>
          <w:bCs/>
        </w:rPr>
      </w:pPr>
      <w:r>
        <w:rPr>
          <w:b/>
          <w:bCs/>
        </w:rPr>
        <w:t>Antwoord</w:t>
      </w:r>
      <w:r w:rsidRPr="004C3EDE">
        <w:rPr>
          <w:b/>
          <w:bCs/>
        </w:rPr>
        <w:t xml:space="preserve"> </w:t>
      </w:r>
      <w:r w:rsidR="00B63BB5">
        <w:rPr>
          <w:b/>
          <w:bCs/>
        </w:rPr>
        <w:t xml:space="preserve">op vraag </w:t>
      </w:r>
      <w:r>
        <w:rPr>
          <w:b/>
          <w:bCs/>
        </w:rPr>
        <w:t>13</w:t>
      </w:r>
    </w:p>
    <w:p w:rsidRPr="00DF19C0" w:rsidR="00DF19C0" w:rsidP="004C3EDE" w:rsidRDefault="00DF19C0" w14:paraId="13E20231" w14:textId="3B53223C">
      <w:r w:rsidRPr="00DF19C0">
        <w:t>In het Coalitieakkoord 2026-2030, “Aan de slag”, is opgenomen dat het kabinet voornemens is te werken aan een herziening en vereenvoudiging van de AVG in Europees verband en in de toepassing van de huidige AVG in Nederland. Mijn ambtsvoorganger heeft daarnaast toegezegd om te gaan werken aan een brede revisie van de Nederlandse Uitvoeringswet AVG (UAVG)</w:t>
      </w:r>
      <w:r>
        <w:rPr>
          <w:rStyle w:val="Voetnootmarkering"/>
        </w:rPr>
        <w:footnoteReference w:id="2"/>
      </w:r>
      <w:r w:rsidRPr="00DF19C0">
        <w:t>.  Hierbij zal ook aandacht zijn voor rechtsbescherming en de toegang daartoe.</w:t>
      </w:r>
    </w:p>
    <w:p w:rsidR="00574EBB" w:rsidP="004C3EDE" w:rsidRDefault="00574EBB" w14:paraId="56DDE24E" w14:textId="77777777">
      <w:pPr>
        <w:rPr>
          <w:b/>
          <w:bCs/>
        </w:rPr>
      </w:pPr>
    </w:p>
    <w:p w:rsidRPr="004C3EDE" w:rsidR="004C3EDE" w:rsidP="004C3EDE" w:rsidRDefault="004C3EDE" w14:paraId="016E2C27" w14:textId="59C5C9F8">
      <w:pPr>
        <w:rPr>
          <w:b/>
          <w:bCs/>
        </w:rPr>
      </w:pPr>
      <w:r w:rsidRPr="004C3EDE">
        <w:rPr>
          <w:b/>
          <w:bCs/>
        </w:rPr>
        <w:t>Vraag 14</w:t>
      </w:r>
    </w:p>
    <w:p w:rsidRPr="004C3EDE" w:rsidR="004C3EDE" w:rsidP="004C3EDE" w:rsidRDefault="004C3EDE" w14:paraId="7AA09581" w14:textId="77777777">
      <w:pPr>
        <w:rPr>
          <w:b/>
          <w:bCs/>
        </w:rPr>
      </w:pPr>
      <w:r w:rsidRPr="004C3EDE">
        <w:rPr>
          <w:b/>
          <w:bCs/>
        </w:rPr>
        <w:t>Bent u bereid om in Europees verband te pleiten voor een eensgezinde uitleg van het inzagerecht van de AVG conform de rechtelijke uitspraak, en de Nederlandse interpretatie te erkennen als norm binnen alle EU-lidstaten?</w:t>
      </w:r>
    </w:p>
    <w:p w:rsidR="004C3EDE" w:rsidP="004C3EDE" w:rsidRDefault="004C3EDE" w14:paraId="7D945EB0" w14:textId="77777777">
      <w:pPr>
        <w:rPr>
          <w:b/>
          <w:bCs/>
        </w:rPr>
      </w:pPr>
    </w:p>
    <w:p w:rsidR="00DF19C0" w:rsidP="004C3EDE" w:rsidRDefault="00DF19C0" w14:paraId="764A0B9B" w14:textId="1250EB57">
      <w:pPr>
        <w:rPr>
          <w:b/>
          <w:bCs/>
        </w:rPr>
      </w:pPr>
      <w:r>
        <w:rPr>
          <w:b/>
          <w:bCs/>
        </w:rPr>
        <w:t xml:space="preserve">Antwoord </w:t>
      </w:r>
      <w:r w:rsidR="00B63BB5">
        <w:rPr>
          <w:b/>
          <w:bCs/>
        </w:rPr>
        <w:t xml:space="preserve">op vraag </w:t>
      </w:r>
      <w:r>
        <w:rPr>
          <w:b/>
          <w:bCs/>
        </w:rPr>
        <w:t>14</w:t>
      </w:r>
    </w:p>
    <w:p w:rsidRPr="00DF19C0" w:rsidR="00DF19C0" w:rsidP="004C3EDE" w:rsidRDefault="00DF19C0" w14:paraId="71AE874F" w14:textId="289BB29F">
      <w:r w:rsidRPr="00DF19C0">
        <w:t>Zoals ook in mijn antwoord op vraag 2 beschreven, zie ik in deze uitspraak geen nieuwe interpretatie van het desbetreffende artikel, doch vooral een toepassing in de geest daarvan. Ik heb geen aanleiding om te concluderen dat de uitleg van artikel 15 van de AVG zowel op nationaal  als in Europees verband, hierdoor wezenlijk anders moet komen luiden.</w:t>
      </w:r>
    </w:p>
    <w:p w:rsidRPr="004C3EDE" w:rsidR="00DF19C0" w:rsidP="004C3EDE" w:rsidRDefault="00DF19C0" w14:paraId="3533E366" w14:textId="77777777">
      <w:pPr>
        <w:rPr>
          <w:b/>
          <w:bCs/>
        </w:rPr>
      </w:pPr>
    </w:p>
    <w:p w:rsidRPr="004C3EDE" w:rsidR="004C3EDE" w:rsidP="004C3EDE" w:rsidRDefault="004C3EDE" w14:paraId="40016FD0" w14:textId="77777777">
      <w:pPr>
        <w:rPr>
          <w:b/>
          <w:bCs/>
        </w:rPr>
      </w:pPr>
      <w:r w:rsidRPr="004C3EDE">
        <w:rPr>
          <w:b/>
          <w:bCs/>
        </w:rPr>
        <w:t>Vraag 15</w:t>
      </w:r>
    </w:p>
    <w:p w:rsidRPr="004C3EDE" w:rsidR="004C3EDE" w:rsidP="004C3EDE" w:rsidRDefault="004C3EDE" w14:paraId="122B4B5E" w14:textId="77777777">
      <w:pPr>
        <w:rPr>
          <w:b/>
          <w:bCs/>
        </w:rPr>
      </w:pPr>
      <w:r w:rsidRPr="004C3EDE">
        <w:rPr>
          <w:b/>
          <w:bCs/>
        </w:rPr>
        <w:t xml:space="preserve">Bent u het met de indieners eens dat grote </w:t>
      </w:r>
      <w:proofErr w:type="spellStart"/>
      <w:r w:rsidRPr="004C3EDE">
        <w:rPr>
          <w:b/>
          <w:bCs/>
        </w:rPr>
        <w:t>techbedrijven</w:t>
      </w:r>
      <w:proofErr w:type="spellEnd"/>
      <w:r w:rsidRPr="004C3EDE">
        <w:rPr>
          <w:b/>
          <w:bCs/>
        </w:rPr>
        <w:t xml:space="preserve"> zoals X (Twitter) zouden moeten meebetalen aan de handhaving van de wetgeving die zij overtreedt, zoals het geval is onder de Digital Services Act, maar nog niet het geval is onder de AVG?</w:t>
      </w:r>
    </w:p>
    <w:p w:rsidR="004C3EDE" w:rsidP="004C3EDE" w:rsidRDefault="004C3EDE" w14:paraId="21F70F98" w14:textId="77777777">
      <w:pPr>
        <w:rPr>
          <w:b/>
          <w:bCs/>
        </w:rPr>
      </w:pPr>
    </w:p>
    <w:p w:rsidR="00DF19C0" w:rsidP="004C3EDE" w:rsidRDefault="00DF19C0" w14:paraId="75A3E425" w14:textId="5BE10A55">
      <w:pPr>
        <w:rPr>
          <w:b/>
          <w:bCs/>
        </w:rPr>
      </w:pPr>
      <w:r>
        <w:rPr>
          <w:b/>
          <w:bCs/>
        </w:rPr>
        <w:t xml:space="preserve">Antwoord </w:t>
      </w:r>
      <w:r w:rsidR="00B63BB5">
        <w:rPr>
          <w:b/>
          <w:bCs/>
        </w:rPr>
        <w:t xml:space="preserve">op vraag </w:t>
      </w:r>
      <w:r>
        <w:rPr>
          <w:b/>
          <w:bCs/>
        </w:rPr>
        <w:t>15</w:t>
      </w:r>
    </w:p>
    <w:p w:rsidRPr="00DF19C0" w:rsidR="00DF19C0" w:rsidP="004C3EDE" w:rsidRDefault="00DF19C0" w14:paraId="50CBEA52" w14:textId="58188C8E">
      <w:r w:rsidRPr="00DF19C0">
        <w:t xml:space="preserve">De Digital Services Act (DSA) voorziet in artikel 43 in een jaarlijkse </w:t>
      </w:r>
      <w:proofErr w:type="spellStart"/>
      <w:r w:rsidRPr="00DF19C0">
        <w:t>toezichtsvergoeding</w:t>
      </w:r>
      <w:proofErr w:type="spellEnd"/>
      <w:r w:rsidRPr="00DF19C0">
        <w:t xml:space="preserve"> aan de Europese Commissie voor enkele aangewezen online platforms (</w:t>
      </w:r>
      <w:proofErr w:type="spellStart"/>
      <w:r w:rsidRPr="00DF19C0">
        <w:t>very</w:t>
      </w:r>
      <w:proofErr w:type="spellEnd"/>
      <w:r w:rsidRPr="00DF19C0">
        <w:t xml:space="preserve"> large online platforms, VLOP) en dat bovendien niet in alle</w:t>
      </w:r>
      <w:r w:rsidR="00574EBB">
        <w:t>,</w:t>
      </w:r>
      <w:r w:rsidRPr="00DF19C0">
        <w:t xml:space="preserve"> maar slechts in specifieke gevallen. Het betreft hier een andere systematiek dan onder de AVG, waar bedrijven niet betalen voor het toezicht of de handhaving op zichzelf, maar pas financiële gevolgen en boetes dragen als zij de regels overtreden</w:t>
      </w:r>
      <w:r w:rsidR="00574EBB">
        <w:t>.</w:t>
      </w:r>
      <w:r w:rsidRPr="00DF19C0">
        <w:t xml:space="preserve"> Ik zie geen reden voor een andere opzet onder de AVG.</w:t>
      </w:r>
    </w:p>
    <w:p w:rsidRPr="004C3EDE" w:rsidR="00DF19C0" w:rsidP="004C3EDE" w:rsidRDefault="00DF19C0" w14:paraId="08C84369" w14:textId="77777777">
      <w:pPr>
        <w:rPr>
          <w:b/>
          <w:bCs/>
        </w:rPr>
      </w:pPr>
    </w:p>
    <w:p w:rsidR="00B63BB5" w:rsidP="004C3EDE" w:rsidRDefault="00B63BB5" w14:paraId="026DE71C" w14:textId="77777777">
      <w:pPr>
        <w:rPr>
          <w:b/>
          <w:bCs/>
        </w:rPr>
      </w:pPr>
    </w:p>
    <w:p w:rsidR="00B63BB5" w:rsidP="004C3EDE" w:rsidRDefault="00B63BB5" w14:paraId="54F17AF0" w14:textId="77777777">
      <w:pPr>
        <w:rPr>
          <w:b/>
          <w:bCs/>
        </w:rPr>
      </w:pPr>
    </w:p>
    <w:p w:rsidR="00B63BB5" w:rsidP="004C3EDE" w:rsidRDefault="00B63BB5" w14:paraId="3B520002" w14:textId="77777777">
      <w:pPr>
        <w:rPr>
          <w:b/>
          <w:bCs/>
        </w:rPr>
      </w:pPr>
    </w:p>
    <w:p w:rsidR="00B63BB5" w:rsidP="004C3EDE" w:rsidRDefault="00B63BB5" w14:paraId="7C51C3FD" w14:textId="77777777">
      <w:pPr>
        <w:rPr>
          <w:b/>
          <w:bCs/>
        </w:rPr>
      </w:pPr>
    </w:p>
    <w:p w:rsidR="00B63BB5" w:rsidP="004C3EDE" w:rsidRDefault="00B63BB5" w14:paraId="7F086336" w14:textId="77777777">
      <w:pPr>
        <w:rPr>
          <w:b/>
          <w:bCs/>
        </w:rPr>
      </w:pPr>
    </w:p>
    <w:p w:rsidR="00B63BB5" w:rsidP="004C3EDE" w:rsidRDefault="00B63BB5" w14:paraId="61116768" w14:textId="77777777">
      <w:pPr>
        <w:rPr>
          <w:b/>
          <w:bCs/>
        </w:rPr>
      </w:pPr>
    </w:p>
    <w:p w:rsidRPr="004C3EDE" w:rsidR="004C3EDE" w:rsidP="004C3EDE" w:rsidRDefault="004C3EDE" w14:paraId="1E1E07C6" w14:textId="7FD31D21">
      <w:pPr>
        <w:rPr>
          <w:b/>
          <w:bCs/>
        </w:rPr>
      </w:pPr>
      <w:r w:rsidRPr="004C3EDE">
        <w:rPr>
          <w:b/>
          <w:bCs/>
        </w:rPr>
        <w:t>Vraag 16</w:t>
      </w:r>
    </w:p>
    <w:p w:rsidRPr="004C3EDE" w:rsidR="004C3EDE" w:rsidP="004C3EDE" w:rsidRDefault="004C3EDE" w14:paraId="011CEA56" w14:textId="77777777">
      <w:pPr>
        <w:rPr>
          <w:b/>
          <w:bCs/>
        </w:rPr>
      </w:pPr>
      <w:r w:rsidRPr="004C3EDE">
        <w:rPr>
          <w:b/>
          <w:bCs/>
        </w:rPr>
        <w:t>Hoeveel belastinggeld betaalt X (Twitter) momenteel in Nederland?</w:t>
      </w:r>
    </w:p>
    <w:p w:rsidR="004C3EDE" w:rsidP="004C3EDE" w:rsidRDefault="004C3EDE" w14:paraId="4D568995" w14:textId="77777777">
      <w:pPr>
        <w:rPr>
          <w:b/>
          <w:bCs/>
        </w:rPr>
      </w:pPr>
    </w:p>
    <w:p w:rsidR="00DF19C0" w:rsidP="004C3EDE" w:rsidRDefault="00DF19C0" w14:paraId="403E6432" w14:textId="7CF47D46">
      <w:pPr>
        <w:rPr>
          <w:b/>
          <w:bCs/>
        </w:rPr>
      </w:pPr>
      <w:r>
        <w:rPr>
          <w:b/>
          <w:bCs/>
        </w:rPr>
        <w:t>Antwoord</w:t>
      </w:r>
      <w:r w:rsidR="00B63BB5">
        <w:rPr>
          <w:b/>
          <w:bCs/>
        </w:rPr>
        <w:t xml:space="preserve"> op vraag</w:t>
      </w:r>
      <w:r>
        <w:rPr>
          <w:b/>
          <w:bCs/>
        </w:rPr>
        <w:t xml:space="preserve"> 16</w:t>
      </w:r>
    </w:p>
    <w:p w:rsidRPr="00DF19C0" w:rsidR="00DF19C0" w:rsidP="004C3EDE" w:rsidRDefault="00DF19C0" w14:paraId="4DAF8B3A" w14:textId="6FF7ACD1">
      <w:r w:rsidRPr="00DF19C0">
        <w:t xml:space="preserve">Gelet op de fiscale geheimhoudingsplicht die is neergelegd in artikel 67 van de Algemene wet inzake rijksbelastingen worden door de belastinginspecteur geen uitspraken gedaan over de fiscale positie van individuele belastingplichtigen. </w:t>
      </w:r>
    </w:p>
    <w:p w:rsidRPr="004C3EDE" w:rsidR="00DF19C0" w:rsidP="004C3EDE" w:rsidRDefault="00DF19C0" w14:paraId="5E6A35D0" w14:textId="77777777">
      <w:pPr>
        <w:rPr>
          <w:b/>
          <w:bCs/>
        </w:rPr>
      </w:pPr>
    </w:p>
    <w:p w:rsidRPr="004C3EDE" w:rsidR="004C3EDE" w:rsidP="004C3EDE" w:rsidRDefault="004C3EDE" w14:paraId="0BE8F6A5" w14:textId="77777777">
      <w:pPr>
        <w:rPr>
          <w:b/>
          <w:bCs/>
        </w:rPr>
      </w:pPr>
      <w:r w:rsidRPr="004C3EDE">
        <w:rPr>
          <w:b/>
          <w:bCs/>
        </w:rPr>
        <w:t>Vraag 17</w:t>
      </w:r>
    </w:p>
    <w:p w:rsidRPr="004C3EDE" w:rsidR="004C3EDE" w:rsidP="004C3EDE" w:rsidRDefault="004C3EDE" w14:paraId="034ACAE6" w14:textId="77777777">
      <w:pPr>
        <w:rPr>
          <w:b/>
          <w:bCs/>
        </w:rPr>
      </w:pPr>
      <w:r w:rsidRPr="004C3EDE">
        <w:rPr>
          <w:b/>
          <w:bCs/>
        </w:rPr>
        <w:t>Kunt u deze vragen afzonderlijk van elkaar en zo snel mogelijk beantwoorden?</w:t>
      </w:r>
    </w:p>
    <w:p w:rsidR="004C3EDE" w:rsidP="004C3EDE" w:rsidRDefault="004C3EDE" w14:paraId="67567A72" w14:textId="77777777">
      <w:pPr>
        <w:rPr>
          <w:b/>
          <w:bCs/>
        </w:rPr>
      </w:pPr>
    </w:p>
    <w:p w:rsidRPr="004C3EDE" w:rsidR="00DF19C0" w:rsidP="004C3EDE" w:rsidRDefault="00DF19C0" w14:paraId="7419E87C" w14:textId="6FA978D5">
      <w:pPr>
        <w:rPr>
          <w:b/>
          <w:bCs/>
        </w:rPr>
      </w:pPr>
      <w:r>
        <w:rPr>
          <w:b/>
          <w:bCs/>
        </w:rPr>
        <w:t xml:space="preserve">Antwoord </w:t>
      </w:r>
      <w:r w:rsidR="00B63BB5">
        <w:rPr>
          <w:b/>
          <w:bCs/>
        </w:rPr>
        <w:t xml:space="preserve">op vraag </w:t>
      </w:r>
      <w:r>
        <w:rPr>
          <w:b/>
          <w:bCs/>
        </w:rPr>
        <w:t>17</w:t>
      </w:r>
    </w:p>
    <w:p w:rsidRPr="00DF19C0" w:rsidR="00DF19C0" w:rsidP="00DF19C0" w:rsidRDefault="00DF19C0" w14:paraId="7F1ECFEA" w14:textId="77777777">
      <w:r w:rsidRPr="00DF19C0">
        <w:t>De vragen zijn afzonderlijk van elkaar en zo snel mogelijk beantwoord.</w:t>
      </w:r>
    </w:p>
    <w:p w:rsidR="004C3EDE" w:rsidP="004C3EDE" w:rsidRDefault="004C3EDE" w14:paraId="6BA9B245" w14:textId="77777777"/>
    <w:p w:rsidR="004C3EDE" w:rsidP="004C3EDE" w:rsidRDefault="004C3EDE" w14:paraId="682902C4" w14:textId="77777777">
      <w:r>
        <w:t>[1] ECLI:NL:GHAMS:2026:961, Gerechtshof Amsterdam, 200.346.613/01</w:t>
      </w:r>
    </w:p>
    <w:p w:rsidR="004C3EDE" w:rsidP="004C3EDE" w:rsidRDefault="004C3EDE" w14:paraId="085C033B" w14:textId="77777777"/>
    <w:p w:rsidR="004C3EDE" w:rsidP="004C3EDE" w:rsidRDefault="004C3EDE" w14:paraId="4CF4A2BC" w14:textId="77777777">
      <w:r>
        <w:t>[2] ACM, 18 maart 2025, Afwijzing verzoek tot handhaving tegen X (voorheen Twitter) (www.acm.nl/nl/publicaties/afwijzing-verzoek-tot-handhaving-tegen-x-voorheen-twitter).</w:t>
      </w:r>
    </w:p>
    <w:p w:rsidR="004C3EDE" w:rsidP="004C3EDE" w:rsidRDefault="004C3EDE" w14:paraId="6013D7E4" w14:textId="77777777"/>
    <w:p w:rsidRPr="00EA41F1" w:rsidR="004C3EDE" w:rsidP="004C3EDE" w:rsidRDefault="004C3EDE" w14:paraId="744E3E9C" w14:textId="77777777">
      <w:pPr>
        <w:rPr>
          <w:lang w:val="en-US"/>
        </w:rPr>
      </w:pPr>
      <w:r w:rsidRPr="00EA41F1">
        <w:rPr>
          <w:lang w:val="en-US"/>
        </w:rPr>
        <w:t xml:space="preserve">[3] BBC, 25 </w:t>
      </w:r>
      <w:proofErr w:type="spellStart"/>
      <w:r w:rsidRPr="00EA41F1">
        <w:rPr>
          <w:lang w:val="en-US"/>
        </w:rPr>
        <w:t>augustus</w:t>
      </w:r>
      <w:proofErr w:type="spellEnd"/>
      <w:r w:rsidRPr="00EA41F1">
        <w:rPr>
          <w:lang w:val="en-US"/>
        </w:rPr>
        <w:t xml:space="preserve"> 2024, Telegram CEO Pavel Durov arrested at French airport (www.bbc.com/news/articles/ckg2kz9kn93o).</w:t>
      </w:r>
    </w:p>
    <w:p w:rsidRPr="00EA41F1" w:rsidR="004C3EDE" w:rsidP="004C3EDE" w:rsidRDefault="004C3EDE" w14:paraId="78C4DF61" w14:textId="77777777">
      <w:pPr>
        <w:rPr>
          <w:lang w:val="en-US"/>
        </w:rPr>
      </w:pPr>
    </w:p>
    <w:p w:rsidRPr="00B63BB5" w:rsidR="004C3EDE" w:rsidRDefault="004C3EDE" w14:paraId="644CF5DB" w14:textId="148D70AD">
      <w:pPr>
        <w:rPr>
          <w:lang w:val="en-US"/>
        </w:rPr>
      </w:pPr>
    </w:p>
    <w:sectPr w:rsidRPr="00B63BB5" w:rsidR="004C3EDE">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04D0" w14:textId="77777777" w:rsidR="00053E8C" w:rsidRDefault="00053E8C">
      <w:pPr>
        <w:spacing w:line="240" w:lineRule="auto"/>
      </w:pPr>
      <w:r>
        <w:separator/>
      </w:r>
    </w:p>
  </w:endnote>
  <w:endnote w:type="continuationSeparator" w:id="0">
    <w:p w14:paraId="26767A7D" w14:textId="77777777" w:rsidR="00053E8C" w:rsidRDefault="00053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82FF" w14:textId="77777777" w:rsidR="00053E8C" w:rsidRDefault="00053E8C">
      <w:pPr>
        <w:spacing w:line="240" w:lineRule="auto"/>
      </w:pPr>
      <w:r>
        <w:separator/>
      </w:r>
    </w:p>
  </w:footnote>
  <w:footnote w:type="continuationSeparator" w:id="0">
    <w:p w14:paraId="3643CD53" w14:textId="77777777" w:rsidR="00053E8C" w:rsidRDefault="00053E8C">
      <w:pPr>
        <w:spacing w:line="240" w:lineRule="auto"/>
      </w:pPr>
      <w:r>
        <w:continuationSeparator/>
      </w:r>
    </w:p>
  </w:footnote>
  <w:footnote w:id="1">
    <w:p w14:paraId="567D5EC6" w14:textId="2EEA736B" w:rsidR="00BF47B3" w:rsidRDefault="00BF47B3">
      <w:pPr>
        <w:pStyle w:val="Voetnoottekst"/>
      </w:pPr>
      <w:r>
        <w:rPr>
          <w:rStyle w:val="Voetnootmarkering"/>
        </w:rPr>
        <w:footnoteRef/>
      </w:r>
      <w:r>
        <w:t xml:space="preserve"> </w:t>
      </w:r>
      <w:r w:rsidRPr="00BF47B3">
        <w:rPr>
          <w:sz w:val="16"/>
          <w:szCs w:val="16"/>
        </w:rPr>
        <w:t>Kamerstukken II 2024/25, 36731</w:t>
      </w:r>
    </w:p>
  </w:footnote>
  <w:footnote w:id="2">
    <w:p w14:paraId="4F887502" w14:textId="2CB73357" w:rsidR="00DF19C0" w:rsidRDefault="00DF19C0" w:rsidP="00DF19C0">
      <w:pPr>
        <w:pStyle w:val="Voetnoottekst"/>
      </w:pPr>
      <w:r>
        <w:rPr>
          <w:rStyle w:val="Voetnootmarkering"/>
        </w:rPr>
        <w:footnoteRef/>
      </w:r>
      <w:r>
        <w:t xml:space="preserve"> </w:t>
      </w:r>
      <w:r w:rsidRPr="0018106A">
        <w:rPr>
          <w:sz w:val="16"/>
          <w:szCs w:val="16"/>
        </w:rPr>
        <w:t xml:space="preserve">Handelingen </w:t>
      </w:r>
      <w:r>
        <w:rPr>
          <w:sz w:val="16"/>
          <w:szCs w:val="16"/>
        </w:rPr>
        <w:t xml:space="preserve">II </w:t>
      </w:r>
      <w:r w:rsidRPr="0018106A">
        <w:rPr>
          <w:sz w:val="16"/>
          <w:szCs w:val="16"/>
        </w:rPr>
        <w:t>2024-2025, nr.76, item 34, p.12-13</w:t>
      </w:r>
      <w:r>
        <w:rPr>
          <w:sz w:val="16"/>
          <w:szCs w:val="16"/>
        </w:rPr>
        <w:t xml:space="preserve">. </w:t>
      </w:r>
    </w:p>
    <w:p w14:paraId="7F553527" w14:textId="40FDAE02" w:rsidR="00DF19C0" w:rsidRDefault="00DF19C0">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926F" w14:textId="77777777" w:rsidR="00F956C8" w:rsidRDefault="00053E8C">
    <w:r>
      <w:rPr>
        <w:noProof/>
      </w:rPr>
      <mc:AlternateContent>
        <mc:Choice Requires="wps">
          <w:drawing>
            <wp:anchor distT="0" distB="0" distL="0" distR="0" simplePos="0" relativeHeight="251652096" behindDoc="0" locked="1" layoutInCell="1" allowOverlap="1" wp14:anchorId="20344F79" wp14:editId="11D9943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776609E" w14:textId="77777777" w:rsidR="007633C4" w:rsidRDefault="007633C4"/>
                      </w:txbxContent>
                    </wps:txbx>
                    <wps:bodyPr vert="horz" wrap="square" lIns="0" tIns="0" rIns="0" bIns="0" anchor="t" anchorCtr="0"/>
                  </wps:wsp>
                </a:graphicData>
              </a:graphic>
            </wp:anchor>
          </w:drawing>
        </mc:Choice>
        <mc:Fallback>
          <w:pict>
            <v:shapetype w14:anchorId="20344F7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776609E" w14:textId="77777777" w:rsidR="007633C4" w:rsidRDefault="007633C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31727B1" wp14:editId="0A5A8FD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48D0A0" w14:textId="77777777" w:rsidR="00F956C8" w:rsidRDefault="00053E8C">
                          <w:pPr>
                            <w:pStyle w:val="Referentiegegevensbold"/>
                          </w:pPr>
                          <w:r>
                            <w:t>Directoraat-Generaal Rechtspleging en Rechtshandhaving</w:t>
                          </w:r>
                        </w:p>
                        <w:p w14:paraId="7D786E3A" w14:textId="77777777" w:rsidR="00F956C8" w:rsidRDefault="00053E8C">
                          <w:pPr>
                            <w:pStyle w:val="Referentiegegevens"/>
                          </w:pPr>
                          <w:r>
                            <w:t>Directie Rechtsbestel</w:t>
                          </w:r>
                        </w:p>
                        <w:p w14:paraId="10299AB0" w14:textId="77777777" w:rsidR="00F956C8" w:rsidRDefault="00F956C8">
                          <w:pPr>
                            <w:pStyle w:val="WitregelW2"/>
                          </w:pPr>
                        </w:p>
                        <w:p w14:paraId="27200FE8" w14:textId="77777777" w:rsidR="00F956C8" w:rsidRDefault="00053E8C">
                          <w:pPr>
                            <w:pStyle w:val="Referentiegegevensbold"/>
                          </w:pPr>
                          <w:r>
                            <w:t>Datum</w:t>
                          </w:r>
                        </w:p>
                        <w:p w14:paraId="140EF314" w14:textId="167EB57D" w:rsidR="00F956C8" w:rsidRDefault="00053E8C">
                          <w:pPr>
                            <w:pStyle w:val="Referentiegegevens"/>
                          </w:pPr>
                          <w:sdt>
                            <w:sdtPr>
                              <w:id w:val="1211699285"/>
                              <w:date w:fullDate="2026-06-03T00:00:00Z">
                                <w:dateFormat w:val="d MMMM yyyy"/>
                                <w:lid w:val="nl"/>
                                <w:storeMappedDataAs w:val="dateTime"/>
                                <w:calendar w:val="gregorian"/>
                              </w:date>
                            </w:sdtPr>
                            <w:sdtEndPr/>
                            <w:sdtContent>
                              <w:r w:rsidR="00B63BB5">
                                <w:rPr>
                                  <w:lang w:val="nl"/>
                                </w:rPr>
                                <w:t>3 juni 2026</w:t>
                              </w:r>
                            </w:sdtContent>
                          </w:sdt>
                        </w:p>
                        <w:p w14:paraId="1C8FF7CC" w14:textId="77777777" w:rsidR="00F956C8" w:rsidRDefault="00F956C8">
                          <w:pPr>
                            <w:pStyle w:val="WitregelW1"/>
                          </w:pPr>
                        </w:p>
                        <w:p w14:paraId="5A22030E" w14:textId="77777777" w:rsidR="00F956C8" w:rsidRDefault="00053E8C">
                          <w:pPr>
                            <w:pStyle w:val="Referentiegegevensbold"/>
                          </w:pPr>
                          <w:r>
                            <w:t>Onze referentie</w:t>
                          </w:r>
                        </w:p>
                        <w:p w14:paraId="65DC27E5" w14:textId="77777777" w:rsidR="00F956C8" w:rsidRDefault="00053E8C">
                          <w:pPr>
                            <w:pStyle w:val="Referentiegegevens"/>
                          </w:pPr>
                          <w:r>
                            <w:t>7517463</w:t>
                          </w:r>
                        </w:p>
                      </w:txbxContent>
                    </wps:txbx>
                    <wps:bodyPr vert="horz" wrap="square" lIns="0" tIns="0" rIns="0" bIns="0" anchor="t" anchorCtr="0"/>
                  </wps:wsp>
                </a:graphicData>
              </a:graphic>
            </wp:anchor>
          </w:drawing>
        </mc:Choice>
        <mc:Fallback>
          <w:pict>
            <v:shape w14:anchorId="631727B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D48D0A0" w14:textId="77777777" w:rsidR="00F956C8" w:rsidRDefault="00053E8C">
                    <w:pPr>
                      <w:pStyle w:val="Referentiegegevensbold"/>
                    </w:pPr>
                    <w:r>
                      <w:t>Directoraat-Generaal Rechtspleging en Rechtshandhaving</w:t>
                    </w:r>
                  </w:p>
                  <w:p w14:paraId="7D786E3A" w14:textId="77777777" w:rsidR="00F956C8" w:rsidRDefault="00053E8C">
                    <w:pPr>
                      <w:pStyle w:val="Referentiegegevens"/>
                    </w:pPr>
                    <w:r>
                      <w:t>Directie Rechtsbestel</w:t>
                    </w:r>
                  </w:p>
                  <w:p w14:paraId="10299AB0" w14:textId="77777777" w:rsidR="00F956C8" w:rsidRDefault="00F956C8">
                    <w:pPr>
                      <w:pStyle w:val="WitregelW2"/>
                    </w:pPr>
                  </w:p>
                  <w:p w14:paraId="27200FE8" w14:textId="77777777" w:rsidR="00F956C8" w:rsidRDefault="00053E8C">
                    <w:pPr>
                      <w:pStyle w:val="Referentiegegevensbold"/>
                    </w:pPr>
                    <w:r>
                      <w:t>Datum</w:t>
                    </w:r>
                  </w:p>
                  <w:p w14:paraId="140EF314" w14:textId="167EB57D" w:rsidR="00F956C8" w:rsidRDefault="00053E8C">
                    <w:pPr>
                      <w:pStyle w:val="Referentiegegevens"/>
                    </w:pPr>
                    <w:sdt>
                      <w:sdtPr>
                        <w:id w:val="1211699285"/>
                        <w:date w:fullDate="2026-06-03T00:00:00Z">
                          <w:dateFormat w:val="d MMMM yyyy"/>
                          <w:lid w:val="nl"/>
                          <w:storeMappedDataAs w:val="dateTime"/>
                          <w:calendar w:val="gregorian"/>
                        </w:date>
                      </w:sdtPr>
                      <w:sdtEndPr/>
                      <w:sdtContent>
                        <w:r w:rsidR="00B63BB5">
                          <w:rPr>
                            <w:lang w:val="nl"/>
                          </w:rPr>
                          <w:t>3 juni 2026</w:t>
                        </w:r>
                      </w:sdtContent>
                    </w:sdt>
                  </w:p>
                  <w:p w14:paraId="1C8FF7CC" w14:textId="77777777" w:rsidR="00F956C8" w:rsidRDefault="00F956C8">
                    <w:pPr>
                      <w:pStyle w:val="WitregelW1"/>
                    </w:pPr>
                  </w:p>
                  <w:p w14:paraId="5A22030E" w14:textId="77777777" w:rsidR="00F956C8" w:rsidRDefault="00053E8C">
                    <w:pPr>
                      <w:pStyle w:val="Referentiegegevensbold"/>
                    </w:pPr>
                    <w:r>
                      <w:t>Onze referentie</w:t>
                    </w:r>
                  </w:p>
                  <w:p w14:paraId="65DC27E5" w14:textId="77777777" w:rsidR="00F956C8" w:rsidRDefault="00053E8C">
                    <w:pPr>
                      <w:pStyle w:val="Referentiegegevens"/>
                    </w:pPr>
                    <w:r>
                      <w:t>7517463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F4DCD9A" wp14:editId="76D56F4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9C4C539" w14:textId="77777777" w:rsidR="007633C4" w:rsidRDefault="007633C4"/>
                      </w:txbxContent>
                    </wps:txbx>
                    <wps:bodyPr vert="horz" wrap="square" lIns="0" tIns="0" rIns="0" bIns="0" anchor="t" anchorCtr="0"/>
                  </wps:wsp>
                </a:graphicData>
              </a:graphic>
            </wp:anchor>
          </w:drawing>
        </mc:Choice>
        <mc:Fallback>
          <w:pict>
            <v:shape w14:anchorId="4F4DCD9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9C4C539" w14:textId="77777777" w:rsidR="007633C4" w:rsidRDefault="007633C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519D013" wp14:editId="7A50636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6747C9" w14:textId="7780ADE5" w:rsidR="00F956C8" w:rsidRDefault="00053E8C">
                          <w:pPr>
                            <w:pStyle w:val="Referentiegegevens"/>
                          </w:pPr>
                          <w:r>
                            <w:t xml:space="preserve">Pagina </w:t>
                          </w:r>
                          <w:r>
                            <w:fldChar w:fldCharType="begin"/>
                          </w:r>
                          <w:r>
                            <w:instrText>PAGE</w:instrText>
                          </w:r>
                          <w:r>
                            <w:fldChar w:fldCharType="separate"/>
                          </w:r>
                          <w:r w:rsidR="004C3EDE">
                            <w:rPr>
                              <w:noProof/>
                            </w:rPr>
                            <w:t>2</w:t>
                          </w:r>
                          <w:r>
                            <w:fldChar w:fldCharType="end"/>
                          </w:r>
                          <w:r>
                            <w:t xml:space="preserve"> van </w:t>
                          </w:r>
                          <w:r>
                            <w:fldChar w:fldCharType="begin"/>
                          </w:r>
                          <w:r>
                            <w:instrText>NUMPAGES</w:instrText>
                          </w:r>
                          <w:r>
                            <w:fldChar w:fldCharType="separate"/>
                          </w:r>
                          <w:r w:rsidR="004C3EDE">
                            <w:rPr>
                              <w:noProof/>
                            </w:rPr>
                            <w:t>1</w:t>
                          </w:r>
                          <w:r>
                            <w:fldChar w:fldCharType="end"/>
                          </w:r>
                        </w:p>
                      </w:txbxContent>
                    </wps:txbx>
                    <wps:bodyPr vert="horz" wrap="square" lIns="0" tIns="0" rIns="0" bIns="0" anchor="t" anchorCtr="0"/>
                  </wps:wsp>
                </a:graphicData>
              </a:graphic>
            </wp:anchor>
          </w:drawing>
        </mc:Choice>
        <mc:Fallback>
          <w:pict>
            <v:shape w14:anchorId="7519D01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86747C9" w14:textId="7780ADE5" w:rsidR="00F956C8" w:rsidRDefault="00053E8C">
                    <w:pPr>
                      <w:pStyle w:val="Referentiegegevens"/>
                    </w:pPr>
                    <w:r>
                      <w:t xml:space="preserve">Pagina </w:t>
                    </w:r>
                    <w:r>
                      <w:fldChar w:fldCharType="begin"/>
                    </w:r>
                    <w:r>
                      <w:instrText>PAGE</w:instrText>
                    </w:r>
                    <w:r>
                      <w:fldChar w:fldCharType="separate"/>
                    </w:r>
                    <w:r w:rsidR="004C3EDE">
                      <w:rPr>
                        <w:noProof/>
                      </w:rPr>
                      <w:t>2</w:t>
                    </w:r>
                    <w:r>
                      <w:fldChar w:fldCharType="end"/>
                    </w:r>
                    <w:r>
                      <w:t xml:space="preserve"> van </w:t>
                    </w:r>
                    <w:r>
                      <w:fldChar w:fldCharType="begin"/>
                    </w:r>
                    <w:r>
                      <w:instrText>NUMPAGES</w:instrText>
                    </w:r>
                    <w:r>
                      <w:fldChar w:fldCharType="separate"/>
                    </w:r>
                    <w:r w:rsidR="004C3ED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D49A" w14:textId="77777777" w:rsidR="00F956C8" w:rsidRDefault="00053E8C">
    <w:pPr>
      <w:spacing w:after="6377" w:line="14" w:lineRule="exact"/>
    </w:pPr>
    <w:r>
      <w:rPr>
        <w:noProof/>
      </w:rPr>
      <mc:AlternateContent>
        <mc:Choice Requires="wps">
          <w:drawing>
            <wp:anchor distT="0" distB="0" distL="0" distR="0" simplePos="0" relativeHeight="251656192" behindDoc="0" locked="1" layoutInCell="1" allowOverlap="1" wp14:anchorId="79028C62" wp14:editId="71D0725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AEDCE2C" w14:textId="77777777" w:rsidR="00F956C8" w:rsidRDefault="00053E8C">
                          <w:pPr>
                            <w:spacing w:line="240" w:lineRule="auto"/>
                          </w:pPr>
                          <w:r>
                            <w:rPr>
                              <w:noProof/>
                            </w:rPr>
                            <w:drawing>
                              <wp:inline distT="0" distB="0" distL="0" distR="0" wp14:anchorId="67F1CEE1" wp14:editId="429A83E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9028C6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AEDCE2C" w14:textId="77777777" w:rsidR="00F956C8" w:rsidRDefault="00053E8C">
                    <w:pPr>
                      <w:spacing w:line="240" w:lineRule="auto"/>
                    </w:pPr>
                    <w:r>
                      <w:rPr>
                        <w:noProof/>
                      </w:rPr>
                      <w:drawing>
                        <wp:inline distT="0" distB="0" distL="0" distR="0" wp14:anchorId="67F1CEE1" wp14:editId="429A83E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4BEDB8D" wp14:editId="08F9A4B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59099B" w14:textId="77777777" w:rsidR="00F956C8" w:rsidRDefault="00053E8C">
                          <w:pPr>
                            <w:spacing w:line="240" w:lineRule="auto"/>
                          </w:pPr>
                          <w:r>
                            <w:rPr>
                              <w:noProof/>
                            </w:rPr>
                            <w:drawing>
                              <wp:inline distT="0" distB="0" distL="0" distR="0" wp14:anchorId="3CC2F98E" wp14:editId="1EEC7EC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BEDB8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D59099B" w14:textId="77777777" w:rsidR="00F956C8" w:rsidRDefault="00053E8C">
                    <w:pPr>
                      <w:spacing w:line="240" w:lineRule="auto"/>
                    </w:pPr>
                    <w:r>
                      <w:rPr>
                        <w:noProof/>
                      </w:rPr>
                      <w:drawing>
                        <wp:inline distT="0" distB="0" distL="0" distR="0" wp14:anchorId="3CC2F98E" wp14:editId="1EEC7EC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C31AB71" wp14:editId="488B048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426681" w14:textId="77777777" w:rsidR="00F956C8" w:rsidRDefault="00053E8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C31AB7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1426681" w14:textId="77777777" w:rsidR="00F956C8" w:rsidRDefault="00053E8C">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838F62D" wp14:editId="5C48D4F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3B03586" w14:textId="77777777" w:rsidR="00F956C8" w:rsidRDefault="00053E8C">
                          <w:r>
                            <w:t>Aan de Voorzitter van de Tweede Kamer</w:t>
                          </w:r>
                        </w:p>
                        <w:p w14:paraId="7A025102" w14:textId="1AD35FD5" w:rsidR="00F956C8" w:rsidRDefault="00053E8C">
                          <w:r>
                            <w:t>der Staten-Generaal</w:t>
                          </w:r>
                        </w:p>
                        <w:p w14:paraId="45EAB92E" w14:textId="77777777" w:rsidR="00F956C8" w:rsidRDefault="00053E8C">
                          <w:r>
                            <w:t xml:space="preserve">Postbus 20018 </w:t>
                          </w:r>
                        </w:p>
                        <w:p w14:paraId="58CEF280" w14:textId="77777777" w:rsidR="00F956C8" w:rsidRDefault="00053E8C">
                          <w:r>
                            <w:t>2500 EA  DEN HAAG</w:t>
                          </w:r>
                        </w:p>
                      </w:txbxContent>
                    </wps:txbx>
                    <wps:bodyPr vert="horz" wrap="square" lIns="0" tIns="0" rIns="0" bIns="0" anchor="t" anchorCtr="0"/>
                  </wps:wsp>
                </a:graphicData>
              </a:graphic>
            </wp:anchor>
          </w:drawing>
        </mc:Choice>
        <mc:Fallback>
          <w:pict>
            <v:shape w14:anchorId="1838F62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3B03586" w14:textId="77777777" w:rsidR="00F956C8" w:rsidRDefault="00053E8C">
                    <w:r>
                      <w:t>Aan de Voorzitter van de Tweede Kamer</w:t>
                    </w:r>
                  </w:p>
                  <w:p w14:paraId="7A025102" w14:textId="1AD35FD5" w:rsidR="00F956C8" w:rsidRDefault="00053E8C">
                    <w:r>
                      <w:t>der Staten-Generaal</w:t>
                    </w:r>
                  </w:p>
                  <w:p w14:paraId="45EAB92E" w14:textId="77777777" w:rsidR="00F956C8" w:rsidRDefault="00053E8C">
                    <w:r>
                      <w:t xml:space="preserve">Postbus 20018 </w:t>
                    </w:r>
                  </w:p>
                  <w:p w14:paraId="58CEF280" w14:textId="77777777" w:rsidR="00F956C8" w:rsidRDefault="00053E8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11FFA66" wp14:editId="72D60AFF">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956C8" w14:paraId="789B18A4" w14:textId="77777777">
                            <w:trPr>
                              <w:trHeight w:val="240"/>
                            </w:trPr>
                            <w:tc>
                              <w:tcPr>
                                <w:tcW w:w="1140" w:type="dxa"/>
                              </w:tcPr>
                              <w:p w14:paraId="497A151C" w14:textId="77777777" w:rsidR="00F956C8" w:rsidRDefault="00053E8C">
                                <w:r>
                                  <w:t>Datum</w:t>
                                </w:r>
                              </w:p>
                            </w:tc>
                            <w:tc>
                              <w:tcPr>
                                <w:tcW w:w="5918" w:type="dxa"/>
                              </w:tcPr>
                              <w:p w14:paraId="6B88C283" w14:textId="7DCBC8A3" w:rsidR="00F956C8" w:rsidRDefault="00053E8C">
                                <w:sdt>
                                  <w:sdtPr>
                                    <w:id w:val="-1210177636"/>
                                    <w:date w:fullDate="2026-06-03T00:00:00Z">
                                      <w:dateFormat w:val="d MMMM yyyy"/>
                                      <w:lid w:val="nl"/>
                                      <w:storeMappedDataAs w:val="dateTime"/>
                                      <w:calendar w:val="gregorian"/>
                                    </w:date>
                                  </w:sdtPr>
                                  <w:sdtEndPr/>
                                  <w:sdtContent>
                                    <w:r w:rsidR="00D97FF3">
                                      <w:rPr>
                                        <w:lang w:val="nl"/>
                                      </w:rPr>
                                      <w:t xml:space="preserve">3 juni </w:t>
                                    </w:r>
                                    <w:r w:rsidR="00574EBB">
                                      <w:rPr>
                                        <w:lang w:val="nl"/>
                                      </w:rPr>
                                      <w:t>2026</w:t>
                                    </w:r>
                                  </w:sdtContent>
                                </w:sdt>
                              </w:p>
                            </w:tc>
                          </w:tr>
                          <w:tr w:rsidR="00F956C8" w14:paraId="2F007FE3" w14:textId="77777777">
                            <w:trPr>
                              <w:trHeight w:val="240"/>
                            </w:trPr>
                            <w:tc>
                              <w:tcPr>
                                <w:tcW w:w="1140" w:type="dxa"/>
                              </w:tcPr>
                              <w:p w14:paraId="710D51EC" w14:textId="77777777" w:rsidR="00F956C8" w:rsidRDefault="00053E8C">
                                <w:r>
                                  <w:t>Betreft</w:t>
                                </w:r>
                              </w:p>
                            </w:tc>
                            <w:tc>
                              <w:tcPr>
                                <w:tcW w:w="5918" w:type="dxa"/>
                              </w:tcPr>
                              <w:p w14:paraId="270CBECD" w14:textId="77777777" w:rsidR="00F956C8" w:rsidRDefault="00053E8C">
                                <w:r>
                                  <w:t xml:space="preserve">Antwoorden Kamervragen over de </w:t>
                                </w:r>
                                <w:r>
                                  <w:t>rechtelijke uitspraak dat X (Twitter) volledige inzage moet geven in persoonsgegevens</w:t>
                                </w:r>
                              </w:p>
                            </w:tc>
                          </w:tr>
                        </w:tbl>
                        <w:p w14:paraId="4136F0E5" w14:textId="77777777" w:rsidR="007633C4" w:rsidRDefault="007633C4"/>
                      </w:txbxContent>
                    </wps:txbx>
                    <wps:bodyPr vert="horz" wrap="square" lIns="0" tIns="0" rIns="0" bIns="0" anchor="t" anchorCtr="0"/>
                  </wps:wsp>
                </a:graphicData>
              </a:graphic>
            </wp:anchor>
          </w:drawing>
        </mc:Choice>
        <mc:Fallback>
          <w:pict>
            <v:shape w14:anchorId="711FFA66"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956C8" w14:paraId="789B18A4" w14:textId="77777777">
                      <w:trPr>
                        <w:trHeight w:val="240"/>
                      </w:trPr>
                      <w:tc>
                        <w:tcPr>
                          <w:tcW w:w="1140" w:type="dxa"/>
                        </w:tcPr>
                        <w:p w14:paraId="497A151C" w14:textId="77777777" w:rsidR="00F956C8" w:rsidRDefault="00053E8C">
                          <w:r>
                            <w:t>Datum</w:t>
                          </w:r>
                        </w:p>
                      </w:tc>
                      <w:tc>
                        <w:tcPr>
                          <w:tcW w:w="5918" w:type="dxa"/>
                        </w:tcPr>
                        <w:p w14:paraId="6B88C283" w14:textId="7DCBC8A3" w:rsidR="00F956C8" w:rsidRDefault="00053E8C">
                          <w:sdt>
                            <w:sdtPr>
                              <w:id w:val="-1210177636"/>
                              <w:date w:fullDate="2026-06-03T00:00:00Z">
                                <w:dateFormat w:val="d MMMM yyyy"/>
                                <w:lid w:val="nl"/>
                                <w:storeMappedDataAs w:val="dateTime"/>
                                <w:calendar w:val="gregorian"/>
                              </w:date>
                            </w:sdtPr>
                            <w:sdtEndPr/>
                            <w:sdtContent>
                              <w:r w:rsidR="00D97FF3">
                                <w:rPr>
                                  <w:lang w:val="nl"/>
                                </w:rPr>
                                <w:t xml:space="preserve">3 juni </w:t>
                              </w:r>
                              <w:r w:rsidR="00574EBB">
                                <w:rPr>
                                  <w:lang w:val="nl"/>
                                </w:rPr>
                                <w:t>2026</w:t>
                              </w:r>
                            </w:sdtContent>
                          </w:sdt>
                        </w:p>
                      </w:tc>
                    </w:tr>
                    <w:tr w:rsidR="00F956C8" w14:paraId="2F007FE3" w14:textId="77777777">
                      <w:trPr>
                        <w:trHeight w:val="240"/>
                      </w:trPr>
                      <w:tc>
                        <w:tcPr>
                          <w:tcW w:w="1140" w:type="dxa"/>
                        </w:tcPr>
                        <w:p w14:paraId="710D51EC" w14:textId="77777777" w:rsidR="00F956C8" w:rsidRDefault="00053E8C">
                          <w:r>
                            <w:t>Betreft</w:t>
                          </w:r>
                        </w:p>
                      </w:tc>
                      <w:tc>
                        <w:tcPr>
                          <w:tcW w:w="5918" w:type="dxa"/>
                        </w:tcPr>
                        <w:p w14:paraId="270CBECD" w14:textId="77777777" w:rsidR="00F956C8" w:rsidRDefault="00053E8C">
                          <w:r>
                            <w:t xml:space="preserve">Antwoorden Kamervragen over de </w:t>
                          </w:r>
                          <w:r>
                            <w:t>rechtelijke uitspraak dat X (Twitter) volledige inzage moet geven in persoonsgegevens</w:t>
                          </w:r>
                        </w:p>
                      </w:tc>
                    </w:tr>
                  </w:tbl>
                  <w:p w14:paraId="4136F0E5" w14:textId="77777777" w:rsidR="007633C4" w:rsidRDefault="007633C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870C0DD" wp14:editId="38A3AB3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F0930F" w14:textId="77777777" w:rsidR="00F956C8" w:rsidRDefault="00053E8C">
                          <w:pPr>
                            <w:pStyle w:val="Referentiegegevensbold"/>
                          </w:pPr>
                          <w:r>
                            <w:t>Directoraat-Generaal Rechtspleging en Rechtshandhaving</w:t>
                          </w:r>
                        </w:p>
                        <w:p w14:paraId="7E4695DD" w14:textId="77777777" w:rsidR="00F956C8" w:rsidRDefault="00053E8C">
                          <w:pPr>
                            <w:pStyle w:val="Referentiegegevens"/>
                          </w:pPr>
                          <w:r>
                            <w:t>Directie Rechtsbestel</w:t>
                          </w:r>
                        </w:p>
                        <w:p w14:paraId="74F0434E" w14:textId="77777777" w:rsidR="00F956C8" w:rsidRDefault="00F956C8">
                          <w:pPr>
                            <w:pStyle w:val="WitregelW1"/>
                          </w:pPr>
                        </w:p>
                        <w:p w14:paraId="405309A3" w14:textId="77777777" w:rsidR="00F956C8" w:rsidRPr="00B63BB5" w:rsidRDefault="00053E8C">
                          <w:pPr>
                            <w:pStyle w:val="Referentiegegevens"/>
                            <w:rPr>
                              <w:lang w:val="de-DE"/>
                            </w:rPr>
                          </w:pPr>
                          <w:proofErr w:type="spellStart"/>
                          <w:r w:rsidRPr="00B63BB5">
                            <w:rPr>
                              <w:lang w:val="de-DE"/>
                            </w:rPr>
                            <w:t>Turfmarkt</w:t>
                          </w:r>
                          <w:proofErr w:type="spellEnd"/>
                          <w:r w:rsidRPr="00B63BB5">
                            <w:rPr>
                              <w:lang w:val="de-DE"/>
                            </w:rPr>
                            <w:t xml:space="preserve"> 147</w:t>
                          </w:r>
                        </w:p>
                        <w:p w14:paraId="4CA58742" w14:textId="77777777" w:rsidR="00F956C8" w:rsidRPr="00B63BB5" w:rsidRDefault="00053E8C">
                          <w:pPr>
                            <w:pStyle w:val="Referentiegegevens"/>
                            <w:rPr>
                              <w:lang w:val="de-DE"/>
                            </w:rPr>
                          </w:pPr>
                          <w:r w:rsidRPr="00B63BB5">
                            <w:rPr>
                              <w:lang w:val="de-DE"/>
                            </w:rPr>
                            <w:t>2511 DP  Den Haag</w:t>
                          </w:r>
                        </w:p>
                        <w:p w14:paraId="0542CF0A" w14:textId="77777777" w:rsidR="00F956C8" w:rsidRPr="00B63BB5" w:rsidRDefault="00053E8C">
                          <w:pPr>
                            <w:pStyle w:val="Referentiegegevens"/>
                            <w:rPr>
                              <w:lang w:val="de-DE"/>
                            </w:rPr>
                          </w:pPr>
                          <w:r w:rsidRPr="00B63BB5">
                            <w:rPr>
                              <w:lang w:val="de-DE"/>
                            </w:rPr>
                            <w:t>Postbus 20301</w:t>
                          </w:r>
                        </w:p>
                        <w:p w14:paraId="6F0D60DC" w14:textId="77777777" w:rsidR="00F956C8" w:rsidRPr="00B63BB5" w:rsidRDefault="00053E8C">
                          <w:pPr>
                            <w:pStyle w:val="Referentiegegevens"/>
                            <w:rPr>
                              <w:lang w:val="de-DE"/>
                            </w:rPr>
                          </w:pPr>
                          <w:r w:rsidRPr="00B63BB5">
                            <w:rPr>
                              <w:lang w:val="de-DE"/>
                            </w:rPr>
                            <w:t>2500 EH  Den Haag</w:t>
                          </w:r>
                        </w:p>
                        <w:p w14:paraId="6F49DAE5" w14:textId="77777777" w:rsidR="00F956C8" w:rsidRPr="00B63BB5" w:rsidRDefault="00053E8C">
                          <w:pPr>
                            <w:pStyle w:val="Referentiegegevens"/>
                            <w:rPr>
                              <w:lang w:val="de-DE"/>
                            </w:rPr>
                          </w:pPr>
                          <w:r w:rsidRPr="00B63BB5">
                            <w:rPr>
                              <w:lang w:val="de-DE"/>
                            </w:rPr>
                            <w:t>www.rijksoverheid.nl/jenv</w:t>
                          </w:r>
                        </w:p>
                        <w:p w14:paraId="7F5F7082" w14:textId="77777777" w:rsidR="00F956C8" w:rsidRPr="00B63BB5" w:rsidRDefault="00F956C8">
                          <w:pPr>
                            <w:pStyle w:val="WitregelW1"/>
                            <w:rPr>
                              <w:lang w:val="de-DE"/>
                            </w:rPr>
                          </w:pPr>
                        </w:p>
                        <w:p w14:paraId="0B6C2C08" w14:textId="3A102B12" w:rsidR="00F956C8" w:rsidRPr="00B63BB5" w:rsidRDefault="00F956C8">
                          <w:pPr>
                            <w:pStyle w:val="Referentiegegevensbold"/>
                            <w:rPr>
                              <w:lang w:val="de-DE"/>
                            </w:rPr>
                          </w:pPr>
                        </w:p>
                        <w:p w14:paraId="05DEEA22" w14:textId="77777777" w:rsidR="00F956C8" w:rsidRPr="00B63BB5" w:rsidRDefault="00F956C8">
                          <w:pPr>
                            <w:pStyle w:val="WitregelW2"/>
                            <w:rPr>
                              <w:lang w:val="de-DE"/>
                            </w:rPr>
                          </w:pPr>
                        </w:p>
                        <w:p w14:paraId="53C8D6F8" w14:textId="77777777" w:rsidR="00F956C8" w:rsidRDefault="00053E8C">
                          <w:pPr>
                            <w:pStyle w:val="Referentiegegevensbold"/>
                          </w:pPr>
                          <w:r>
                            <w:t>Onze referentie</w:t>
                          </w:r>
                        </w:p>
                        <w:p w14:paraId="5AEBBFE9" w14:textId="77777777" w:rsidR="00F956C8" w:rsidRDefault="00053E8C">
                          <w:pPr>
                            <w:pStyle w:val="Referentiegegevens"/>
                          </w:pPr>
                          <w:r>
                            <w:t>7517463</w:t>
                          </w:r>
                        </w:p>
                        <w:p w14:paraId="212E22FD" w14:textId="77777777" w:rsidR="00F956C8" w:rsidRDefault="00F956C8">
                          <w:pPr>
                            <w:pStyle w:val="WitregelW1"/>
                          </w:pPr>
                        </w:p>
                        <w:p w14:paraId="0201197B" w14:textId="77777777" w:rsidR="00F956C8" w:rsidRDefault="00053E8C">
                          <w:pPr>
                            <w:pStyle w:val="Referentiegegevensbold"/>
                          </w:pPr>
                          <w:r>
                            <w:t>Uw referentie</w:t>
                          </w:r>
                        </w:p>
                        <w:p w14:paraId="7F3B47CA" w14:textId="149E0597" w:rsidR="00F956C8" w:rsidRDefault="00053E8C">
                          <w:pPr>
                            <w:pStyle w:val="Referentiegegevens"/>
                          </w:pPr>
                          <w:sdt>
                            <w:sdtPr>
                              <w:id w:val="-386110433"/>
                              <w:dataBinding w:prefixMappings="xmlns:ns0='docgen-assistant'" w:xpath="/ns0:CustomXml[1]/ns0:Variables[1]/ns0:Variable[1]/ns0:Value[1]" w:storeItemID="{69D6EEC8-C9E1-4904-8281-341938F2DEB0}"/>
                              <w:text/>
                            </w:sdtPr>
                            <w:sdtEndPr/>
                            <w:sdtContent>
                              <w:r w:rsidR="00DF19C0">
                                <w:t>2026Z08236</w:t>
                              </w:r>
                            </w:sdtContent>
                          </w:sdt>
                        </w:p>
                      </w:txbxContent>
                    </wps:txbx>
                    <wps:bodyPr vert="horz" wrap="square" lIns="0" tIns="0" rIns="0" bIns="0" anchor="t" anchorCtr="0"/>
                  </wps:wsp>
                </a:graphicData>
              </a:graphic>
            </wp:anchor>
          </w:drawing>
        </mc:Choice>
        <mc:Fallback>
          <w:pict>
            <v:shape w14:anchorId="1870C0D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EF0930F" w14:textId="77777777" w:rsidR="00F956C8" w:rsidRDefault="00053E8C">
                    <w:pPr>
                      <w:pStyle w:val="Referentiegegevensbold"/>
                    </w:pPr>
                    <w:r>
                      <w:t>Directoraat-Generaal Rechtspleging en Rechtshandhaving</w:t>
                    </w:r>
                  </w:p>
                  <w:p w14:paraId="7E4695DD" w14:textId="77777777" w:rsidR="00F956C8" w:rsidRDefault="00053E8C">
                    <w:pPr>
                      <w:pStyle w:val="Referentiegegevens"/>
                    </w:pPr>
                    <w:r>
                      <w:t>Directie Rechtsbestel</w:t>
                    </w:r>
                  </w:p>
                  <w:p w14:paraId="74F0434E" w14:textId="77777777" w:rsidR="00F956C8" w:rsidRDefault="00F956C8">
                    <w:pPr>
                      <w:pStyle w:val="WitregelW1"/>
                    </w:pPr>
                  </w:p>
                  <w:p w14:paraId="405309A3" w14:textId="77777777" w:rsidR="00F956C8" w:rsidRPr="00B63BB5" w:rsidRDefault="00053E8C">
                    <w:pPr>
                      <w:pStyle w:val="Referentiegegevens"/>
                      <w:rPr>
                        <w:lang w:val="de-DE"/>
                      </w:rPr>
                    </w:pPr>
                    <w:proofErr w:type="spellStart"/>
                    <w:r w:rsidRPr="00B63BB5">
                      <w:rPr>
                        <w:lang w:val="de-DE"/>
                      </w:rPr>
                      <w:t>Turfmarkt</w:t>
                    </w:r>
                    <w:proofErr w:type="spellEnd"/>
                    <w:r w:rsidRPr="00B63BB5">
                      <w:rPr>
                        <w:lang w:val="de-DE"/>
                      </w:rPr>
                      <w:t xml:space="preserve"> 147</w:t>
                    </w:r>
                  </w:p>
                  <w:p w14:paraId="4CA58742" w14:textId="77777777" w:rsidR="00F956C8" w:rsidRPr="00B63BB5" w:rsidRDefault="00053E8C">
                    <w:pPr>
                      <w:pStyle w:val="Referentiegegevens"/>
                      <w:rPr>
                        <w:lang w:val="de-DE"/>
                      </w:rPr>
                    </w:pPr>
                    <w:r w:rsidRPr="00B63BB5">
                      <w:rPr>
                        <w:lang w:val="de-DE"/>
                      </w:rPr>
                      <w:t>2511 DP  Den Haag</w:t>
                    </w:r>
                  </w:p>
                  <w:p w14:paraId="0542CF0A" w14:textId="77777777" w:rsidR="00F956C8" w:rsidRPr="00B63BB5" w:rsidRDefault="00053E8C">
                    <w:pPr>
                      <w:pStyle w:val="Referentiegegevens"/>
                      <w:rPr>
                        <w:lang w:val="de-DE"/>
                      </w:rPr>
                    </w:pPr>
                    <w:r w:rsidRPr="00B63BB5">
                      <w:rPr>
                        <w:lang w:val="de-DE"/>
                      </w:rPr>
                      <w:t>Postbus 20301</w:t>
                    </w:r>
                  </w:p>
                  <w:p w14:paraId="6F0D60DC" w14:textId="77777777" w:rsidR="00F956C8" w:rsidRPr="00B63BB5" w:rsidRDefault="00053E8C">
                    <w:pPr>
                      <w:pStyle w:val="Referentiegegevens"/>
                      <w:rPr>
                        <w:lang w:val="de-DE"/>
                      </w:rPr>
                    </w:pPr>
                    <w:r w:rsidRPr="00B63BB5">
                      <w:rPr>
                        <w:lang w:val="de-DE"/>
                      </w:rPr>
                      <w:t>2500 EH  Den Haag</w:t>
                    </w:r>
                  </w:p>
                  <w:p w14:paraId="6F49DAE5" w14:textId="77777777" w:rsidR="00F956C8" w:rsidRPr="00B63BB5" w:rsidRDefault="00053E8C">
                    <w:pPr>
                      <w:pStyle w:val="Referentiegegevens"/>
                      <w:rPr>
                        <w:lang w:val="de-DE"/>
                      </w:rPr>
                    </w:pPr>
                    <w:r w:rsidRPr="00B63BB5">
                      <w:rPr>
                        <w:lang w:val="de-DE"/>
                      </w:rPr>
                      <w:t>www.rijksoverheid.nl/jenv</w:t>
                    </w:r>
                  </w:p>
                  <w:p w14:paraId="7F5F7082" w14:textId="77777777" w:rsidR="00F956C8" w:rsidRPr="00B63BB5" w:rsidRDefault="00F956C8">
                    <w:pPr>
                      <w:pStyle w:val="WitregelW1"/>
                      <w:rPr>
                        <w:lang w:val="de-DE"/>
                      </w:rPr>
                    </w:pPr>
                  </w:p>
                  <w:p w14:paraId="0B6C2C08" w14:textId="3A102B12" w:rsidR="00F956C8" w:rsidRPr="00B63BB5" w:rsidRDefault="00F956C8">
                    <w:pPr>
                      <w:pStyle w:val="Referentiegegevensbold"/>
                      <w:rPr>
                        <w:lang w:val="de-DE"/>
                      </w:rPr>
                    </w:pPr>
                  </w:p>
                  <w:p w14:paraId="05DEEA22" w14:textId="77777777" w:rsidR="00F956C8" w:rsidRPr="00B63BB5" w:rsidRDefault="00F956C8">
                    <w:pPr>
                      <w:pStyle w:val="WitregelW2"/>
                      <w:rPr>
                        <w:lang w:val="de-DE"/>
                      </w:rPr>
                    </w:pPr>
                  </w:p>
                  <w:p w14:paraId="53C8D6F8" w14:textId="77777777" w:rsidR="00F956C8" w:rsidRDefault="00053E8C">
                    <w:pPr>
                      <w:pStyle w:val="Referentiegegevensbold"/>
                    </w:pPr>
                    <w:r>
                      <w:t>Onze referentie</w:t>
                    </w:r>
                  </w:p>
                  <w:p w14:paraId="5AEBBFE9" w14:textId="77777777" w:rsidR="00F956C8" w:rsidRDefault="00053E8C">
                    <w:pPr>
                      <w:pStyle w:val="Referentiegegevens"/>
                    </w:pPr>
                    <w:r>
                      <w:t>7517463</w:t>
                    </w:r>
                  </w:p>
                  <w:p w14:paraId="212E22FD" w14:textId="77777777" w:rsidR="00F956C8" w:rsidRDefault="00F956C8">
                    <w:pPr>
                      <w:pStyle w:val="WitregelW1"/>
                    </w:pPr>
                  </w:p>
                  <w:p w14:paraId="0201197B" w14:textId="77777777" w:rsidR="00F956C8" w:rsidRDefault="00053E8C">
                    <w:pPr>
                      <w:pStyle w:val="Referentiegegevensbold"/>
                    </w:pPr>
                    <w:r>
                      <w:t>Uw referentie</w:t>
                    </w:r>
                  </w:p>
                  <w:p w14:paraId="7F3B47CA" w14:textId="149E0597" w:rsidR="00F956C8" w:rsidRDefault="00053E8C">
                    <w:pPr>
                      <w:pStyle w:val="Referentiegegevens"/>
                    </w:pPr>
                    <w:sdt>
                      <w:sdtPr>
                        <w:id w:val="-386110433"/>
                        <w:dataBinding w:prefixMappings="xmlns:ns0='docgen-assistant'" w:xpath="/ns0:CustomXml[1]/ns0:Variables[1]/ns0:Variable[1]/ns0:Value[1]" w:storeItemID="{69D6EEC8-C9E1-4904-8281-341938F2DEB0}"/>
                        <w:text/>
                      </w:sdtPr>
                      <w:sdtEndPr/>
                      <w:sdtContent>
                        <w:r w:rsidR="00DF19C0">
                          <w:t>2026Z08236</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ED0B8A" wp14:editId="15E098C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B30BE0" w14:textId="77777777" w:rsidR="00F956C8" w:rsidRDefault="00053E8C">
                          <w:pPr>
                            <w:pStyle w:val="Referentiegegevens"/>
                          </w:pPr>
                          <w:r>
                            <w:t xml:space="preserve">Pagina </w:t>
                          </w:r>
                          <w:r>
                            <w:fldChar w:fldCharType="begin"/>
                          </w:r>
                          <w:r>
                            <w:instrText>PAGE</w:instrText>
                          </w:r>
                          <w:r>
                            <w:fldChar w:fldCharType="separate"/>
                          </w:r>
                          <w:r w:rsidR="004C3EDE">
                            <w:rPr>
                              <w:noProof/>
                            </w:rPr>
                            <w:t>1</w:t>
                          </w:r>
                          <w:r>
                            <w:fldChar w:fldCharType="end"/>
                          </w:r>
                          <w:r>
                            <w:t xml:space="preserve"> van </w:t>
                          </w:r>
                          <w:r>
                            <w:fldChar w:fldCharType="begin"/>
                          </w:r>
                          <w:r>
                            <w:instrText>NUMPAGES</w:instrText>
                          </w:r>
                          <w:r>
                            <w:fldChar w:fldCharType="separate"/>
                          </w:r>
                          <w:r w:rsidR="004C3EDE">
                            <w:rPr>
                              <w:noProof/>
                            </w:rPr>
                            <w:t>1</w:t>
                          </w:r>
                          <w:r>
                            <w:fldChar w:fldCharType="end"/>
                          </w:r>
                        </w:p>
                      </w:txbxContent>
                    </wps:txbx>
                    <wps:bodyPr vert="horz" wrap="square" lIns="0" tIns="0" rIns="0" bIns="0" anchor="t" anchorCtr="0"/>
                  </wps:wsp>
                </a:graphicData>
              </a:graphic>
            </wp:anchor>
          </w:drawing>
        </mc:Choice>
        <mc:Fallback>
          <w:pict>
            <v:shape w14:anchorId="79ED0B8A"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8B30BE0" w14:textId="77777777" w:rsidR="00F956C8" w:rsidRDefault="00053E8C">
                    <w:pPr>
                      <w:pStyle w:val="Referentiegegevens"/>
                    </w:pPr>
                    <w:r>
                      <w:t xml:space="preserve">Pagina </w:t>
                    </w:r>
                    <w:r>
                      <w:fldChar w:fldCharType="begin"/>
                    </w:r>
                    <w:r>
                      <w:instrText>PAGE</w:instrText>
                    </w:r>
                    <w:r>
                      <w:fldChar w:fldCharType="separate"/>
                    </w:r>
                    <w:r w:rsidR="004C3EDE">
                      <w:rPr>
                        <w:noProof/>
                      </w:rPr>
                      <w:t>1</w:t>
                    </w:r>
                    <w:r>
                      <w:fldChar w:fldCharType="end"/>
                    </w:r>
                    <w:r>
                      <w:t xml:space="preserve"> van </w:t>
                    </w:r>
                    <w:r>
                      <w:fldChar w:fldCharType="begin"/>
                    </w:r>
                    <w:r>
                      <w:instrText>NUMPAGES</w:instrText>
                    </w:r>
                    <w:r>
                      <w:fldChar w:fldCharType="separate"/>
                    </w:r>
                    <w:r w:rsidR="004C3ED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452F16C" wp14:editId="5D04AD3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B0006A" w14:textId="77777777" w:rsidR="007633C4" w:rsidRDefault="007633C4"/>
                      </w:txbxContent>
                    </wps:txbx>
                    <wps:bodyPr vert="horz" wrap="square" lIns="0" tIns="0" rIns="0" bIns="0" anchor="t" anchorCtr="0"/>
                  </wps:wsp>
                </a:graphicData>
              </a:graphic>
            </wp:anchor>
          </w:drawing>
        </mc:Choice>
        <mc:Fallback>
          <w:pict>
            <v:shape w14:anchorId="6452F16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0B0006A" w14:textId="77777777" w:rsidR="007633C4" w:rsidRDefault="007633C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0C579D"/>
    <w:multiLevelType w:val="multilevel"/>
    <w:tmpl w:val="8DF2821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BF86C48"/>
    <w:multiLevelType w:val="multilevel"/>
    <w:tmpl w:val="0B7F379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4331FBC"/>
    <w:multiLevelType w:val="multilevel"/>
    <w:tmpl w:val="CBD622A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6E58996"/>
    <w:multiLevelType w:val="multilevel"/>
    <w:tmpl w:val="545F9D3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ED654371"/>
    <w:multiLevelType w:val="multilevel"/>
    <w:tmpl w:val="393CC35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F9ABBB35"/>
    <w:multiLevelType w:val="multilevel"/>
    <w:tmpl w:val="66CAFAB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67120860">
    <w:abstractNumId w:val="4"/>
  </w:num>
  <w:num w:numId="2" w16cid:durableId="411514414">
    <w:abstractNumId w:val="5"/>
  </w:num>
  <w:num w:numId="3" w16cid:durableId="564417018">
    <w:abstractNumId w:val="0"/>
  </w:num>
  <w:num w:numId="4" w16cid:durableId="470639736">
    <w:abstractNumId w:val="3"/>
  </w:num>
  <w:num w:numId="5" w16cid:durableId="1193033030">
    <w:abstractNumId w:val="1"/>
  </w:num>
  <w:num w:numId="6" w16cid:durableId="252520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DE"/>
    <w:rsid w:val="0004688E"/>
    <w:rsid w:val="00053E8C"/>
    <w:rsid w:val="0011789A"/>
    <w:rsid w:val="00161C87"/>
    <w:rsid w:val="00166DE7"/>
    <w:rsid w:val="001E0580"/>
    <w:rsid w:val="001F0298"/>
    <w:rsid w:val="002024F5"/>
    <w:rsid w:val="002709FF"/>
    <w:rsid w:val="0036740B"/>
    <w:rsid w:val="003A4B32"/>
    <w:rsid w:val="00417E10"/>
    <w:rsid w:val="00457A8B"/>
    <w:rsid w:val="004C3EDE"/>
    <w:rsid w:val="00532102"/>
    <w:rsid w:val="00574EBB"/>
    <w:rsid w:val="006061DD"/>
    <w:rsid w:val="006D2775"/>
    <w:rsid w:val="007218C4"/>
    <w:rsid w:val="007633C4"/>
    <w:rsid w:val="00877BC5"/>
    <w:rsid w:val="008B0920"/>
    <w:rsid w:val="008C4BBE"/>
    <w:rsid w:val="008E4629"/>
    <w:rsid w:val="00910196"/>
    <w:rsid w:val="009F016A"/>
    <w:rsid w:val="00A23E79"/>
    <w:rsid w:val="00A3778E"/>
    <w:rsid w:val="00B23B82"/>
    <w:rsid w:val="00B62CC9"/>
    <w:rsid w:val="00B63BB5"/>
    <w:rsid w:val="00B665FF"/>
    <w:rsid w:val="00BC3337"/>
    <w:rsid w:val="00BC40BE"/>
    <w:rsid w:val="00BF47B3"/>
    <w:rsid w:val="00C31A1B"/>
    <w:rsid w:val="00CE1D2D"/>
    <w:rsid w:val="00D56E4C"/>
    <w:rsid w:val="00D97FF3"/>
    <w:rsid w:val="00DA58AC"/>
    <w:rsid w:val="00DB6C79"/>
    <w:rsid w:val="00DE6272"/>
    <w:rsid w:val="00DF19C0"/>
    <w:rsid w:val="00E06B35"/>
    <w:rsid w:val="00E32E57"/>
    <w:rsid w:val="00E674C5"/>
    <w:rsid w:val="00EC35A2"/>
    <w:rsid w:val="00F956C8"/>
    <w:rsid w:val="00FE6B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553BB"/>
  <w15:docId w15:val="{E2210C03-A498-45D1-97C5-945E3206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C3ED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3EDE"/>
    <w:rPr>
      <w:rFonts w:ascii="Verdana" w:hAnsi="Verdana"/>
      <w:color w:val="000000"/>
      <w:sz w:val="18"/>
      <w:szCs w:val="18"/>
    </w:rPr>
  </w:style>
  <w:style w:type="paragraph" w:styleId="Voetnoottekst">
    <w:name w:val="footnote text"/>
    <w:basedOn w:val="Standaard"/>
    <w:link w:val="VoetnoottekstChar"/>
    <w:uiPriority w:val="99"/>
    <w:unhideWhenUsed/>
    <w:rsid w:val="00DF19C0"/>
    <w:pPr>
      <w:spacing w:line="240" w:lineRule="auto"/>
    </w:pPr>
    <w:rPr>
      <w:sz w:val="20"/>
      <w:szCs w:val="20"/>
    </w:rPr>
  </w:style>
  <w:style w:type="character" w:customStyle="1" w:styleId="VoetnoottekstChar">
    <w:name w:val="Voetnoottekst Char"/>
    <w:basedOn w:val="Standaardalinea-lettertype"/>
    <w:link w:val="Voetnoottekst"/>
    <w:uiPriority w:val="99"/>
    <w:rsid w:val="00DF19C0"/>
    <w:rPr>
      <w:rFonts w:ascii="Verdana" w:hAnsi="Verdana"/>
      <w:color w:val="000000"/>
    </w:rPr>
  </w:style>
  <w:style w:type="character" w:styleId="Voetnootmarkering">
    <w:name w:val="footnote reference"/>
    <w:basedOn w:val="Standaardalinea-lettertype"/>
    <w:uiPriority w:val="99"/>
    <w:semiHidden/>
    <w:unhideWhenUsed/>
    <w:rsid w:val="00DF19C0"/>
    <w:rPr>
      <w:vertAlign w:val="superscript"/>
    </w:rPr>
  </w:style>
  <w:style w:type="paragraph" w:styleId="Revisie">
    <w:name w:val="Revision"/>
    <w:hidden/>
    <w:uiPriority w:val="99"/>
    <w:semiHidden/>
    <w:rsid w:val="0011789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1789A"/>
    <w:rPr>
      <w:sz w:val="16"/>
      <w:szCs w:val="16"/>
    </w:rPr>
  </w:style>
  <w:style w:type="paragraph" w:styleId="Tekstopmerking">
    <w:name w:val="annotation text"/>
    <w:basedOn w:val="Standaard"/>
    <w:link w:val="TekstopmerkingChar"/>
    <w:uiPriority w:val="99"/>
    <w:unhideWhenUsed/>
    <w:rsid w:val="0011789A"/>
    <w:pPr>
      <w:spacing w:line="240" w:lineRule="auto"/>
    </w:pPr>
    <w:rPr>
      <w:sz w:val="20"/>
      <w:szCs w:val="20"/>
    </w:rPr>
  </w:style>
  <w:style w:type="character" w:customStyle="1" w:styleId="TekstopmerkingChar">
    <w:name w:val="Tekst opmerking Char"/>
    <w:basedOn w:val="Standaardalinea-lettertype"/>
    <w:link w:val="Tekstopmerking"/>
    <w:uiPriority w:val="99"/>
    <w:rsid w:val="0011789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1789A"/>
    <w:rPr>
      <w:b/>
      <w:bCs/>
    </w:rPr>
  </w:style>
  <w:style w:type="character" w:customStyle="1" w:styleId="OnderwerpvanopmerkingChar">
    <w:name w:val="Onderwerp van opmerking Char"/>
    <w:basedOn w:val="TekstopmerkingChar"/>
    <w:link w:val="Onderwerpvanopmerking"/>
    <w:uiPriority w:val="99"/>
    <w:semiHidden/>
    <w:rsid w:val="0011789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1165">
      <w:bodyDiv w:val="1"/>
      <w:marLeft w:val="0"/>
      <w:marRight w:val="0"/>
      <w:marTop w:val="0"/>
      <w:marBottom w:val="0"/>
      <w:divBdr>
        <w:top w:val="none" w:sz="0" w:space="0" w:color="auto"/>
        <w:left w:val="none" w:sz="0" w:space="0" w:color="auto"/>
        <w:bottom w:val="none" w:sz="0" w:space="0" w:color="auto"/>
        <w:right w:val="none" w:sz="0" w:space="0" w:color="auto"/>
      </w:divBdr>
    </w:div>
    <w:div w:id="1191380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1944</ap:Words>
  <ap:Characters>10693</ap:Characters>
  <ap:DocSecurity>0</ap:DocSecurity>
  <ap:Lines>89</ap:Lines>
  <ap:Paragraphs>25</ap:Paragraphs>
  <ap:ScaleCrop>false</ap:ScaleCrop>
  <ap:LinksUpToDate>false</ap:LinksUpToDate>
  <ap:CharactersWithSpaces>12612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2026-06-03T15:07:00.0000000Z</dcterms:created>
  <dcterms:modified xsi:type="dcterms:W3CDTF">2026-06-03T15:07:00.0000000Z</dcterms:modified>
  <dc:description>------------------------</dc:description>
  <version/>
  <category/>
</coreProperties>
</file>