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2026Z11812</w:t>
        <w:br/>
      </w:r>
      <w:proofErr w:type="spellEnd"/>
    </w:p>
    <w:p>
      <w:pPr>
        <w:pStyle w:val="Normal"/>
        <w:rPr>
          <w:b w:val="1"/>
          <w:bCs w:val="1"/>
        </w:rPr>
      </w:pPr>
      <w:r w:rsidR="250AE766">
        <w:rPr>
          <w:b w:val="0"/>
          <w:bCs w:val="0"/>
        </w:rPr>
        <w:t>(ingezonden 3 juni 2026)</w:t>
        <w:br/>
      </w:r>
    </w:p>
    <w:p>
      <w:r>
        <w:t xml:space="preserve">Vragen van het lid Van den Berg (JA21) aan de staatssecretarissen van Financiën en van Economische Zaken en Klimaat over het gebruik van Adobe Analytics in de betaalomgeving van de Belastingdienst.</w:t>
      </w:r>
      <w:r>
        <w:br/>
      </w:r>
    </w:p>
    <w:p>
      <w:r>
        <w:t xml:space="preserve"> </w:t>
      </w:r>
      <w:r>
        <w:br/>
      </w:r>
    </w:p>
    <w:p>
      <w:pPr>
        <w:pStyle w:val="ListParagraph"/>
        <w:numPr>
          <w:ilvl w:val="0"/>
          <w:numId w:val="100509470"/>
        </w:numPr>
        <w:ind w:left="360"/>
      </w:pPr>
      <w:r>
        <w:t xml:space="preserve">Bent u bekend met het artikel van Mick Beer van 2 juni 2026, getiteld “Een Amerikaans reclamebedrijf krijgt een verslag van elke klik terwijl jij je belasting betaalt”?</w:t>
      </w:r>
      <w:r>
        <w:br/>
      </w:r>
    </w:p>
    <w:p>
      <w:pPr>
        <w:pStyle w:val="ListParagraph"/>
        <w:numPr>
          <w:ilvl w:val="0"/>
          <w:numId w:val="100509470"/>
        </w:numPr>
        <w:ind w:left="360"/>
      </w:pPr>
      <w:r>
        <w:t xml:space="preserve">[1]Klopt het dat binnen Mijn Belastingdienst, na inloggen met DigiD, bij het openen van een aanslag en het starten of annuleren van een betaling via iDEAL of Wero, gegevens worden verzonden naar adobe-analytics-dc.belastingdienst.nl en dat dit domein technisch doorverwijst naar Adobe-infrastructuur, waaronder data.adobedc.net?</w:t>
      </w:r>
      <w:r>
        <w:br/>
      </w:r>
    </w:p>
    <w:p>
      <w:pPr>
        <w:pStyle w:val="ListParagraph"/>
        <w:numPr>
          <w:ilvl w:val="0"/>
          <w:numId w:val="100509470"/>
        </w:numPr>
        <w:ind w:left="360"/>
      </w:pPr>
      <w:r>
        <w:t xml:space="preserve">Kunt u exact aangeven welke gegevens, parameters, events, headers en identifiers in deze betaalflow aan Adobe Analytics worden verzonden, waaronder in ieder geval gegevens over belastingmiddel, aanslagjaar, betaalstatus, betaalmethode, funnelstap, actieve tab, gebruikersinterfacevoorkeur, betaalstart, annulering of mislukte betaling?</w:t>
      </w:r>
      <w:r>
        <w:br/>
      </w:r>
    </w:p>
    <w:p>
      <w:pPr>
        <w:pStyle w:val="ListParagraph"/>
        <w:numPr>
          <w:ilvl w:val="0"/>
          <w:numId w:val="100509470"/>
        </w:numPr>
        <w:ind w:left="360"/>
      </w:pPr>
      <w:r>
        <w:t xml:space="preserve">Kunt u bevestigen of uitsluiten dat bij deze verwerking een Adobe Experience Cloud ID, ECID, MID of vergelijkbare persistente identifier wordt gebruikt en zo ja, wat de bewaartermijn is van de bijbehorende cookies of identifiers?</w:t>
      </w:r>
      <w:r>
        <w:br/>
      </w:r>
    </w:p>
    <w:p>
      <w:pPr>
        <w:pStyle w:val="ListParagraph"/>
        <w:numPr>
          <w:ilvl w:val="0"/>
          <w:numId w:val="100509470"/>
        </w:numPr>
        <w:ind w:left="360"/>
      </w:pPr>
      <w:r>
        <w:t xml:space="preserve">Kunt u bevestigen of uitsluiten dat bedragen, BSN, IBAN, betalingskenmerk, aanslagnummer, vorderingsidentificatie, claim-identifier, IP-adres, sessiegegevens, referrers of andere direct of indirect herleidbare gegevens aan Adobe of aan Adobe-gelieerde systemen worden verstrekt?</w:t>
      </w:r>
      <w:r>
        <w:br/>
      </w:r>
    </w:p>
    <w:p>
      <w:pPr>
        <w:pStyle w:val="ListParagraph"/>
        <w:numPr>
          <w:ilvl w:val="0"/>
          <w:numId w:val="100509470"/>
        </w:numPr>
        <w:ind w:left="360"/>
      </w:pPr>
      <w:r>
        <w:t xml:space="preserve">Wie is voor deze verwerking verwerkingsverantwoordelijke, wie is verwerker, en welke rol heeft Adobe juridisch en feitelijk bij deze verwerking: uitsluitend verwerker, zelfstandig verwerkingsverantwoordelijke of gezamenlijk verwerkingsverantwoordelijke?</w:t>
      </w:r>
      <w:r>
        <w:br/>
      </w:r>
    </w:p>
    <w:p>
      <w:pPr>
        <w:pStyle w:val="ListParagraph"/>
        <w:numPr>
          <w:ilvl w:val="0"/>
          <w:numId w:val="100509470"/>
        </w:numPr>
        <w:ind w:left="360"/>
      </w:pPr>
      <w:r>
        <w:t xml:space="preserve">Welke juridische grondslag bestaat er onder de AVG voor het meten van betaalgedrag binnen een verplichte overheidsdienst na DigiD-inlog, en hoe beoordeelt u daarbij noodzakelijkheid, proportionaliteit en subsidiariteit?</w:t>
      </w:r>
      <w:r>
        <w:br/>
      </w:r>
    </w:p>
    <w:p>
      <w:pPr>
        <w:pStyle w:val="ListParagraph"/>
        <w:numPr>
          <w:ilvl w:val="0"/>
          <w:numId w:val="100509470"/>
        </w:numPr>
        <w:ind w:left="360"/>
      </w:pPr>
      <w:r>
        <w:t xml:space="preserve">Acht u voor het plaatsen of uitlezen van deze cookies of vergelijkbare trackingtechnologie toestemming vereist op grond van de Telecommunicatiewet/ePrivacy-regels, en zo nee, waarom kwalificeert deze verwerking volgens u als niet-privacygevoelige analytische meting?</w:t>
      </w:r>
      <w:r>
        <w:br/>
      </w:r>
    </w:p>
    <w:p>
      <w:pPr>
        <w:pStyle w:val="ListParagraph"/>
        <w:numPr>
          <w:ilvl w:val="0"/>
          <w:numId w:val="100509470"/>
        </w:numPr>
        <w:ind w:left="360"/>
      </w:pPr>
      <w:r>
        <w:t xml:space="preserve">Hoe verhoudt deze verwerking zich tot de cookieverklaring van de Belastingdienst, waarin staat dat de cookies geen persoonsgegevens vastleggen en niet tot personen herleidbaar zijn, en tot de privacyverklaring waarin staat dat persoonsgegevens alleen worden gebruikt voor wettelijke taken en doelen die daar direct uit voortvloeien?</w:t>
      </w:r>
      <w:r>
        <w:br/>
      </w:r>
    </w:p>
    <w:p>
      <w:pPr>
        <w:pStyle w:val="ListParagraph"/>
        <w:numPr>
          <w:ilvl w:val="0"/>
          <w:numId w:val="100509470"/>
        </w:numPr>
        <w:ind w:left="360"/>
      </w:pPr>
      <w:r>
        <w:t xml:space="preserve">Is voorafgaand aan deze inzet van Adobe Analytics in Mijn Belastingdienst en de betaalflow een DPIA, risicoanalyse, verwerkersovereenkomst, doorgiftebeoordeling en inkoopafweging opgesteld, en zijn de Functionaris Gegevensbescherming, CPO, CISO, CIO Rijk, Auditdienst Rijk of Autoriteit Persoonsgegevens hierbij betrokken geweest?</w:t>
      </w:r>
      <w:r>
        <w:br/>
      </w:r>
    </w:p>
    <w:p>
      <w:pPr>
        <w:pStyle w:val="ListParagraph"/>
        <w:numPr>
          <w:ilvl w:val="0"/>
          <w:numId w:val="100509470"/>
        </w:numPr>
        <w:ind w:left="360"/>
      </w:pPr>
      <w:r>
        <w:t xml:space="preserve">Kunt u bij de risico-inschatting onderscheid maken tussen wat theoretisch mogelijk, aannemelijk, waarschijnlijk en urgent is ten aanzien van koppeling van fiscaal betaalgedrag aan een persistent profiel, doorgifte buiten de EU/EER, toegang door derde partijen, ketenafhankelijkheid en gevolgen voor burgers die wettelijk verplicht zijn belasting te betalen?</w:t>
      </w:r>
      <w:r>
        <w:br/>
      </w:r>
    </w:p>
    <w:p>
      <w:pPr>
        <w:pStyle w:val="ListParagraph"/>
        <w:numPr>
          <w:ilvl w:val="0"/>
          <w:numId w:val="100509470"/>
        </w:numPr>
        <w:ind w:left="360"/>
      </w:pPr>
      <w:r>
        <w:t xml:space="preserve">Bent u bereid de verzending van betaalflowgegevens aan Adobe Analytics per direct te laten onderzoeken en, zolang rechtmatigheid en proportionaliteit niet overtuigend zijn vastgesteld, tijdelijk stop te zetten, de Kamer binnen twee weken een tijdlijn, technische analyse, DPIA, verwerkersovereenkomst en relevante beslisnota’s te sturen voor zover juridisch mogelijk, en deze vragen afzonderlijk te beantwoorden?</w:t>
      </w:r>
      <w:r>
        <w:br/>
      </w:r>
    </w:p>
    <w:p>
      <w:r>
        <w:t xml:space="preserve"> </w:t>
      </w:r>
      <w:r>
        <w:br/>
      </w:r>
    </w:p>
    <w:p>
      <w:r>
        <w:t xml:space="preserve"> </w:t>
      </w:r>
      <w:r>
        <w:br/>
      </w:r>
    </w:p>
    <w:p>
      <w:r>
        <w:t xml:space="preserve">[1] Mickbeer.com, 2 juni 2026, https://mickbeer.com/artikelen/belastingdienst-betaalflow-adobe/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