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2026Z11804</w:t>
        <w:br/>
      </w:r>
      <w:proofErr w:type="spellEnd"/>
    </w:p>
    <w:p>
      <w:pPr>
        <w:pStyle w:val="Normal"/>
        <w:rPr>
          <w:b w:val="1"/>
          <w:bCs w:val="1"/>
        </w:rPr>
      </w:pPr>
      <w:r w:rsidR="250AE766">
        <w:rPr>
          <w:b w:val="0"/>
          <w:bCs w:val="0"/>
        </w:rPr>
        <w:t>(ingezonden 3 juni 2026)</w:t>
        <w:br/>
      </w:r>
    </w:p>
    <w:p>
      <w:r>
        <w:t xml:space="preserve">Vragen van het lid Oualhadj (D66) aan de minister van Economische Zaken en Klimaat over het bericht 'Geldstroom droogt op voor jonge, veelbelovende bedrijven in Nederland'</w:t>
      </w:r>
      <w:r>
        <w:br/>
      </w:r>
    </w:p>
    <w:p>
      <w:pPr>
        <w:pStyle w:val="ListParagraph"/>
        <w:numPr>
          <w:ilvl w:val="0"/>
          <w:numId w:val="100509410"/>
        </w:numPr>
        <w:ind w:left="360"/>
      </w:pPr>
      <w:r>
        <w:t xml:space="preserve">Bent u bekend met het bericht 'Geldstroom droogt op voor jonge, veelbelovende bedrijven in Nederland' 1) en met het onderliggende onderzoek van de Nederlandse Vereniging van Participatiemaatschappijen (NVP), waaruit blijkt dat de fondsenwerving voor groeikapitaal in 2025 is gedaald tot €32 miljoen, het laagste bedrag ooit gemeten, terwijl voor start-ups en buy-outs nog wél ruim kapitaal beschikbaar is?</w:t>
      </w:r>
      <w:r>
        <w:br/>
      </w:r>
    </w:p>
    <w:p>
      <w:pPr>
        <w:pStyle w:val="ListParagraph"/>
        <w:numPr>
          <w:ilvl w:val="0"/>
          <w:numId w:val="100509410"/>
        </w:numPr>
        <w:ind w:left="360"/>
      </w:pPr>
      <w:r>
        <w:t xml:space="preserve">Hoe verhoudt het opdrogen van juist het scale-upsegment zich tot de coalitieafspraak dat baanbrekende ondernemingen weer groot moeten kunnen worden in Nederland, en tot het feit dat het coalitieakkoord de grotere financieringsrondes van start- en scale-ups expliciet noemt als reden voor de Nationale Investeringsinstelling?</w:t>
      </w:r>
      <w:r>
        <w:br/>
      </w:r>
      <w:r>
        <w:t xml:space="preserve"> </w:t>
      </w:r>
      <w:r>
        <w:br/>
      </w:r>
    </w:p>
    <w:p>
      <w:pPr>
        <w:pStyle w:val="ListParagraph"/>
        <w:numPr>
          <w:ilvl w:val="0"/>
          <w:numId w:val="100509410"/>
        </w:numPr>
        <w:ind w:left="360"/>
      </w:pPr>
      <w:r>
        <w:t xml:space="preserve">Deelt u de analyse dat hier geen sprake is van een kwaliteitsprobleem van Nederlandse bedrijven — gezien de slechts zes faillissementen en de aanhoudende interesse van buitenlandse investeerders — maar van een structureel tekort in de Nederlandse financieringsketen?</w:t>
      </w:r>
      <w:r>
        <w:br/>
      </w:r>
      <w:r>
        <w:t xml:space="preserve"> </w:t>
      </w:r>
      <w:r>
        <w:br/>
      </w:r>
    </w:p>
    <w:p>
      <w:pPr>
        <w:pStyle w:val="ListParagraph"/>
        <w:numPr>
          <w:ilvl w:val="0"/>
          <w:numId w:val="100509410"/>
        </w:numPr>
        <w:ind w:left="360"/>
      </w:pPr>
      <w:r>
        <w:t xml:space="preserve">Hoe beoordeelt u, gelet op de waarschuwing in het rapport-Wennink dat scale-ups met een kapitaalbehoefte boven €50 miljoen die financiering nauwelijks in Nederland kunnen vinden, het risico dat met de instap van buitenlandse investeerders hoofdkantoren, onderzoeksafdelingen, werkgelegenheid en daarmee verdienvermogen uit Nederland wegvloeien?</w:t>
      </w:r>
      <w:r>
        <w:br/>
      </w:r>
      <w:r>
        <w:t xml:space="preserve"> </w:t>
      </w:r>
      <w:r>
        <w:br/>
      </w:r>
    </w:p>
    <w:p>
      <w:pPr>
        <w:pStyle w:val="ListParagraph"/>
        <w:numPr>
          <w:ilvl w:val="0"/>
          <w:numId w:val="100509410"/>
        </w:numPr>
        <w:ind w:left="360"/>
      </w:pPr>
      <w:r>
        <w:t xml:space="preserve">Welke concrete maatregelen neemt u om het door de NVP gesignaleerde gebrek aan exits (beursgangen en overnames) aan te pakken, bijvoorbeeld via de Europese kapitaalmarktunie, aantrekkelijkere beursnoteringen en het stimuleren van Nederlandse overnames van jonge innovatieve bedrijven?</w:t>
      </w:r>
      <w:r>
        <w:br/>
      </w:r>
      <w:r>
        <w:t xml:space="preserve"> </w:t>
      </w:r>
      <w:r>
        <w:br/>
      </w:r>
    </w:p>
    <w:p>
      <w:pPr>
        <w:pStyle w:val="ListParagraph"/>
        <w:numPr>
          <w:ilvl w:val="0"/>
          <w:numId w:val="100509410"/>
        </w:numPr>
        <w:ind w:left="360"/>
      </w:pPr>
      <w:r>
        <w:t xml:space="preserve">Welke instrumenten krijgt de Nationale Investeringsinstelling om, conform de coalitieafspraak dat zij institutioneel kapitaal mobiliseert en op een schaal die aansluit bij het rapport-Wennink, het pensioenkapitaal (waarvan nu gemiddeld niet meer dan 0,1% naar start- en scale-ups gaat) daadwerkelijk los te trekken voor groeikapitaal, mede in het licht van initiatieven als het Scale-up Europe Fund en het Dutch Impact Growth Fund van Invest-NL?</w:t>
      </w:r>
      <w:r>
        <w:br/>
      </w:r>
    </w:p>
    <w:p>
      <w:pPr>
        <w:pStyle w:val="ListParagraph"/>
        <w:numPr>
          <w:ilvl w:val="0"/>
          <w:numId w:val="100509410"/>
        </w:numPr>
        <w:ind w:left="360"/>
      </w:pPr>
      <w:r>
        <w:t xml:space="preserve">In hoeverre verwacht u dat de aanhoudende geopolitieke onzekerheid de Nederlandse ambities op het gebied van groeikapitaal en innovatie-investeringen verder onder druk zet, en welke scenario's of alternatieve plannen heeft u voor het geval de private investeringsbereidheid in het scale-upsegment structureel achterblijft?</w:t>
      </w:r>
      <w:r>
        <w:br/>
      </w:r>
      <w:r>
        <w:t xml:space="preserve"> </w:t>
      </w:r>
      <w:r>
        <w:br/>
      </w:r>
    </w:p>
    <w:p>
      <w:pPr>
        <w:pStyle w:val="ListParagraph"/>
        <w:numPr>
          <w:ilvl w:val="0"/>
          <w:numId w:val="100509410"/>
        </w:numPr>
        <w:ind w:left="360"/>
      </w:pPr>
      <w:r>
        <w:t xml:space="preserve">Welke mogelijkheden ziet u om, gegeven de huidige budgettaire keuzes rondom het Toekomstfonds, de hefboomwerking van publieke investeringen voor het aantrekken van privaat groeikapitaal in stand te houden?</w:t>
      </w:r>
      <w:r>
        <w:br/>
      </w:r>
    </w:p>
    <w:p>
      <w:r>
        <w:t xml:space="preserve"> </w:t>
      </w:r>
      <w:r>
        <w:br/>
      </w:r>
    </w:p>
    <w:p>
      <w:r>
        <w:t xml:space="preserve">1) Volkskrant, 23 mei 2026, 'Geldstroom droogt op voor jonge, veelbelovende bedrijven in 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