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1189" w:rsidP="005722D1" w:rsidRDefault="0AB0393A" w14:paraId="7E1E582F" w14:textId="14C83D60">
      <w:pPr>
        <w:spacing w:line="276" w:lineRule="auto"/>
        <w:rPr>
          <w:b/>
          <w:bCs/>
          <w:lang w:val="nl-NL"/>
        </w:rPr>
      </w:pPr>
      <w:r w:rsidRPr="0AB0393A">
        <w:rPr>
          <w:b/>
          <w:bCs/>
          <w:lang w:val="nl-NL"/>
        </w:rPr>
        <w:t>VERSLAG RAAD BUITENLANDSE ZAKEN HANDEL VAN 22 MEI 2026</w:t>
      </w:r>
    </w:p>
    <w:p w:rsidRPr="00A903E3" w:rsidR="00F21189" w:rsidP="005722D1" w:rsidRDefault="00755C55" w14:paraId="7FE0ABB5" w14:textId="767D569D">
      <w:pPr>
        <w:spacing w:after="160" w:line="276" w:lineRule="auto"/>
        <w:rPr>
          <w:b/>
          <w:bCs/>
          <w:color w:val="FF0000"/>
          <w:lang w:val="nl-NL" w:eastAsia="ja-JP"/>
        </w:rPr>
      </w:pPr>
      <w:r w:rsidRPr="000F74F5">
        <w:rPr>
          <w:lang w:val="nl-NL"/>
        </w:rPr>
        <w:br/>
      </w:r>
      <w:r w:rsidRPr="0AB0393A" w:rsidR="0AB0393A">
        <w:rPr>
          <w:b/>
          <w:bCs/>
          <w:lang w:val="nl-NL" w:eastAsia="ja-JP"/>
        </w:rPr>
        <w:t xml:space="preserve">Introductie </w:t>
      </w:r>
    </w:p>
    <w:p w:rsidR="00517738" w:rsidP="005722D1" w:rsidRDefault="00402C59" w14:paraId="18628206" w14:textId="77777777">
      <w:pPr>
        <w:pStyle w:val="NoSpacing"/>
        <w:spacing w:line="276" w:lineRule="auto"/>
        <w:rPr>
          <w:lang w:val="nl-NL" w:eastAsia="ja-JP"/>
        </w:rPr>
      </w:pPr>
      <w:r w:rsidRPr="00402C59">
        <w:rPr>
          <w:lang w:val="nl-NL" w:eastAsia="ja-JP"/>
        </w:rPr>
        <w:t xml:space="preserve">Op vrijdag 22 mei </w:t>
      </w:r>
      <w:r>
        <w:rPr>
          <w:lang w:val="nl-NL" w:eastAsia="ja-JP"/>
        </w:rPr>
        <w:t xml:space="preserve">jl. vond, </w:t>
      </w:r>
      <w:r w:rsidRPr="00402C59">
        <w:rPr>
          <w:lang w:val="nl-NL" w:eastAsia="ja-JP"/>
        </w:rPr>
        <w:t>onder Cypriotisch voorzitterschap</w:t>
      </w:r>
      <w:r>
        <w:rPr>
          <w:lang w:val="nl-NL" w:eastAsia="ja-JP"/>
        </w:rPr>
        <w:t>, de Raad Buitenlandse Zaken Handel</w:t>
      </w:r>
      <w:r w:rsidR="000F74F5">
        <w:rPr>
          <w:lang w:val="nl-NL" w:eastAsia="ja-JP"/>
        </w:rPr>
        <w:t xml:space="preserve"> </w:t>
      </w:r>
      <w:r w:rsidR="00366181">
        <w:rPr>
          <w:lang w:val="nl-NL" w:eastAsia="ja-JP"/>
        </w:rPr>
        <w:t xml:space="preserve">(hierna: Raad) </w:t>
      </w:r>
      <w:r w:rsidR="000F74F5">
        <w:rPr>
          <w:lang w:val="nl-NL" w:eastAsia="ja-JP"/>
        </w:rPr>
        <w:t>plaats in Brussel</w:t>
      </w:r>
      <w:r w:rsidRPr="6BDC5645" w:rsidR="6BDC5645">
        <w:rPr>
          <w:lang w:val="nl-NL" w:eastAsia="ja-JP"/>
        </w:rPr>
        <w:t>.</w:t>
      </w:r>
      <w:r w:rsidR="004E365E">
        <w:rPr>
          <w:lang w:val="nl-NL" w:eastAsia="ja-JP"/>
        </w:rPr>
        <w:t xml:space="preserve"> </w:t>
      </w:r>
      <w:r w:rsidRPr="00402C59">
        <w:rPr>
          <w:lang w:val="nl-NL" w:eastAsia="ja-JP"/>
        </w:rPr>
        <w:t xml:space="preserve">Tijdens de plenaire vergadering van de Raad </w:t>
      </w:r>
      <w:r>
        <w:rPr>
          <w:lang w:val="nl-NL" w:eastAsia="ja-JP"/>
        </w:rPr>
        <w:t xml:space="preserve">werd </w:t>
      </w:r>
      <w:r w:rsidRPr="00402C59">
        <w:rPr>
          <w:lang w:val="nl-NL" w:eastAsia="ja-JP"/>
        </w:rPr>
        <w:t xml:space="preserve">gesproken over de impact van </w:t>
      </w:r>
      <w:r w:rsidR="00E5408A">
        <w:rPr>
          <w:lang w:val="nl-NL" w:eastAsia="ja-JP"/>
        </w:rPr>
        <w:t>de situatie</w:t>
      </w:r>
      <w:r w:rsidRPr="00402C59">
        <w:rPr>
          <w:lang w:val="nl-NL" w:eastAsia="ja-JP"/>
        </w:rPr>
        <w:t xml:space="preserve"> in het Midden-Oosten op handel</w:t>
      </w:r>
      <w:r w:rsidR="00E5408A">
        <w:rPr>
          <w:lang w:val="nl-NL" w:eastAsia="ja-JP"/>
        </w:rPr>
        <w:t xml:space="preserve"> en over </w:t>
      </w:r>
      <w:r w:rsidRPr="00402C59" w:rsidR="00E5408A">
        <w:rPr>
          <w:lang w:val="nl-NL" w:eastAsia="ja-JP"/>
        </w:rPr>
        <w:t>de resultaten en opvolging van de 14e Ministeriële Conferentie van de Wereldhandelsorganisatie (WTO</w:t>
      </w:r>
      <w:r w:rsidR="00E5408A">
        <w:rPr>
          <w:lang w:val="nl-NL" w:eastAsia="ja-JP"/>
        </w:rPr>
        <w:t xml:space="preserve"> MC14</w:t>
      </w:r>
      <w:r w:rsidRPr="00402C59" w:rsidR="00E5408A">
        <w:rPr>
          <w:lang w:val="nl-NL" w:eastAsia="ja-JP"/>
        </w:rPr>
        <w:t>)</w:t>
      </w:r>
      <w:r w:rsidRPr="00402C59">
        <w:rPr>
          <w:lang w:val="nl-NL" w:eastAsia="ja-JP"/>
        </w:rPr>
        <w:t xml:space="preserve">. Tijdens de lunch </w:t>
      </w:r>
      <w:r>
        <w:rPr>
          <w:lang w:val="nl-NL" w:eastAsia="ja-JP"/>
        </w:rPr>
        <w:t>werd v</w:t>
      </w:r>
      <w:r w:rsidRPr="00402C59">
        <w:rPr>
          <w:lang w:val="nl-NL" w:eastAsia="ja-JP"/>
        </w:rPr>
        <w:t>an gedachten gewisseld over de implementatie van handelsakkoorden met derde</w:t>
      </w:r>
      <w:r w:rsidR="005A4D00">
        <w:rPr>
          <w:lang w:val="nl-NL" w:eastAsia="ja-JP"/>
        </w:rPr>
        <w:t xml:space="preserve"> </w:t>
      </w:r>
      <w:r w:rsidRPr="00402C59">
        <w:rPr>
          <w:lang w:val="nl-NL" w:eastAsia="ja-JP"/>
        </w:rPr>
        <w:t xml:space="preserve">landen en de stand van zaken van lopende onderhandelingen over </w:t>
      </w:r>
      <w:r w:rsidR="004E365E">
        <w:rPr>
          <w:lang w:val="nl-NL" w:eastAsia="ja-JP"/>
        </w:rPr>
        <w:t xml:space="preserve">nieuwe </w:t>
      </w:r>
      <w:r w:rsidRPr="00402C59">
        <w:rPr>
          <w:lang w:val="nl-NL" w:eastAsia="ja-JP"/>
        </w:rPr>
        <w:t>akkoorden.</w:t>
      </w:r>
      <w:r>
        <w:rPr>
          <w:lang w:val="nl-NL" w:eastAsia="ja-JP"/>
        </w:rPr>
        <w:t xml:space="preserve"> Hieronder wordt ingegaan op de bovengenoemde onderwerpen, waarna onder het kopje Overig de stand van zaken van enkele moties en toezeggingen wordt behandeld. </w:t>
      </w:r>
    </w:p>
    <w:p w:rsidRPr="005722D1" w:rsidR="005A4D00" w:rsidP="005722D1" w:rsidRDefault="00402C59" w14:paraId="48FD5620" w14:textId="314C2E09">
      <w:pPr>
        <w:pStyle w:val="NoSpacing"/>
        <w:spacing w:after="160" w:line="276" w:lineRule="auto"/>
        <w:rPr>
          <w:lang w:val="nl-NL"/>
        </w:rPr>
      </w:pPr>
      <w:r w:rsidRPr="000F74F5">
        <w:rPr>
          <w:lang w:val="nl-NL"/>
        </w:rPr>
        <w:br/>
      </w:r>
    </w:p>
    <w:p w:rsidRPr="00A903E3" w:rsidR="00F21189" w:rsidP="005722D1" w:rsidRDefault="0AB0393A" w14:paraId="7E9A5A69" w14:textId="11CCBD0D">
      <w:pPr>
        <w:spacing w:after="160" w:line="276" w:lineRule="auto"/>
        <w:rPr>
          <w:b/>
          <w:bCs/>
          <w:color w:val="FF0000"/>
          <w:lang w:val="nl-NL" w:eastAsia="ja-JP"/>
        </w:rPr>
      </w:pPr>
      <w:r w:rsidRPr="0AB0393A">
        <w:rPr>
          <w:b/>
          <w:bCs/>
          <w:lang w:val="nl-NL" w:eastAsia="ja-JP"/>
        </w:rPr>
        <w:t xml:space="preserve">Economische veiligheid: </w:t>
      </w:r>
      <w:r w:rsidRPr="0AB0393A">
        <w:rPr>
          <w:b/>
          <w:bCs/>
          <w:lang w:val="nl-NL"/>
        </w:rPr>
        <w:t>De impact van de situatie in het Midden-Oosten op handel</w:t>
      </w:r>
      <w:r w:rsidRPr="0AB0393A">
        <w:rPr>
          <w:b/>
          <w:bCs/>
          <w:lang w:val="nl-NL" w:eastAsia="ja-JP"/>
        </w:rPr>
        <w:t xml:space="preserve"> </w:t>
      </w:r>
    </w:p>
    <w:p w:rsidRPr="006636DA" w:rsidR="3D0DAEDA" w:rsidP="005722D1" w:rsidRDefault="3D0DAEDA" w14:paraId="19A74C0B" w14:textId="2E3002DF">
      <w:pPr>
        <w:spacing w:after="160" w:line="276" w:lineRule="auto"/>
        <w:rPr>
          <w:lang w:val="nl-NL"/>
        </w:rPr>
      </w:pPr>
      <w:r w:rsidRPr="3D0DAEDA">
        <w:rPr>
          <w:rFonts w:cs="Times New Roman"/>
          <w:lang w:val="nl-NL" w:eastAsia="ja-JP"/>
        </w:rPr>
        <w:t xml:space="preserve">De </w:t>
      </w:r>
      <w:r w:rsidR="005903D7">
        <w:rPr>
          <w:rFonts w:cs="Times New Roman"/>
          <w:lang w:val="nl-NL" w:eastAsia="ja-JP"/>
        </w:rPr>
        <w:t xml:space="preserve">Europese </w:t>
      </w:r>
      <w:r w:rsidRPr="6BDC5645" w:rsidR="6BDC5645">
        <w:rPr>
          <w:rFonts w:cs="Times New Roman"/>
          <w:lang w:val="nl-NL" w:eastAsia="ja-JP"/>
        </w:rPr>
        <w:t xml:space="preserve">Commissie </w:t>
      </w:r>
      <w:r w:rsidR="005903D7">
        <w:rPr>
          <w:rFonts w:cs="Times New Roman"/>
          <w:lang w:val="nl-NL" w:eastAsia="ja-JP"/>
        </w:rPr>
        <w:t>(hierna: Commissie)</w:t>
      </w:r>
      <w:r w:rsidRPr="3D0DAEDA">
        <w:rPr>
          <w:rFonts w:cs="Times New Roman"/>
          <w:lang w:val="nl-NL" w:eastAsia="ja-JP"/>
        </w:rPr>
        <w:t xml:space="preserve"> schetste de</w:t>
      </w:r>
      <w:r w:rsidR="00C7626B">
        <w:rPr>
          <w:rFonts w:cs="Times New Roman"/>
          <w:lang w:val="nl-NL" w:eastAsia="ja-JP"/>
        </w:rPr>
        <w:t xml:space="preserve"> economische</w:t>
      </w:r>
      <w:r w:rsidRPr="3D0DAEDA">
        <w:rPr>
          <w:rFonts w:cs="Times New Roman"/>
          <w:lang w:val="nl-NL" w:eastAsia="ja-JP"/>
        </w:rPr>
        <w:t xml:space="preserve"> kwetsbaarheden </w:t>
      </w:r>
      <w:r w:rsidR="00C7626B">
        <w:rPr>
          <w:rFonts w:cs="Times New Roman"/>
          <w:lang w:val="nl-NL" w:eastAsia="ja-JP"/>
        </w:rPr>
        <w:t xml:space="preserve">als gevolg </w:t>
      </w:r>
      <w:r w:rsidRPr="3D0DAEDA">
        <w:rPr>
          <w:rFonts w:cs="Times New Roman"/>
          <w:lang w:val="nl-NL" w:eastAsia="ja-JP"/>
        </w:rPr>
        <w:t xml:space="preserve">van de sluiting van de Straat van Hormuz. Met name de verstoring van de toelevering van kritieke grondstoffen werd benadrukt, alsmede de risico's voor </w:t>
      </w:r>
      <w:r w:rsidR="00C7626B">
        <w:rPr>
          <w:rFonts w:cs="Times New Roman"/>
          <w:lang w:val="nl-NL" w:eastAsia="ja-JP"/>
        </w:rPr>
        <w:t>verwerkende</w:t>
      </w:r>
      <w:r w:rsidRPr="004E365E">
        <w:rPr>
          <w:rFonts w:cs="Times New Roman"/>
          <w:i/>
          <w:iCs/>
          <w:lang w:val="nl-NL" w:eastAsia="ja-JP"/>
        </w:rPr>
        <w:t xml:space="preserve"> </w:t>
      </w:r>
      <w:r w:rsidRPr="3D0DAEDA">
        <w:rPr>
          <w:rFonts w:cs="Times New Roman"/>
          <w:lang w:val="nl-NL" w:eastAsia="ja-JP"/>
        </w:rPr>
        <w:t>sectoren</w:t>
      </w:r>
      <w:r w:rsidR="00C7626B">
        <w:rPr>
          <w:rFonts w:cs="Times New Roman"/>
          <w:lang w:val="nl-NL" w:eastAsia="ja-JP"/>
        </w:rPr>
        <w:t xml:space="preserve">. Ook werd ingegaan op het risico van een mogelijke </w:t>
      </w:r>
      <w:r w:rsidRPr="3D0DAEDA">
        <w:rPr>
          <w:rFonts w:cs="Times New Roman"/>
          <w:lang w:val="nl-NL" w:eastAsia="ja-JP"/>
        </w:rPr>
        <w:t>versterking van de positie van Rusland als gevolg van dit conflict. Nederland onderschreef deze probleemstelling, en benadrukte dat heropening van de Straat van Hormuz essentieel is, mede in het belang van lage-inkomenslanden</w:t>
      </w:r>
      <w:r w:rsidR="00C7626B">
        <w:rPr>
          <w:rFonts w:cs="Times New Roman"/>
          <w:lang w:val="nl-NL" w:eastAsia="ja-JP"/>
        </w:rPr>
        <w:t xml:space="preserve"> die bijzonder kwetsbaar zijn voor verstoringen in de toelevering van brandstof en kunstmest</w:t>
      </w:r>
      <w:r w:rsidRPr="3D0DAEDA">
        <w:rPr>
          <w:rFonts w:cs="Times New Roman"/>
          <w:lang w:val="nl-NL" w:eastAsia="ja-JP"/>
        </w:rPr>
        <w:t>.</w:t>
      </w:r>
      <w:r w:rsidRPr="6BDC5645" w:rsidR="6BDC5645">
        <w:rPr>
          <w:rFonts w:cs="Times New Roman"/>
          <w:lang w:val="nl-NL" w:eastAsia="ja-JP"/>
        </w:rPr>
        <w:t xml:space="preserve"> </w:t>
      </w:r>
      <w:r w:rsidRPr="3D0DAEDA">
        <w:rPr>
          <w:rFonts w:cs="Times New Roman"/>
          <w:lang w:val="nl-NL" w:eastAsia="ja-JP"/>
        </w:rPr>
        <w:t xml:space="preserve">Onder de lidstaten was brede </w:t>
      </w:r>
      <w:r w:rsidR="00C7626B">
        <w:rPr>
          <w:rFonts w:cs="Times New Roman"/>
          <w:lang w:val="nl-NL" w:eastAsia="ja-JP"/>
        </w:rPr>
        <w:t>steun voor een</w:t>
      </w:r>
      <w:r w:rsidRPr="3D0DAEDA">
        <w:rPr>
          <w:rFonts w:cs="Times New Roman"/>
          <w:lang w:val="nl-NL" w:eastAsia="ja-JP"/>
        </w:rPr>
        <w:t xml:space="preserve"> drieledig</w:t>
      </w:r>
      <w:r w:rsidR="00C7626B">
        <w:rPr>
          <w:rFonts w:cs="Times New Roman"/>
          <w:lang w:val="nl-NL" w:eastAsia="ja-JP"/>
        </w:rPr>
        <w:t>e aanpak, te weten</w:t>
      </w:r>
      <w:r w:rsidRPr="3D0DAEDA">
        <w:rPr>
          <w:rFonts w:cs="Times New Roman"/>
          <w:lang w:val="nl-NL" w:eastAsia="ja-JP"/>
        </w:rPr>
        <w:t xml:space="preserve"> inzetten op diversificatie, het sneller afsluiten van handelsakkoorden en versterking van de industrie</w:t>
      </w:r>
      <w:r w:rsidR="00400AAF">
        <w:rPr>
          <w:rFonts w:cs="Times New Roman"/>
          <w:lang w:val="nl-NL" w:eastAsia="ja-JP"/>
        </w:rPr>
        <w:t xml:space="preserve"> van de Europese Unie (EU)</w:t>
      </w:r>
      <w:r w:rsidRPr="6BDC5645" w:rsidR="6BDC5645">
        <w:rPr>
          <w:rFonts w:cs="Times New Roman"/>
          <w:lang w:val="nl-NL" w:eastAsia="ja-JP"/>
        </w:rPr>
        <w:t>.</w:t>
      </w:r>
      <w:r w:rsidRPr="3D0DAEDA">
        <w:rPr>
          <w:rFonts w:cs="Times New Roman"/>
          <w:lang w:val="nl-NL" w:eastAsia="ja-JP"/>
        </w:rPr>
        <w:t xml:space="preserve"> Tenslotte riep de Commissie</w:t>
      </w:r>
      <w:r w:rsidR="00C7626B">
        <w:rPr>
          <w:rFonts w:cs="Times New Roman"/>
          <w:lang w:val="nl-NL" w:eastAsia="ja-JP"/>
        </w:rPr>
        <w:t xml:space="preserve"> op met </w:t>
      </w:r>
      <w:r w:rsidRPr="3D0DAEDA">
        <w:rPr>
          <w:rFonts w:cs="Times New Roman"/>
          <w:lang w:val="nl-NL" w:eastAsia="ja-JP"/>
        </w:rPr>
        <w:t>bedrijven</w:t>
      </w:r>
      <w:r w:rsidR="00C7626B">
        <w:rPr>
          <w:rFonts w:cs="Times New Roman"/>
          <w:lang w:val="nl-NL" w:eastAsia="ja-JP"/>
        </w:rPr>
        <w:t xml:space="preserve"> binnen de EU</w:t>
      </w:r>
      <w:r w:rsidRPr="3D0DAEDA">
        <w:rPr>
          <w:rFonts w:cs="Times New Roman"/>
          <w:lang w:val="nl-NL" w:eastAsia="ja-JP"/>
        </w:rPr>
        <w:t xml:space="preserve"> </w:t>
      </w:r>
      <w:r w:rsidR="00C7626B">
        <w:rPr>
          <w:rFonts w:cs="Times New Roman"/>
          <w:lang w:val="nl-NL" w:eastAsia="ja-JP"/>
        </w:rPr>
        <w:t>in gesprek te gaan</w:t>
      </w:r>
      <w:r w:rsidRPr="3D0DAEDA">
        <w:rPr>
          <w:rFonts w:cs="Times New Roman"/>
          <w:lang w:val="nl-NL" w:eastAsia="ja-JP"/>
        </w:rPr>
        <w:t xml:space="preserve"> om </w:t>
      </w:r>
      <w:r w:rsidRPr="6BDC5645">
        <w:rPr>
          <w:rFonts w:cs="Times New Roman"/>
          <w:i/>
          <w:lang w:val="nl-NL" w:eastAsia="ja-JP"/>
        </w:rPr>
        <w:t>de-</w:t>
      </w:r>
      <w:proofErr w:type="spellStart"/>
      <w:r w:rsidRPr="6BDC5645">
        <w:rPr>
          <w:rFonts w:cs="Times New Roman"/>
          <w:i/>
          <w:lang w:val="nl-NL" w:eastAsia="ja-JP"/>
        </w:rPr>
        <w:t>risking</w:t>
      </w:r>
      <w:proofErr w:type="spellEnd"/>
      <w:r w:rsidRPr="3D0DAEDA">
        <w:rPr>
          <w:rFonts w:cs="Times New Roman"/>
          <w:lang w:val="nl-NL" w:eastAsia="ja-JP"/>
        </w:rPr>
        <w:t xml:space="preserve"> te integreren in hun </w:t>
      </w:r>
      <w:r w:rsidR="001F5A80">
        <w:rPr>
          <w:rFonts w:cs="Times New Roman"/>
          <w:lang w:val="nl-NL" w:eastAsia="ja-JP"/>
        </w:rPr>
        <w:t>bedrijfs</w:t>
      </w:r>
      <w:r w:rsidRPr="3D0DAEDA">
        <w:rPr>
          <w:rFonts w:cs="Times New Roman"/>
          <w:lang w:val="nl-NL" w:eastAsia="ja-JP"/>
        </w:rPr>
        <w:t>strategie.</w:t>
      </w:r>
    </w:p>
    <w:p w:rsidRPr="00273491" w:rsidR="00F21189" w:rsidP="005722D1" w:rsidRDefault="00C7626B" w14:paraId="3754E277" w14:textId="30088227">
      <w:pPr>
        <w:spacing w:after="160" w:line="276" w:lineRule="auto"/>
        <w:rPr>
          <w:rFonts w:cs="Times New Roman"/>
          <w:lang w:val="nl-NL" w:eastAsia="ja-JP"/>
        </w:rPr>
      </w:pPr>
      <w:bookmarkStart w:name="_Hlk230776648" w:id="0"/>
      <w:r>
        <w:rPr>
          <w:rFonts w:cs="Times New Roman"/>
          <w:lang w:val="nl-NL" w:eastAsia="ja-JP"/>
        </w:rPr>
        <w:t xml:space="preserve">Onder dit agendapunt werd ook </w:t>
      </w:r>
      <w:r w:rsidR="001F5A80">
        <w:rPr>
          <w:rFonts w:cs="Times New Roman"/>
          <w:lang w:val="nl-NL" w:eastAsia="ja-JP"/>
        </w:rPr>
        <w:t>ingegaan</w:t>
      </w:r>
      <w:r>
        <w:rPr>
          <w:rFonts w:cs="Times New Roman"/>
          <w:lang w:val="nl-NL" w:eastAsia="ja-JP"/>
        </w:rPr>
        <w:t xml:space="preserve"> </w:t>
      </w:r>
      <w:r w:rsidR="001F5A80">
        <w:rPr>
          <w:rFonts w:cs="Times New Roman"/>
          <w:lang w:val="nl-NL" w:eastAsia="ja-JP"/>
        </w:rPr>
        <w:t>op</w:t>
      </w:r>
      <w:r>
        <w:rPr>
          <w:rFonts w:cs="Times New Roman"/>
          <w:lang w:val="nl-NL" w:eastAsia="ja-JP"/>
        </w:rPr>
        <w:t xml:space="preserve"> de situatie in de Gazastrook en de Westelijke Jordaanoever. </w:t>
      </w:r>
      <w:r w:rsidRPr="00273491" w:rsidR="00273491">
        <w:rPr>
          <w:rFonts w:cs="Times New Roman"/>
          <w:lang w:val="nl-NL" w:eastAsia="ja-JP"/>
        </w:rPr>
        <w:t>Het</w:t>
      </w:r>
      <w:r w:rsidR="00273491">
        <w:rPr>
          <w:rFonts w:cs="Times New Roman"/>
          <w:lang w:val="nl-NL" w:eastAsia="ja-JP"/>
        </w:rPr>
        <w:t xml:space="preserve"> kabinet heeft</w:t>
      </w:r>
      <w:r w:rsidRPr="6BDC5645" w:rsidR="6BDC5645">
        <w:rPr>
          <w:rFonts w:cs="Times New Roman"/>
          <w:lang w:val="nl-NL" w:eastAsia="ja-JP"/>
        </w:rPr>
        <w:t xml:space="preserve"> in de</w:t>
      </w:r>
      <w:r>
        <w:rPr>
          <w:rFonts w:cs="Times New Roman"/>
          <w:lang w:val="nl-NL" w:eastAsia="ja-JP"/>
        </w:rPr>
        <w:t>ze</w:t>
      </w:r>
      <w:r w:rsidRPr="6BDC5645" w:rsidR="6BDC5645">
        <w:rPr>
          <w:rFonts w:cs="Times New Roman"/>
          <w:lang w:val="nl-NL" w:eastAsia="ja-JP"/>
        </w:rPr>
        <w:t xml:space="preserve"> Raad</w:t>
      </w:r>
      <w:r w:rsidR="00273491">
        <w:rPr>
          <w:rFonts w:cs="Times New Roman"/>
          <w:lang w:val="nl-NL" w:eastAsia="ja-JP"/>
        </w:rPr>
        <w:t xml:space="preserve"> </w:t>
      </w:r>
      <w:r>
        <w:rPr>
          <w:rFonts w:cs="Times New Roman"/>
          <w:lang w:val="nl-NL" w:eastAsia="ja-JP"/>
        </w:rPr>
        <w:t>wederom</w:t>
      </w:r>
      <w:r w:rsidR="00273491">
        <w:rPr>
          <w:rFonts w:cs="Times New Roman"/>
          <w:lang w:val="nl-NL" w:eastAsia="ja-JP"/>
        </w:rPr>
        <w:t xml:space="preserve"> onderstreept dat Israël van koers moet veranderen en dat de door de Commissie voorgestelde EU-maatregelen richting Israël middelen tot een doel zijn, en geen doel op zichzelf. </w:t>
      </w:r>
      <w:r w:rsidRPr="00273491" w:rsidR="00273491">
        <w:rPr>
          <w:rFonts w:cs="Times New Roman"/>
          <w:lang w:val="nl-NL" w:eastAsia="ja-JP"/>
        </w:rPr>
        <w:t xml:space="preserve">Op dit moment ontbreekt het draagvlak onder EU-lidstaten voor de </w:t>
      </w:r>
      <w:r w:rsidRPr="6BDC5645" w:rsidR="6BDC5645">
        <w:rPr>
          <w:rFonts w:cs="Times New Roman"/>
          <w:lang w:val="nl-NL" w:eastAsia="ja-JP"/>
        </w:rPr>
        <w:t xml:space="preserve">door de Commissie </w:t>
      </w:r>
      <w:r w:rsidRPr="00273491" w:rsidR="00273491">
        <w:rPr>
          <w:rFonts w:cs="Times New Roman"/>
          <w:lang w:val="nl-NL" w:eastAsia="ja-JP"/>
        </w:rPr>
        <w:t>voorgestelde maatregelen.</w:t>
      </w:r>
      <w:r w:rsidR="00273491">
        <w:rPr>
          <w:rFonts w:cs="Times New Roman"/>
          <w:lang w:val="nl-NL" w:eastAsia="ja-JP"/>
        </w:rPr>
        <w:t xml:space="preserve"> </w:t>
      </w:r>
      <w:r w:rsidRPr="00273491" w:rsidR="00273491">
        <w:rPr>
          <w:rFonts w:cs="Times New Roman"/>
          <w:lang w:val="nl-NL" w:eastAsia="ja-JP"/>
        </w:rPr>
        <w:t>Het kabinet zal zich in</w:t>
      </w:r>
      <w:r w:rsidR="00273491">
        <w:rPr>
          <w:rFonts w:cs="Times New Roman"/>
          <w:lang w:val="nl-NL" w:eastAsia="ja-JP"/>
        </w:rPr>
        <w:t xml:space="preserve"> </w:t>
      </w:r>
      <w:r w:rsidRPr="00273491" w:rsidR="00273491">
        <w:rPr>
          <w:rFonts w:cs="Times New Roman"/>
          <w:lang w:val="nl-NL" w:eastAsia="ja-JP"/>
        </w:rPr>
        <w:t xml:space="preserve">lijn met relevante moties en toezeggingen aan het parlement blijven inzetten voor het vergroten van dit draagvlak, ook in bilaterale contacten met </w:t>
      </w:r>
      <w:r w:rsidRPr="6BDC5645" w:rsidR="6BDC5645">
        <w:rPr>
          <w:rFonts w:cs="Times New Roman"/>
          <w:lang w:val="nl-NL" w:eastAsia="ja-JP"/>
        </w:rPr>
        <w:t>EU-</w:t>
      </w:r>
      <w:r w:rsidRPr="00273491" w:rsidR="00273491">
        <w:rPr>
          <w:rFonts w:cs="Times New Roman"/>
          <w:lang w:val="nl-NL" w:eastAsia="ja-JP"/>
        </w:rPr>
        <w:t>lidstaten.</w:t>
      </w:r>
      <w:r w:rsidR="00273491">
        <w:rPr>
          <w:rFonts w:cs="Times New Roman"/>
          <w:lang w:val="nl-NL" w:eastAsia="ja-JP"/>
        </w:rPr>
        <w:t xml:space="preserve"> In dat kader heeft het kabinet </w:t>
      </w:r>
      <w:r w:rsidRPr="6BDC5645" w:rsidR="6BDC5645">
        <w:rPr>
          <w:rFonts w:cs="Times New Roman"/>
          <w:lang w:val="nl-NL" w:eastAsia="ja-JP"/>
        </w:rPr>
        <w:t xml:space="preserve">tijdens de Raad </w:t>
      </w:r>
      <w:r w:rsidR="00273491">
        <w:rPr>
          <w:rFonts w:cs="Times New Roman"/>
          <w:lang w:val="nl-NL" w:eastAsia="ja-JP"/>
        </w:rPr>
        <w:t>het belang benadrukt van een voortzetting van de discussie over het Commissievoorstel voor een gedeeltelijke opschorting van het handelsdeel van het EU-Israël Associatieakkoord.</w:t>
      </w:r>
      <w:r w:rsidRPr="00273491" w:rsidR="00273491">
        <w:rPr>
          <w:lang w:val="nl-NL"/>
        </w:rPr>
        <w:t xml:space="preserve"> </w:t>
      </w:r>
      <w:r w:rsidRPr="00273491" w:rsidR="00273491">
        <w:rPr>
          <w:rFonts w:cs="Times New Roman"/>
          <w:lang w:val="nl-NL" w:eastAsia="ja-JP"/>
        </w:rPr>
        <w:t>Tevens heeft het kabinet opnieuw gepleit voor handelspolitieke maatregelen tegen de onrechtmatige nederzettingen in de bezette gebieden.</w:t>
      </w:r>
    </w:p>
    <w:bookmarkEnd w:id="0"/>
    <w:p w:rsidR="00BA1867" w:rsidP="005722D1" w:rsidRDefault="00BA1867" w14:paraId="5E53BE01" w14:textId="77777777">
      <w:pPr>
        <w:pStyle w:val="NoSpacing"/>
        <w:spacing w:after="160" w:line="276" w:lineRule="auto"/>
        <w:rPr>
          <w:b/>
          <w:bCs/>
          <w:lang w:val="nl-NL"/>
        </w:rPr>
      </w:pPr>
    </w:p>
    <w:p w:rsidRPr="00A903E3" w:rsidR="00F21189" w:rsidP="005722D1" w:rsidRDefault="00813137" w14:paraId="4E80AED8" w14:textId="4170BC65">
      <w:pPr>
        <w:pStyle w:val="NoSpacing"/>
        <w:spacing w:after="160" w:line="276" w:lineRule="auto"/>
        <w:rPr>
          <w:b/>
          <w:bCs/>
          <w:color w:val="FF0000"/>
          <w:lang w:val="nl-NL" w:eastAsia="ja-JP"/>
        </w:rPr>
      </w:pPr>
      <w:r w:rsidRPr="00ED226C">
        <w:rPr>
          <w:b/>
          <w:bCs/>
          <w:lang w:val="nl-NL"/>
        </w:rPr>
        <w:t>14e Ministeri</w:t>
      </w:r>
      <w:r w:rsidRPr="00ED226C" w:rsidR="000F5522">
        <w:rPr>
          <w:b/>
          <w:bCs/>
          <w:lang w:val="nl-NL"/>
        </w:rPr>
        <w:t>ë</w:t>
      </w:r>
      <w:r w:rsidRPr="00ED226C">
        <w:rPr>
          <w:b/>
          <w:bCs/>
          <w:lang w:val="nl-NL"/>
        </w:rPr>
        <w:t xml:space="preserve">le Conferentie Wereldhandelsorganisatie (WTO MC14) </w:t>
      </w:r>
    </w:p>
    <w:p w:rsidR="000D7233" w:rsidP="005722D1" w:rsidRDefault="006016B2" w14:paraId="19202835" w14:textId="5C0B53F4">
      <w:pPr>
        <w:spacing w:after="160" w:line="276" w:lineRule="auto"/>
        <w:rPr>
          <w:rFonts w:cs="Times New Roman"/>
          <w:lang w:val="nl-NL" w:eastAsia="ja-JP"/>
        </w:rPr>
      </w:pPr>
      <w:r>
        <w:rPr>
          <w:rFonts w:cs="Times New Roman"/>
          <w:lang w:val="nl-NL" w:eastAsia="ja-JP"/>
        </w:rPr>
        <w:t>De Commissie reflecteerde op de 14</w:t>
      </w:r>
      <w:r w:rsidRPr="006016B2">
        <w:rPr>
          <w:rFonts w:cs="Times New Roman"/>
          <w:vertAlign w:val="superscript"/>
          <w:lang w:val="nl-NL" w:eastAsia="ja-JP"/>
        </w:rPr>
        <w:t>e</w:t>
      </w:r>
      <w:r>
        <w:rPr>
          <w:rFonts w:cs="Times New Roman"/>
          <w:lang w:val="nl-NL" w:eastAsia="ja-JP"/>
        </w:rPr>
        <w:t xml:space="preserve"> Ministeriële Conferentie</w:t>
      </w:r>
      <w:r w:rsidR="000D7233">
        <w:rPr>
          <w:rFonts w:cs="Times New Roman"/>
          <w:lang w:val="nl-NL" w:eastAsia="ja-JP"/>
        </w:rPr>
        <w:t xml:space="preserve"> </w:t>
      </w:r>
      <w:r>
        <w:rPr>
          <w:rFonts w:cs="Times New Roman"/>
          <w:lang w:val="nl-NL" w:eastAsia="ja-JP"/>
        </w:rPr>
        <w:t xml:space="preserve">van de WTO, die </w:t>
      </w:r>
      <w:r w:rsidR="005A688F">
        <w:rPr>
          <w:rFonts w:cs="Times New Roman"/>
          <w:lang w:val="nl-NL" w:eastAsia="ja-JP"/>
        </w:rPr>
        <w:t>van</w:t>
      </w:r>
      <w:r>
        <w:rPr>
          <w:rFonts w:cs="Times New Roman"/>
          <w:lang w:val="nl-NL" w:eastAsia="ja-JP"/>
        </w:rPr>
        <w:t xml:space="preserve"> 26 tot en met 30 maart 2026</w:t>
      </w:r>
      <w:r w:rsidR="005A688F">
        <w:rPr>
          <w:rFonts w:cs="Times New Roman"/>
          <w:lang w:val="nl-NL" w:eastAsia="ja-JP"/>
        </w:rPr>
        <w:t xml:space="preserve"> plaatsvond</w:t>
      </w:r>
      <w:r>
        <w:rPr>
          <w:rFonts w:cs="Times New Roman"/>
          <w:lang w:val="nl-NL" w:eastAsia="ja-JP"/>
        </w:rPr>
        <w:t xml:space="preserve"> in Kameroen. De Commissie concludeerde</w:t>
      </w:r>
      <w:r w:rsidR="00B45E3B">
        <w:rPr>
          <w:rFonts w:cs="Times New Roman"/>
          <w:lang w:val="nl-NL" w:eastAsia="ja-JP"/>
        </w:rPr>
        <w:t xml:space="preserve"> </w:t>
      </w:r>
      <w:r>
        <w:rPr>
          <w:rFonts w:cs="Times New Roman"/>
          <w:lang w:val="nl-NL" w:eastAsia="ja-JP"/>
        </w:rPr>
        <w:t>dat het resultaat teleurstellend was</w:t>
      </w:r>
      <w:r w:rsidR="00B45E3B">
        <w:rPr>
          <w:rFonts w:cs="Times New Roman"/>
          <w:lang w:val="nl-NL" w:eastAsia="ja-JP"/>
        </w:rPr>
        <w:t>, vooral tegen de achtergrond van de druk die momenteel op het voortbestaan van het multilaterale handelssysteem ligt.</w:t>
      </w:r>
      <w:r>
        <w:rPr>
          <w:rFonts w:cs="Times New Roman"/>
          <w:lang w:val="nl-NL" w:eastAsia="ja-JP"/>
        </w:rPr>
        <w:t xml:space="preserve"> </w:t>
      </w:r>
      <w:r w:rsidR="00B45E3B">
        <w:rPr>
          <w:rFonts w:cs="Times New Roman"/>
          <w:lang w:val="nl-NL" w:eastAsia="ja-JP"/>
        </w:rPr>
        <w:t>De Commissie benoemde met name als teleurstellend het uitblijven</w:t>
      </w:r>
      <w:r>
        <w:rPr>
          <w:rFonts w:cs="Times New Roman"/>
          <w:lang w:val="nl-NL" w:eastAsia="ja-JP"/>
        </w:rPr>
        <w:t xml:space="preserve"> van resultaten </w:t>
      </w:r>
      <w:r w:rsidR="00B45E3B">
        <w:rPr>
          <w:rFonts w:cs="Times New Roman"/>
          <w:lang w:val="nl-NL" w:eastAsia="ja-JP"/>
        </w:rPr>
        <w:t>rond</w:t>
      </w:r>
      <w:r>
        <w:rPr>
          <w:rFonts w:cs="Times New Roman"/>
          <w:lang w:val="nl-NL" w:eastAsia="ja-JP"/>
        </w:rPr>
        <w:t xml:space="preserve"> WTO hervormingen en het zogenaamde e-commerce moratorium. </w:t>
      </w:r>
      <w:r w:rsidR="00B45E3B">
        <w:rPr>
          <w:rFonts w:cs="Times New Roman"/>
          <w:lang w:val="nl-NL" w:eastAsia="ja-JP"/>
        </w:rPr>
        <w:t>In lijn met de oproep van de Raad, waaronder vanuit Nederland, bevestigde de Commissie da</w:t>
      </w:r>
      <w:r w:rsidR="001344BD">
        <w:rPr>
          <w:rFonts w:cs="Times New Roman"/>
          <w:lang w:val="nl-NL" w:eastAsia="ja-JP"/>
        </w:rPr>
        <w:t>t vanuit de EU</w:t>
      </w:r>
      <w:r w:rsidR="00B45E3B">
        <w:rPr>
          <w:rFonts w:cs="Times New Roman"/>
          <w:lang w:val="nl-NL" w:eastAsia="ja-JP"/>
        </w:rPr>
        <w:t xml:space="preserve"> de komende tijd </w:t>
      </w:r>
      <w:r w:rsidR="00F045A7">
        <w:rPr>
          <w:rFonts w:cs="Times New Roman"/>
          <w:lang w:val="nl-NL" w:eastAsia="ja-JP"/>
        </w:rPr>
        <w:t>verdere</w:t>
      </w:r>
      <w:r w:rsidR="00B45E3B">
        <w:rPr>
          <w:rFonts w:cs="Times New Roman"/>
          <w:lang w:val="nl-NL" w:eastAsia="ja-JP"/>
        </w:rPr>
        <w:t xml:space="preserve"> </w:t>
      </w:r>
      <w:r w:rsidR="00F045A7">
        <w:rPr>
          <w:rFonts w:cs="Times New Roman"/>
          <w:lang w:val="nl-NL" w:eastAsia="ja-JP"/>
        </w:rPr>
        <w:t>toenadering</w:t>
      </w:r>
      <w:r w:rsidR="00B45E3B">
        <w:rPr>
          <w:rFonts w:cs="Times New Roman"/>
          <w:lang w:val="nl-NL" w:eastAsia="ja-JP"/>
        </w:rPr>
        <w:t xml:space="preserve"> zal worden gezocht met gelijkgezinde landen </w:t>
      </w:r>
      <w:r w:rsidR="00F045A7">
        <w:rPr>
          <w:rFonts w:cs="Times New Roman"/>
          <w:lang w:val="nl-NL" w:eastAsia="ja-JP"/>
        </w:rPr>
        <w:t>voor inhoudelijke samenwerking op</w:t>
      </w:r>
      <w:r w:rsidR="00B45E3B">
        <w:rPr>
          <w:rFonts w:cs="Times New Roman"/>
          <w:lang w:val="nl-NL" w:eastAsia="ja-JP"/>
        </w:rPr>
        <w:t xml:space="preserve"> WTO hervormingen. </w:t>
      </w:r>
      <w:r w:rsidR="00F045A7">
        <w:rPr>
          <w:rFonts w:cs="Times New Roman"/>
          <w:lang w:val="nl-NL" w:eastAsia="ja-JP"/>
        </w:rPr>
        <w:t xml:space="preserve">De Commissie gaf </w:t>
      </w:r>
      <w:r w:rsidR="00F045A7">
        <w:rPr>
          <w:rFonts w:cs="Times New Roman"/>
          <w:lang w:val="nl-NL" w:eastAsia="ja-JP"/>
        </w:rPr>
        <w:lastRenderedPageBreak/>
        <w:t>aan dat daarbij het Europese paper over WTO hervormingen</w:t>
      </w:r>
      <w:r w:rsidR="009D0446">
        <w:rPr>
          <w:rFonts w:cs="Times New Roman"/>
          <w:lang w:val="nl-NL" w:eastAsia="ja-JP"/>
        </w:rPr>
        <w:t>,</w:t>
      </w:r>
      <w:r w:rsidR="000D7233">
        <w:rPr>
          <w:rFonts w:cs="Times New Roman"/>
          <w:lang w:val="nl-NL" w:eastAsia="ja-JP"/>
        </w:rPr>
        <w:t xml:space="preserve"> dat in de aanloop naar MC14 werd gedeeld</w:t>
      </w:r>
      <w:r w:rsidR="001344BD">
        <w:rPr>
          <w:rFonts w:cs="Times New Roman"/>
          <w:lang w:val="nl-NL" w:eastAsia="ja-JP"/>
        </w:rPr>
        <w:t xml:space="preserve"> in WTO verband</w:t>
      </w:r>
      <w:r w:rsidR="000D7233">
        <w:rPr>
          <w:rFonts w:cs="Times New Roman"/>
          <w:lang w:val="nl-NL" w:eastAsia="ja-JP"/>
        </w:rPr>
        <w:t xml:space="preserve">, </w:t>
      </w:r>
      <w:r w:rsidR="00F045A7">
        <w:rPr>
          <w:rFonts w:cs="Times New Roman"/>
          <w:lang w:val="nl-NL" w:eastAsia="ja-JP"/>
        </w:rPr>
        <w:t xml:space="preserve">leidend zal </w:t>
      </w:r>
      <w:r w:rsidR="005A688F">
        <w:rPr>
          <w:rFonts w:cs="Times New Roman"/>
          <w:lang w:val="nl-NL" w:eastAsia="ja-JP"/>
        </w:rPr>
        <w:t>blijven</w:t>
      </w:r>
      <w:r w:rsidR="00F045A7">
        <w:rPr>
          <w:rFonts w:cs="Times New Roman"/>
          <w:lang w:val="nl-NL" w:eastAsia="ja-JP"/>
        </w:rPr>
        <w:t>.</w:t>
      </w:r>
      <w:r w:rsidR="00F045A7">
        <w:rPr>
          <w:rStyle w:val="FootnoteReference"/>
          <w:rFonts w:cs="Times New Roman"/>
          <w:lang w:val="nl-NL" w:eastAsia="ja-JP"/>
        </w:rPr>
        <w:footnoteReference w:id="1"/>
      </w:r>
      <w:r w:rsidR="00191EC4">
        <w:rPr>
          <w:rFonts w:cs="Times New Roman"/>
          <w:lang w:val="nl-NL" w:eastAsia="ja-JP"/>
        </w:rPr>
        <w:t xml:space="preserve"> </w:t>
      </w:r>
      <w:r w:rsidR="00EA75BF">
        <w:rPr>
          <w:rFonts w:cs="Times New Roman"/>
          <w:lang w:val="nl-NL" w:eastAsia="ja-JP"/>
        </w:rPr>
        <w:t xml:space="preserve">Deze inzet kon op steun rekenen van </w:t>
      </w:r>
      <w:r w:rsidR="007A7066">
        <w:rPr>
          <w:rFonts w:cs="Times New Roman"/>
          <w:lang w:val="nl-NL" w:eastAsia="ja-JP"/>
        </w:rPr>
        <w:t>de</w:t>
      </w:r>
      <w:r w:rsidR="00EA75BF">
        <w:rPr>
          <w:rFonts w:cs="Times New Roman"/>
          <w:lang w:val="nl-NL" w:eastAsia="ja-JP"/>
        </w:rPr>
        <w:t xml:space="preserve"> lidstaten.</w:t>
      </w:r>
    </w:p>
    <w:p w:rsidR="00517738" w:rsidP="005722D1" w:rsidRDefault="00EA75BF" w14:paraId="41CE46E9" w14:textId="77777777">
      <w:pPr>
        <w:spacing w:after="160" w:line="276" w:lineRule="auto"/>
        <w:rPr>
          <w:rFonts w:cs="Times New Roman"/>
          <w:lang w:val="nl-NL" w:eastAsia="ja-JP"/>
        </w:rPr>
      </w:pPr>
      <w:r>
        <w:rPr>
          <w:rFonts w:cs="Times New Roman"/>
          <w:lang w:val="nl-NL" w:eastAsia="ja-JP"/>
        </w:rPr>
        <w:t xml:space="preserve">Ook </w:t>
      </w:r>
      <w:r w:rsidR="0059133D">
        <w:rPr>
          <w:rFonts w:cs="Times New Roman"/>
          <w:lang w:val="nl-NL" w:eastAsia="ja-JP"/>
        </w:rPr>
        <w:t xml:space="preserve">Nederland gaf aan de inzet van de Commissie te steunen en vroeg daarbij nadrukkelijk aandacht voor het thema van een mondiaal gelijk speelveld tussen industriële sectoren van landen. </w:t>
      </w:r>
      <w:r w:rsidR="00A72135">
        <w:rPr>
          <w:rFonts w:cs="Times New Roman"/>
          <w:lang w:val="nl-NL" w:eastAsia="ja-JP"/>
        </w:rPr>
        <w:t>Daar</w:t>
      </w:r>
      <w:r w:rsidR="005A688F">
        <w:rPr>
          <w:rFonts w:cs="Times New Roman"/>
          <w:lang w:val="nl-NL" w:eastAsia="ja-JP"/>
        </w:rPr>
        <w:t>bij</w:t>
      </w:r>
      <w:r w:rsidR="00A72135">
        <w:rPr>
          <w:rFonts w:cs="Times New Roman"/>
          <w:lang w:val="nl-NL" w:eastAsia="ja-JP"/>
        </w:rPr>
        <w:t xml:space="preserve"> riep Nederland de Commissie op om </w:t>
      </w:r>
      <w:r w:rsidR="005A688F">
        <w:rPr>
          <w:rFonts w:cs="Times New Roman"/>
          <w:lang w:val="nl-NL" w:eastAsia="ja-JP"/>
        </w:rPr>
        <w:t xml:space="preserve">een </w:t>
      </w:r>
      <w:r w:rsidR="00A72135">
        <w:rPr>
          <w:rFonts w:cs="Times New Roman"/>
          <w:lang w:val="nl-NL" w:eastAsia="ja-JP"/>
        </w:rPr>
        <w:t xml:space="preserve">meer leidende rol </w:t>
      </w:r>
      <w:r w:rsidR="005A688F">
        <w:rPr>
          <w:rFonts w:cs="Times New Roman"/>
          <w:lang w:val="nl-NL" w:eastAsia="ja-JP"/>
        </w:rPr>
        <w:t>te nemen binnen de</w:t>
      </w:r>
      <w:r w:rsidR="00A72135">
        <w:rPr>
          <w:rFonts w:cs="Times New Roman"/>
          <w:lang w:val="nl-NL" w:eastAsia="ja-JP"/>
        </w:rPr>
        <w:t xml:space="preserve"> WTO.</w:t>
      </w:r>
      <w:r w:rsidR="009D0446">
        <w:rPr>
          <w:rFonts w:cs="Times New Roman"/>
          <w:lang w:val="nl-NL" w:eastAsia="ja-JP"/>
        </w:rPr>
        <w:t xml:space="preserve"> Tot slot benadrukte Nederland ook de </w:t>
      </w:r>
      <w:r w:rsidR="00431FCC">
        <w:rPr>
          <w:rFonts w:cs="Times New Roman"/>
          <w:lang w:val="nl-NL" w:eastAsia="ja-JP"/>
        </w:rPr>
        <w:t xml:space="preserve">pragmatische inzet om in de komende tijd meer gebruik te maken van </w:t>
      </w:r>
      <w:proofErr w:type="spellStart"/>
      <w:r w:rsidR="00431FCC">
        <w:rPr>
          <w:rFonts w:cs="Times New Roman"/>
          <w:lang w:val="nl-NL" w:eastAsia="ja-JP"/>
        </w:rPr>
        <w:t>plurilaterale</w:t>
      </w:r>
      <w:proofErr w:type="spellEnd"/>
      <w:r w:rsidR="00431FCC">
        <w:rPr>
          <w:rFonts w:cs="Times New Roman"/>
          <w:lang w:val="nl-NL" w:eastAsia="ja-JP"/>
        </w:rPr>
        <w:t xml:space="preserve"> samenwerking </w:t>
      </w:r>
      <w:r w:rsidR="001344BD">
        <w:rPr>
          <w:rFonts w:cs="Times New Roman"/>
          <w:lang w:val="nl-NL" w:eastAsia="ja-JP"/>
        </w:rPr>
        <w:t xml:space="preserve">in en </w:t>
      </w:r>
      <w:r w:rsidR="00431FCC">
        <w:rPr>
          <w:rFonts w:cs="Times New Roman"/>
          <w:lang w:val="nl-NL" w:eastAsia="ja-JP"/>
        </w:rPr>
        <w:t>rond de WTO, om zodoende to</w:t>
      </w:r>
      <w:r w:rsidR="001344BD">
        <w:rPr>
          <w:rFonts w:cs="Times New Roman"/>
          <w:lang w:val="nl-NL" w:eastAsia="ja-JP"/>
        </w:rPr>
        <w:t xml:space="preserve">ch tot </w:t>
      </w:r>
      <w:r w:rsidR="00431FCC">
        <w:rPr>
          <w:rFonts w:cs="Times New Roman"/>
          <w:lang w:val="nl-NL" w:eastAsia="ja-JP"/>
        </w:rPr>
        <w:t>resultaten te komen</w:t>
      </w:r>
      <w:r w:rsidR="005A688F">
        <w:rPr>
          <w:rFonts w:cs="Times New Roman"/>
          <w:lang w:val="nl-NL" w:eastAsia="ja-JP"/>
        </w:rPr>
        <w:t xml:space="preserve"> op onderwerpen die zich daarvoor lenen</w:t>
      </w:r>
      <w:r w:rsidR="00431FCC">
        <w:rPr>
          <w:rFonts w:cs="Times New Roman"/>
          <w:lang w:val="nl-NL" w:eastAsia="ja-JP"/>
        </w:rPr>
        <w:t>.</w:t>
      </w:r>
      <w:r w:rsidR="00191EC4">
        <w:rPr>
          <w:rFonts w:cs="Times New Roman"/>
          <w:lang w:val="nl-NL" w:eastAsia="ja-JP"/>
        </w:rPr>
        <w:t xml:space="preserve"> </w:t>
      </w:r>
    </w:p>
    <w:p w:rsidRPr="001344BD" w:rsidR="001344BD" w:rsidP="005722D1" w:rsidRDefault="001344BD" w14:paraId="443082E3" w14:textId="21833C3A">
      <w:pPr>
        <w:spacing w:after="160" w:line="276" w:lineRule="auto"/>
        <w:rPr>
          <w:rFonts w:cs="Times New Roman"/>
          <w:lang w:val="nl-NL" w:eastAsia="ja-JP"/>
        </w:rPr>
      </w:pPr>
    </w:p>
    <w:p w:rsidRPr="00172069" w:rsidR="00F21189" w:rsidP="005722D1" w:rsidRDefault="0AB0393A" w14:paraId="5EABD96A" w14:textId="7E0E838A">
      <w:pPr>
        <w:pStyle w:val="NoSpacing"/>
        <w:spacing w:after="160" w:line="276" w:lineRule="auto"/>
        <w:rPr>
          <w:b/>
          <w:bCs/>
          <w:lang w:val="nl-NL"/>
        </w:rPr>
      </w:pPr>
      <w:r w:rsidRPr="0AB0393A">
        <w:rPr>
          <w:b/>
          <w:bCs/>
          <w:lang w:val="nl-NL"/>
        </w:rPr>
        <w:t>Lunch implementatie handelsakkoorden</w:t>
      </w:r>
      <w:r w:rsidRPr="0AB0393A">
        <w:rPr>
          <w:b/>
          <w:bCs/>
          <w:lang w:val="nl-NL" w:eastAsia="ja-JP"/>
        </w:rPr>
        <w:t xml:space="preserve"> </w:t>
      </w:r>
    </w:p>
    <w:p w:rsidR="000B7565" w:rsidP="005722D1" w:rsidRDefault="002B637B" w14:paraId="10DF57D6" w14:textId="2BC16562">
      <w:pPr>
        <w:spacing w:after="160" w:line="276" w:lineRule="auto"/>
        <w:rPr>
          <w:rFonts w:cs="Times New Roman"/>
          <w:lang w:val="nl-NL" w:eastAsia="ja-JP"/>
        </w:rPr>
      </w:pPr>
      <w:r w:rsidRPr="3D0DAEDA">
        <w:rPr>
          <w:rFonts w:cs="Times New Roman"/>
          <w:lang w:val="nl-NL" w:eastAsia="ja-JP"/>
        </w:rPr>
        <w:t xml:space="preserve">De Commissie </w:t>
      </w:r>
      <w:r w:rsidRPr="3D0DAEDA" w:rsidR="00E13740">
        <w:rPr>
          <w:rFonts w:cs="Times New Roman"/>
          <w:lang w:val="nl-NL" w:eastAsia="ja-JP"/>
        </w:rPr>
        <w:t>benoemde</w:t>
      </w:r>
      <w:r w:rsidRPr="3D0DAEDA">
        <w:rPr>
          <w:rFonts w:cs="Times New Roman"/>
          <w:lang w:val="nl-NL" w:eastAsia="ja-JP"/>
        </w:rPr>
        <w:t xml:space="preserve"> de recente successen in </w:t>
      </w:r>
      <w:r w:rsidR="00D26B7C">
        <w:rPr>
          <w:rFonts w:cs="Times New Roman"/>
          <w:lang w:val="nl-NL" w:eastAsia="ja-JP"/>
        </w:rPr>
        <w:t>bilaterale</w:t>
      </w:r>
      <w:r w:rsidRPr="3D0DAEDA">
        <w:rPr>
          <w:rFonts w:cs="Times New Roman"/>
          <w:lang w:val="nl-NL" w:eastAsia="ja-JP"/>
        </w:rPr>
        <w:t xml:space="preserve"> onderhandelingen, waaronder </w:t>
      </w:r>
      <w:r w:rsidR="00D26B7C">
        <w:rPr>
          <w:rFonts w:cs="Times New Roman"/>
          <w:lang w:val="nl-NL" w:eastAsia="ja-JP"/>
        </w:rPr>
        <w:t xml:space="preserve">de afronding van onderhandelingen met </w:t>
      </w:r>
      <w:r w:rsidRPr="3D0DAEDA">
        <w:rPr>
          <w:rFonts w:cs="Times New Roman"/>
          <w:lang w:val="nl-NL" w:eastAsia="ja-JP"/>
        </w:rPr>
        <w:t>Australië</w:t>
      </w:r>
      <w:r w:rsidR="00D26B7C">
        <w:rPr>
          <w:rFonts w:cs="Times New Roman"/>
          <w:lang w:val="nl-NL" w:eastAsia="ja-JP"/>
        </w:rPr>
        <w:t xml:space="preserve"> en</w:t>
      </w:r>
      <w:r w:rsidRPr="3D0DAEDA">
        <w:rPr>
          <w:rFonts w:cs="Times New Roman"/>
          <w:lang w:val="nl-NL" w:eastAsia="ja-JP"/>
        </w:rPr>
        <w:t xml:space="preserve"> India en de ondertekening van het </w:t>
      </w:r>
      <w:r w:rsidR="00D26B7C">
        <w:rPr>
          <w:rFonts w:cs="Times New Roman"/>
          <w:lang w:val="nl-NL" w:eastAsia="ja-JP"/>
        </w:rPr>
        <w:t xml:space="preserve">gemoderniseerde </w:t>
      </w:r>
      <w:r w:rsidRPr="3D0DAEDA">
        <w:rPr>
          <w:rFonts w:cs="Times New Roman"/>
          <w:lang w:val="nl-NL" w:eastAsia="ja-JP"/>
        </w:rPr>
        <w:t xml:space="preserve">akkoord met Mexico op de dag van de Raad. </w:t>
      </w:r>
      <w:r w:rsidR="000B7565">
        <w:rPr>
          <w:rFonts w:cs="Times New Roman"/>
          <w:lang w:val="nl-NL" w:eastAsia="ja-JP"/>
        </w:rPr>
        <w:t>De Commissie riep de lidstaten op te kijken naar mogelijkheden voor v</w:t>
      </w:r>
      <w:r w:rsidRPr="3D0DAEDA" w:rsidR="000B7565">
        <w:rPr>
          <w:rFonts w:cs="Times New Roman"/>
          <w:lang w:val="nl-NL" w:eastAsia="ja-JP"/>
        </w:rPr>
        <w:t>ersnelling van procedures voor de goedkeuring van akkoorden aan EU-zijde</w:t>
      </w:r>
      <w:r w:rsidR="000B7565">
        <w:rPr>
          <w:rFonts w:cs="Times New Roman"/>
          <w:lang w:val="nl-NL" w:eastAsia="ja-JP"/>
        </w:rPr>
        <w:t xml:space="preserve">. </w:t>
      </w:r>
      <w:r w:rsidRPr="3D0DAEDA" w:rsidR="000B7565">
        <w:rPr>
          <w:rFonts w:cs="Times New Roman"/>
          <w:lang w:val="nl-NL" w:eastAsia="ja-JP"/>
        </w:rPr>
        <w:t xml:space="preserve">Nederland </w:t>
      </w:r>
      <w:r w:rsidR="000B7565">
        <w:rPr>
          <w:rFonts w:cs="Times New Roman"/>
          <w:lang w:val="nl-NL" w:eastAsia="ja-JP"/>
        </w:rPr>
        <w:t xml:space="preserve">gaf net als de meeste lidstaten </w:t>
      </w:r>
      <w:r w:rsidRPr="3D0DAEDA" w:rsidR="000B7565">
        <w:rPr>
          <w:rFonts w:cs="Times New Roman"/>
          <w:lang w:val="nl-NL" w:eastAsia="ja-JP"/>
        </w:rPr>
        <w:t xml:space="preserve">aan hier constructief tegenover te staan. </w:t>
      </w:r>
    </w:p>
    <w:p w:rsidR="00744C19" w:rsidP="005722D1" w:rsidRDefault="002B637B" w14:paraId="52AAA75C" w14:textId="1D92F884">
      <w:pPr>
        <w:spacing w:after="160" w:line="276" w:lineRule="auto"/>
        <w:rPr>
          <w:rFonts w:cs="Times New Roman"/>
          <w:lang w:val="nl-NL" w:eastAsia="ja-JP"/>
        </w:rPr>
      </w:pPr>
      <w:r w:rsidRPr="3D0DAEDA">
        <w:rPr>
          <w:rFonts w:cs="Times New Roman"/>
          <w:lang w:val="nl-NL" w:eastAsia="ja-JP"/>
        </w:rPr>
        <w:t xml:space="preserve">Ten aanzien van de lopende onderhandelingen met de Verenigde Arabische Emiraten (VAE) gaf de Commissie aan dat </w:t>
      </w:r>
      <w:r w:rsidR="00883BA9">
        <w:rPr>
          <w:rFonts w:cs="Times New Roman"/>
          <w:lang w:val="nl-NL" w:eastAsia="ja-JP"/>
        </w:rPr>
        <w:t>de voortgang beperkt is</w:t>
      </w:r>
      <w:r w:rsidRPr="3D0DAEDA" w:rsidDel="00883BA9">
        <w:rPr>
          <w:rFonts w:cs="Times New Roman"/>
          <w:lang w:val="nl-NL" w:eastAsia="ja-JP"/>
        </w:rPr>
        <w:t>.</w:t>
      </w:r>
      <w:r w:rsidRPr="3D0DAEDA" w:rsidR="00720270">
        <w:rPr>
          <w:rFonts w:cs="Times New Roman"/>
          <w:lang w:val="nl-NL" w:eastAsia="ja-JP"/>
        </w:rPr>
        <w:t xml:space="preserve"> Wat betreft </w:t>
      </w:r>
      <w:r w:rsidR="00192AF1">
        <w:rPr>
          <w:rFonts w:cs="Times New Roman"/>
          <w:lang w:val="nl-NL" w:eastAsia="ja-JP"/>
        </w:rPr>
        <w:t>het</w:t>
      </w:r>
      <w:r w:rsidR="00E22DE5">
        <w:rPr>
          <w:rFonts w:cs="Times New Roman"/>
          <w:lang w:val="nl-NL" w:eastAsia="ja-JP"/>
        </w:rPr>
        <w:t xml:space="preserve"> mogelijk</w:t>
      </w:r>
      <w:r w:rsidR="00192AF1">
        <w:rPr>
          <w:rFonts w:cs="Times New Roman"/>
          <w:lang w:val="nl-NL" w:eastAsia="ja-JP"/>
        </w:rPr>
        <w:t xml:space="preserve"> starten van</w:t>
      </w:r>
      <w:r w:rsidRPr="3D0DAEDA" w:rsidR="00720270">
        <w:rPr>
          <w:rFonts w:cs="Times New Roman"/>
          <w:lang w:val="nl-NL" w:eastAsia="ja-JP"/>
        </w:rPr>
        <w:t xml:space="preserve"> onderhandelingen met de </w:t>
      </w:r>
      <w:r w:rsidRPr="3D0DAEDA" w:rsidR="00720270">
        <w:rPr>
          <w:rFonts w:cs="Times New Roman"/>
          <w:i/>
          <w:lang w:val="nl-NL" w:eastAsia="ja-JP"/>
        </w:rPr>
        <w:t xml:space="preserve">Gulf Cooperation Council </w:t>
      </w:r>
      <w:r w:rsidRPr="3D0DAEDA" w:rsidR="00720270">
        <w:rPr>
          <w:rFonts w:cs="Times New Roman"/>
          <w:lang w:val="nl-NL" w:eastAsia="ja-JP"/>
        </w:rPr>
        <w:t xml:space="preserve">(GCC), gaf de Commissie aan </w:t>
      </w:r>
      <w:r w:rsidR="00A21E31">
        <w:rPr>
          <w:rFonts w:cs="Times New Roman"/>
          <w:lang w:val="nl-NL" w:eastAsia="ja-JP"/>
        </w:rPr>
        <w:t xml:space="preserve">te wachten op een reactie van </w:t>
      </w:r>
      <w:r w:rsidRPr="3D0DAEDA" w:rsidR="00720270">
        <w:rPr>
          <w:rFonts w:cs="Times New Roman"/>
          <w:lang w:val="nl-NL" w:eastAsia="ja-JP"/>
        </w:rPr>
        <w:t>de GCC-landen.</w:t>
      </w:r>
      <w:r w:rsidRPr="3D0DAEDA" w:rsidR="00744C19">
        <w:rPr>
          <w:rFonts w:cs="Times New Roman"/>
          <w:lang w:val="nl-NL" w:eastAsia="ja-JP"/>
        </w:rPr>
        <w:t xml:space="preserve"> Nederland riep de Commissie op om de onderhandelingen met de VAE ook te gebruiken om andere zorgen te adresseren, zoals de rol van de VAE in </w:t>
      </w:r>
      <w:r w:rsidR="00A3446E">
        <w:rPr>
          <w:rFonts w:cs="Times New Roman"/>
          <w:lang w:val="nl-NL" w:eastAsia="ja-JP"/>
        </w:rPr>
        <w:t xml:space="preserve">de oorlog in </w:t>
      </w:r>
      <w:r w:rsidRPr="3D0DAEDA" w:rsidR="00744C19">
        <w:rPr>
          <w:rFonts w:cs="Times New Roman"/>
          <w:lang w:val="nl-NL" w:eastAsia="ja-JP"/>
        </w:rPr>
        <w:t>Soedan</w:t>
      </w:r>
      <w:r w:rsidR="00A3446E">
        <w:rPr>
          <w:rFonts w:cs="Times New Roman"/>
          <w:lang w:val="nl-NL" w:eastAsia="ja-JP"/>
        </w:rPr>
        <w:t>,</w:t>
      </w:r>
      <w:r w:rsidRPr="3D0DAEDA" w:rsidR="002C7D99">
        <w:rPr>
          <w:rFonts w:cs="Times New Roman"/>
          <w:lang w:val="nl-NL" w:eastAsia="ja-JP"/>
        </w:rPr>
        <w:t xml:space="preserve"> conform</w:t>
      </w:r>
      <w:r w:rsidR="00D26B7C">
        <w:rPr>
          <w:rFonts w:cs="Times New Roman"/>
          <w:lang w:val="nl-NL" w:eastAsia="ja-JP"/>
        </w:rPr>
        <w:t xml:space="preserve"> de</w:t>
      </w:r>
      <w:r w:rsidRPr="3D0DAEDA" w:rsidR="002C7D99">
        <w:rPr>
          <w:rFonts w:cs="Times New Roman"/>
          <w:lang w:val="nl-NL" w:eastAsia="ja-JP"/>
        </w:rPr>
        <w:t xml:space="preserve"> motie Van Baarle c.s.</w:t>
      </w:r>
      <w:r w:rsidRPr="3D0DAEDA" w:rsidR="002C7D99">
        <w:rPr>
          <w:rStyle w:val="FootnoteReference"/>
          <w:rFonts w:cs="Times New Roman"/>
          <w:lang w:val="nl-NL" w:eastAsia="ja-JP"/>
        </w:rPr>
        <w:footnoteReference w:id="2"/>
      </w:r>
      <w:r w:rsidR="00BA1867">
        <w:rPr>
          <w:rFonts w:cs="Times New Roman"/>
          <w:lang w:val="nl-NL" w:eastAsia="ja-JP"/>
        </w:rPr>
        <w:t xml:space="preserve"> </w:t>
      </w:r>
    </w:p>
    <w:p w:rsidR="000B7565" w:rsidP="005722D1" w:rsidRDefault="007735A8" w14:paraId="76F7712C" w14:textId="0F69698C">
      <w:pPr>
        <w:spacing w:after="160" w:line="276" w:lineRule="auto"/>
        <w:rPr>
          <w:rFonts w:eastAsia="Verdana" w:cs="Verdana"/>
          <w:lang w:val="nl-NL"/>
        </w:rPr>
      </w:pPr>
      <w:r>
        <w:rPr>
          <w:rFonts w:cs="Times New Roman"/>
          <w:lang w:val="nl-NL" w:eastAsia="ja-JP"/>
        </w:rPr>
        <w:t xml:space="preserve">Ten aanzien van de EU-VS handelsrelatie verwelkomde Nederland de inhoudelijke afronding van de </w:t>
      </w:r>
      <w:proofErr w:type="spellStart"/>
      <w:r>
        <w:rPr>
          <w:rFonts w:cs="Times New Roman"/>
          <w:lang w:val="nl-NL" w:eastAsia="ja-JP"/>
        </w:rPr>
        <w:t>triloog</w:t>
      </w:r>
      <w:proofErr w:type="spellEnd"/>
      <w:r>
        <w:rPr>
          <w:rFonts w:cs="Times New Roman"/>
          <w:lang w:val="nl-NL" w:eastAsia="ja-JP"/>
        </w:rPr>
        <w:t xml:space="preserve"> over de implementatie aan EU-zijde van de </w:t>
      </w:r>
      <w:proofErr w:type="spellStart"/>
      <w:r w:rsidRPr="007735A8">
        <w:rPr>
          <w:rFonts w:cs="Times New Roman"/>
          <w:i/>
          <w:iCs/>
          <w:lang w:val="nl-NL" w:eastAsia="ja-JP"/>
        </w:rPr>
        <w:t>Turnberry</w:t>
      </w:r>
      <w:proofErr w:type="spellEnd"/>
      <w:r w:rsidR="005A4D00">
        <w:rPr>
          <w:rFonts w:cs="Times New Roman"/>
          <w:i/>
          <w:iCs/>
          <w:lang w:val="nl-NL" w:eastAsia="ja-JP"/>
        </w:rPr>
        <w:t>-</w:t>
      </w:r>
      <w:r w:rsidRPr="005A4D00">
        <w:rPr>
          <w:rFonts w:cs="Times New Roman"/>
          <w:lang w:val="nl-NL" w:eastAsia="ja-JP"/>
        </w:rPr>
        <w:t>deal</w:t>
      </w:r>
      <w:r>
        <w:rPr>
          <w:rFonts w:cs="Times New Roman"/>
          <w:lang w:val="nl-NL" w:eastAsia="ja-JP"/>
        </w:rPr>
        <w:t>. Nederland gaf aan graag te zien dat de laatste stappen in het EU besluitvormingsproces nu snel gezet worden</w:t>
      </w:r>
      <w:r w:rsidR="00BA1867">
        <w:rPr>
          <w:rFonts w:cs="Times New Roman"/>
          <w:lang w:val="nl-NL" w:eastAsia="ja-JP"/>
        </w:rPr>
        <w:t>. Daarmee is ook</w:t>
      </w:r>
      <w:r>
        <w:rPr>
          <w:rFonts w:cs="Times New Roman"/>
          <w:lang w:val="nl-NL" w:eastAsia="ja-JP"/>
        </w:rPr>
        <w:t xml:space="preserve"> de motie </w:t>
      </w:r>
      <w:r w:rsidR="00A4299A">
        <w:rPr>
          <w:rFonts w:cs="Times New Roman"/>
          <w:lang w:val="nl-NL" w:eastAsia="ja-JP"/>
        </w:rPr>
        <w:t>van de leden Hoogeveen en Verkuijlen</w:t>
      </w:r>
      <w:r w:rsidR="00A4299A">
        <w:rPr>
          <w:rStyle w:val="FootnoteReference"/>
          <w:rFonts w:cs="Times New Roman"/>
          <w:lang w:val="nl-NL" w:eastAsia="ja-JP"/>
        </w:rPr>
        <w:footnoteReference w:id="3"/>
      </w:r>
      <w:r w:rsidR="00BA1867">
        <w:rPr>
          <w:rFonts w:cs="Times New Roman"/>
          <w:lang w:val="nl-NL" w:eastAsia="ja-JP"/>
        </w:rPr>
        <w:t xml:space="preserve"> ingevuld.</w:t>
      </w:r>
      <w:r w:rsidR="00A4299A">
        <w:rPr>
          <w:rFonts w:cs="Times New Roman"/>
          <w:lang w:val="nl-NL" w:eastAsia="ja-JP"/>
        </w:rPr>
        <w:t xml:space="preserve"> </w:t>
      </w:r>
      <w:r w:rsidR="00BA1867">
        <w:rPr>
          <w:rFonts w:cs="Times New Roman"/>
          <w:lang w:val="nl-NL" w:eastAsia="ja-JP"/>
        </w:rPr>
        <w:t>Tegelijk wees</w:t>
      </w:r>
      <w:r w:rsidRPr="3D0DAEDA" w:rsidR="008B3C39">
        <w:rPr>
          <w:rFonts w:cs="Times New Roman"/>
          <w:lang w:val="nl-NL" w:eastAsia="ja-JP"/>
        </w:rPr>
        <w:t xml:space="preserve"> </w:t>
      </w:r>
      <w:r w:rsidRPr="3D0DAEDA" w:rsidR="00744C19">
        <w:rPr>
          <w:rFonts w:cs="Times New Roman"/>
          <w:lang w:val="nl-NL" w:eastAsia="ja-JP"/>
        </w:rPr>
        <w:t>Nederland</w:t>
      </w:r>
      <w:r w:rsidRPr="3D0DAEDA" w:rsidR="008B3C39">
        <w:rPr>
          <w:rFonts w:cs="Times New Roman"/>
          <w:lang w:val="nl-NL" w:eastAsia="ja-JP"/>
        </w:rPr>
        <w:t xml:space="preserve"> </w:t>
      </w:r>
      <w:r w:rsidR="00BA1867">
        <w:rPr>
          <w:rFonts w:cs="Times New Roman"/>
          <w:lang w:val="nl-NL" w:eastAsia="ja-JP"/>
        </w:rPr>
        <w:t xml:space="preserve">erop dat de Commissie erop moet toezien dat ook de VS </w:t>
      </w:r>
      <w:r w:rsidRPr="3D0DAEDA" w:rsidR="00E13740">
        <w:rPr>
          <w:rFonts w:cs="Times New Roman"/>
          <w:lang w:val="nl-NL" w:eastAsia="ja-JP"/>
        </w:rPr>
        <w:t xml:space="preserve">zich aan de </w:t>
      </w:r>
      <w:proofErr w:type="spellStart"/>
      <w:r w:rsidRPr="00785B62" w:rsidR="00E13740">
        <w:rPr>
          <w:rFonts w:cs="Times New Roman"/>
          <w:i/>
          <w:iCs/>
          <w:lang w:val="nl-NL" w:eastAsia="ja-JP"/>
        </w:rPr>
        <w:t>Turnberry</w:t>
      </w:r>
      <w:proofErr w:type="spellEnd"/>
      <w:r w:rsidRPr="3D0DAEDA" w:rsidR="00E13740">
        <w:rPr>
          <w:rFonts w:cs="Times New Roman"/>
          <w:lang w:val="nl-NL" w:eastAsia="ja-JP"/>
        </w:rPr>
        <w:t>-deal houdt</w:t>
      </w:r>
      <w:r w:rsidR="00BA1867">
        <w:rPr>
          <w:rFonts w:cs="Times New Roman"/>
          <w:lang w:val="nl-NL" w:eastAsia="ja-JP"/>
        </w:rPr>
        <w:t>, waaronder op het punt van de staal en aluminium derivaten</w:t>
      </w:r>
      <w:r w:rsidRPr="3D0DAEDA" w:rsidR="00E13740">
        <w:rPr>
          <w:rFonts w:cs="Times New Roman"/>
          <w:lang w:val="nl-NL" w:eastAsia="ja-JP"/>
        </w:rPr>
        <w:t xml:space="preserve">. </w:t>
      </w:r>
    </w:p>
    <w:p w:rsidRPr="00172069" w:rsidR="000B7565" w:rsidP="005722D1" w:rsidRDefault="000B7565" w14:paraId="3CF2CCA3" w14:textId="613F8023">
      <w:pPr>
        <w:spacing w:after="160" w:line="276" w:lineRule="auto"/>
        <w:rPr>
          <w:rFonts w:eastAsia="Verdana" w:cs="Verdana"/>
          <w:lang w:val="nl-NL"/>
        </w:rPr>
      </w:pPr>
      <w:r>
        <w:rPr>
          <w:rFonts w:eastAsia="Verdana" w:cs="Verdana"/>
          <w:lang w:val="nl-NL"/>
        </w:rPr>
        <w:t>In het kader van de aanname van de herziening van de verordening over het Algemeen Preferentieel Stelsel heeft Nederland conform de motie van de leden Hoogeveen en Bamenga</w:t>
      </w:r>
      <w:r w:rsidRPr="00F45E87" w:rsidR="00BA1867">
        <w:rPr>
          <w:rStyle w:val="FootnoteReference"/>
          <w:rFonts w:eastAsia="Verdana" w:cs="Verdana"/>
          <w:i/>
          <w:iCs/>
          <w:lang w:val="nl-NL"/>
        </w:rPr>
        <w:footnoteReference w:id="4"/>
      </w:r>
      <w:r>
        <w:rPr>
          <w:rFonts w:eastAsia="Verdana" w:cs="Verdana"/>
          <w:lang w:val="nl-NL"/>
        </w:rPr>
        <w:t xml:space="preserve"> de Europese Commissie opgeroepen oog te blijven houden voor non-tarifaire belemmeringen die ontwikkelingslanden met de EU ervaren. Nederland benadrukte daarbij het belang van het continueren van EU technische en financiële ondersteuning aan ontwikkelingslanden om te zorgen dat die landen de capaciteit hebben om te kunnen voldoen aan EU-standaarden voor markttoegang. De motie is daarmee ingevuld.</w:t>
      </w:r>
    </w:p>
    <w:p w:rsidR="00BA1867" w:rsidP="005722D1" w:rsidRDefault="00BA1867" w14:paraId="03D093AD" w14:textId="77777777">
      <w:pPr>
        <w:pStyle w:val="NoSpacing"/>
        <w:spacing w:after="160" w:line="276" w:lineRule="auto"/>
        <w:rPr>
          <w:b/>
          <w:lang w:val="nl-NL"/>
        </w:rPr>
      </w:pPr>
    </w:p>
    <w:p w:rsidRPr="00DD66AF" w:rsidR="00DD66AF" w:rsidP="005722D1" w:rsidRDefault="0AB0393A" w14:paraId="7A40A15D" w14:textId="4DAD1377">
      <w:pPr>
        <w:pStyle w:val="NoSpacing"/>
        <w:spacing w:after="160" w:line="276" w:lineRule="auto"/>
        <w:rPr>
          <w:rFonts w:eastAsia="Verdana" w:cs="Verdana"/>
          <w:b/>
          <w:lang w:val="nl-NL"/>
        </w:rPr>
      </w:pPr>
      <w:r w:rsidRPr="00F45E87">
        <w:rPr>
          <w:b/>
          <w:lang w:val="nl-NL"/>
        </w:rPr>
        <w:t>O</w:t>
      </w:r>
      <w:r w:rsidRPr="00F45E87">
        <w:rPr>
          <w:rFonts w:eastAsia="Verdana" w:cs="Verdana"/>
          <w:b/>
          <w:lang w:val="nl-NL"/>
        </w:rPr>
        <w:t>verig</w:t>
      </w:r>
    </w:p>
    <w:p w:rsidR="00172069" w:rsidP="005722D1" w:rsidRDefault="00DE62AE" w14:paraId="71DE811C" w14:textId="1CF8562B">
      <w:pPr>
        <w:spacing w:after="160" w:line="276" w:lineRule="auto"/>
        <w:rPr>
          <w:rFonts w:eastAsia="Verdana" w:cs="Verdana"/>
          <w:b/>
          <w:bCs/>
          <w:color w:val="FF0000"/>
          <w:lang w:val="nl-NL" w:eastAsia="ja-JP"/>
        </w:rPr>
      </w:pPr>
      <w:r>
        <w:rPr>
          <w:rFonts w:eastAsia="Verdana" w:cs="Verdana"/>
          <w:i/>
          <w:iCs/>
          <w:lang w:val="nl-NL" w:eastAsia="ja-JP"/>
        </w:rPr>
        <w:t>F-35 herbeoordeling</w:t>
      </w:r>
      <w:r w:rsidRPr="0AB0393A" w:rsidR="0AB0393A">
        <w:rPr>
          <w:rFonts w:eastAsia="Verdana" w:cs="Verdana"/>
          <w:i/>
          <w:iCs/>
          <w:lang w:val="nl-NL" w:eastAsia="ja-JP"/>
        </w:rPr>
        <w:t xml:space="preserve"> </w:t>
      </w:r>
    </w:p>
    <w:p w:rsidRPr="00172069" w:rsidR="00F21189" w:rsidP="005722D1" w:rsidRDefault="00DE62AE" w14:paraId="5EEC232B" w14:textId="3FDF7894">
      <w:pPr>
        <w:spacing w:after="160" w:line="276" w:lineRule="auto"/>
        <w:rPr>
          <w:rFonts w:eastAsia="Verdana" w:cs="Verdana"/>
          <w:lang w:val="nl-NL" w:eastAsia="ja-JP"/>
        </w:rPr>
      </w:pPr>
      <w:r w:rsidRPr="00DE62AE">
        <w:rPr>
          <w:rFonts w:eastAsia="Verdana" w:cs="Verdana"/>
          <w:lang w:val="nl-NL" w:eastAsia="ja-JP"/>
        </w:rPr>
        <w:t>Op 14 november 2025 is de Kamer per brief</w:t>
      </w:r>
      <w:r>
        <w:rPr>
          <w:rStyle w:val="FootnoteReference"/>
          <w:rFonts w:eastAsia="Verdana" w:cs="Verdana"/>
          <w:lang w:val="nl-NL" w:eastAsia="ja-JP"/>
        </w:rPr>
        <w:footnoteReference w:id="5"/>
      </w:r>
      <w:r w:rsidRPr="00DE62AE">
        <w:rPr>
          <w:rFonts w:eastAsia="Verdana" w:cs="Verdana"/>
          <w:lang w:val="nl-NL" w:eastAsia="ja-JP"/>
        </w:rPr>
        <w:t xml:space="preserve"> geïnformeerd dat de Staat</w:t>
      </w:r>
      <w:r w:rsidR="0026601C">
        <w:rPr>
          <w:rFonts w:eastAsia="Verdana" w:cs="Verdana"/>
          <w:lang w:val="nl-NL" w:eastAsia="ja-JP"/>
        </w:rPr>
        <w:t xml:space="preserve"> der Nederlanden</w:t>
      </w:r>
      <w:r w:rsidRPr="00DE62AE">
        <w:rPr>
          <w:rFonts w:eastAsia="Verdana" w:cs="Verdana"/>
          <w:lang w:val="nl-NL" w:eastAsia="ja-JP"/>
        </w:rPr>
        <w:t xml:space="preserve"> heeft besloten om over te gaan tot een volgende herbeoordeling van de uit- en doorvoer van F-35 onderdelen vanuit Nederland naar Israël binnen zes maanden na de initiële herbeoordeling die op 13 november 2025 </w:t>
      </w:r>
      <w:r w:rsidR="00992235">
        <w:rPr>
          <w:rFonts w:eastAsia="Verdana" w:cs="Verdana"/>
          <w:lang w:val="nl-NL" w:eastAsia="ja-JP"/>
        </w:rPr>
        <w:t>was</w:t>
      </w:r>
      <w:r w:rsidRPr="00DE62AE">
        <w:rPr>
          <w:rFonts w:eastAsia="Verdana" w:cs="Verdana"/>
          <w:lang w:val="nl-NL" w:eastAsia="ja-JP"/>
        </w:rPr>
        <w:t xml:space="preserve"> uitgevoerd. Deze initiële herbeoordeling was uitgevoerd nadat de Hoge Raad op 3 oktober 2025 de Staat had bevolen om de uit- en doorvoer van F-35-onderdelen naar </w:t>
      </w:r>
      <w:r w:rsidRPr="00DE62AE">
        <w:rPr>
          <w:rFonts w:eastAsia="Verdana" w:cs="Verdana"/>
          <w:lang w:val="nl-NL" w:eastAsia="ja-JP"/>
        </w:rPr>
        <w:lastRenderedPageBreak/>
        <w:t>Israël opnieuw te beoordelen. De volgende herbeoordeling is medio mei 2026 uitgevoerd aan de hand van de op dat moment geldende omstandigheden. Het kabinet heeft op grond hiervan besloten de uitsluiting van Israël als eindbestemming voor de algemene vergunning NL009 te handhaven.</w:t>
      </w:r>
      <w:r w:rsidR="00ED226C">
        <w:rPr>
          <w:rFonts w:eastAsia="Verdana" w:cs="Verdana"/>
          <w:lang w:val="nl-NL" w:eastAsia="ja-JP"/>
        </w:rPr>
        <w:t xml:space="preserve"> </w:t>
      </w:r>
      <w:r w:rsidRPr="00DE62AE">
        <w:rPr>
          <w:rFonts w:eastAsia="Verdana" w:cs="Verdana"/>
          <w:lang w:val="nl-NL" w:eastAsia="ja-JP"/>
        </w:rPr>
        <w:t xml:space="preserve">Een volgende herbeoordeling vindt </w:t>
      </w:r>
      <w:r w:rsidR="003820B0">
        <w:rPr>
          <w:rFonts w:eastAsia="Verdana" w:cs="Verdana"/>
          <w:lang w:val="nl-NL" w:eastAsia="ja-JP"/>
        </w:rPr>
        <w:t xml:space="preserve">binnen zes maanden </w:t>
      </w:r>
      <w:r w:rsidRPr="00DE62AE">
        <w:rPr>
          <w:rFonts w:eastAsia="Verdana" w:cs="Verdana"/>
          <w:lang w:val="nl-NL" w:eastAsia="ja-JP"/>
        </w:rPr>
        <w:t>plaats</w:t>
      </w:r>
      <w:r w:rsidR="00ED226C">
        <w:rPr>
          <w:rFonts w:eastAsia="Verdana" w:cs="Verdana"/>
          <w:lang w:val="nl-NL" w:eastAsia="ja-JP"/>
        </w:rPr>
        <w:t xml:space="preserve">. </w:t>
      </w:r>
    </w:p>
    <w:p w:rsidRPr="00CD77D7" w:rsidR="00C16C86" w:rsidP="005722D1" w:rsidRDefault="00C16C86" w14:paraId="4573BB12" w14:textId="10471DC2">
      <w:pPr>
        <w:spacing w:after="160" w:line="276" w:lineRule="auto"/>
        <w:rPr>
          <w:rFonts w:eastAsia="Verdana" w:cs="Verdana"/>
          <w:i/>
          <w:iCs/>
          <w:lang w:val="nl-NL"/>
        </w:rPr>
      </w:pPr>
      <w:r w:rsidRPr="00CD77D7">
        <w:rPr>
          <w:rFonts w:eastAsia="Verdana" w:cs="Verdana"/>
          <w:i/>
          <w:iCs/>
          <w:lang w:val="nl-NL"/>
        </w:rPr>
        <w:t xml:space="preserve">Motie van </w:t>
      </w:r>
      <w:r w:rsidRPr="00CD77D7" w:rsidR="00CD77D7">
        <w:rPr>
          <w:rFonts w:eastAsia="Verdana" w:cs="Verdana"/>
          <w:i/>
          <w:iCs/>
          <w:lang w:val="nl-NL"/>
        </w:rPr>
        <w:t xml:space="preserve">de leden Dobbe, Van </w:t>
      </w:r>
      <w:r w:rsidR="00004B18">
        <w:rPr>
          <w:rFonts w:eastAsia="Verdana" w:cs="Verdana"/>
          <w:i/>
          <w:iCs/>
          <w:lang w:val="nl-NL"/>
        </w:rPr>
        <w:t>B</w:t>
      </w:r>
      <w:r w:rsidRPr="00CD77D7" w:rsidR="00CD77D7">
        <w:rPr>
          <w:rFonts w:eastAsia="Verdana" w:cs="Verdana"/>
          <w:i/>
          <w:iCs/>
          <w:lang w:val="nl-NL"/>
        </w:rPr>
        <w:t>aarle, Ceder en Kröger</w:t>
      </w:r>
      <w:r w:rsidR="00FA2A12">
        <w:rPr>
          <w:rFonts w:eastAsia="Verdana" w:cs="Verdana"/>
          <w:i/>
          <w:iCs/>
          <w:lang w:val="nl-NL"/>
        </w:rPr>
        <w:t xml:space="preserve"> over </w:t>
      </w:r>
      <w:r w:rsidRPr="00FA2A12" w:rsidR="00FA2A12">
        <w:rPr>
          <w:rFonts w:eastAsia="Verdana" w:cs="Verdana"/>
          <w:i/>
          <w:iCs/>
          <w:lang w:val="nl-NL"/>
        </w:rPr>
        <w:t xml:space="preserve">zich blijvend inspannen voor een wapenembargo voor heel </w:t>
      </w:r>
      <w:r w:rsidRPr="6BDC5645" w:rsidR="00FA2A12">
        <w:rPr>
          <w:rFonts w:eastAsia="Verdana" w:cs="Verdana"/>
          <w:i/>
          <w:iCs/>
          <w:lang w:val="nl-NL"/>
        </w:rPr>
        <w:t>S</w:t>
      </w:r>
      <w:r w:rsidR="00483ED9">
        <w:rPr>
          <w:rFonts w:eastAsia="Verdana" w:cs="Verdana"/>
          <w:i/>
          <w:iCs/>
          <w:lang w:val="nl-NL"/>
        </w:rPr>
        <w:t>oe</w:t>
      </w:r>
      <w:r w:rsidRPr="6BDC5645" w:rsidR="00FA2A12">
        <w:rPr>
          <w:rFonts w:eastAsia="Verdana" w:cs="Verdana"/>
          <w:i/>
          <w:iCs/>
          <w:lang w:val="nl-NL"/>
        </w:rPr>
        <w:t>dan</w:t>
      </w:r>
      <w:r w:rsidR="00CD77D7">
        <w:rPr>
          <w:rStyle w:val="FootnoteReference"/>
          <w:rFonts w:eastAsia="Verdana" w:cs="Verdana"/>
          <w:lang w:val="nl-NL"/>
        </w:rPr>
        <w:footnoteReference w:id="6"/>
      </w:r>
      <w:r w:rsidR="00CD77D7">
        <w:rPr>
          <w:rFonts w:eastAsia="Verdana" w:cs="Verdana"/>
          <w:i/>
          <w:iCs/>
          <w:lang w:val="nl-NL"/>
        </w:rPr>
        <w:t>.</w:t>
      </w:r>
    </w:p>
    <w:p w:rsidR="00DD66AF" w:rsidP="005722D1" w:rsidRDefault="00D3569C" w14:paraId="54B5CC54" w14:textId="7AB97B77">
      <w:pPr>
        <w:spacing w:after="160" w:line="276" w:lineRule="auto"/>
        <w:rPr>
          <w:rFonts w:eastAsia="Verdana" w:cs="Verdana"/>
          <w:lang w:val="nl-NL"/>
        </w:rPr>
      </w:pPr>
      <w:bookmarkStart w:name="_Hlk230762778" w:id="1"/>
      <w:r w:rsidRPr="0028194D">
        <w:rPr>
          <w:rFonts w:eastAsia="Verdana" w:cs="Verdana"/>
          <w:lang w:val="nl-NL"/>
        </w:rPr>
        <w:t>Op de dag van de Raad Buitenlandse Zaken van 21 april jl. werd een EU-verklaring uitgebracht, waarin de EU de strijdende partijen</w:t>
      </w:r>
      <w:r w:rsidR="00392DC4">
        <w:rPr>
          <w:rFonts w:eastAsia="Verdana" w:cs="Verdana"/>
          <w:lang w:val="nl-NL"/>
        </w:rPr>
        <w:t xml:space="preserve"> in Soedan</w:t>
      </w:r>
      <w:r w:rsidRPr="0028194D">
        <w:rPr>
          <w:rFonts w:eastAsia="Verdana" w:cs="Verdana"/>
          <w:lang w:val="nl-NL"/>
        </w:rPr>
        <w:t xml:space="preserve"> opriep tot een staakt-het-vuren en externe actoren opriep te stoppen met hun steun voor het conflict</w:t>
      </w:r>
      <w:r>
        <w:rPr>
          <w:rFonts w:eastAsia="Verdana" w:cs="Verdana"/>
          <w:lang w:val="nl-NL"/>
        </w:rPr>
        <w:t xml:space="preserve">. </w:t>
      </w:r>
      <w:r w:rsidRPr="00573CE6" w:rsidR="004D051C">
        <w:rPr>
          <w:rFonts w:eastAsia="Verdana" w:cs="Verdana"/>
          <w:lang w:val="nl-NL"/>
        </w:rPr>
        <w:t>Conform</w:t>
      </w:r>
      <w:r w:rsidRPr="00573CE6" w:rsidR="00BC5F26">
        <w:rPr>
          <w:rFonts w:eastAsia="Verdana" w:cs="Verdana"/>
          <w:lang w:val="nl-NL"/>
        </w:rPr>
        <w:t xml:space="preserve"> motie Dobbe c.s. </w:t>
      </w:r>
      <w:r w:rsidR="00BC5F26">
        <w:rPr>
          <w:rFonts w:eastAsia="Verdana" w:cs="Verdana"/>
          <w:lang w:val="nl-NL"/>
        </w:rPr>
        <w:t xml:space="preserve">blijft </w:t>
      </w:r>
      <w:r w:rsidR="00573CE6">
        <w:rPr>
          <w:rFonts w:eastAsia="Verdana" w:cs="Verdana"/>
          <w:lang w:val="nl-NL"/>
        </w:rPr>
        <w:t>het kabinet</w:t>
      </w:r>
      <w:r w:rsidR="00BC5F26">
        <w:rPr>
          <w:rFonts w:eastAsia="Verdana" w:cs="Verdana"/>
          <w:lang w:val="nl-NL"/>
        </w:rPr>
        <w:t xml:space="preserve"> zich in</w:t>
      </w:r>
      <w:r w:rsidRPr="00BC5F26" w:rsidR="00BC5F26">
        <w:rPr>
          <w:rFonts w:eastAsia="Verdana" w:cs="Verdana"/>
          <w:lang w:val="nl-NL"/>
        </w:rPr>
        <w:t>zetten voor</w:t>
      </w:r>
      <w:r>
        <w:rPr>
          <w:rFonts w:eastAsia="Verdana" w:cs="Verdana"/>
          <w:lang w:val="nl-NL"/>
        </w:rPr>
        <w:t xml:space="preserve"> </w:t>
      </w:r>
      <w:r w:rsidRPr="00BC5F26" w:rsidR="00BC5F26">
        <w:rPr>
          <w:rFonts w:eastAsia="Verdana" w:cs="Verdana"/>
          <w:lang w:val="nl-NL"/>
        </w:rPr>
        <w:t>maatregelen om wapenstromen richting strijdende</w:t>
      </w:r>
      <w:r>
        <w:rPr>
          <w:rFonts w:eastAsia="Verdana" w:cs="Verdana"/>
          <w:lang w:val="nl-NL"/>
        </w:rPr>
        <w:t xml:space="preserve"> </w:t>
      </w:r>
      <w:r w:rsidRPr="00BC5F26" w:rsidR="00BC5F26">
        <w:rPr>
          <w:rFonts w:eastAsia="Verdana" w:cs="Verdana"/>
          <w:lang w:val="nl-NL"/>
        </w:rPr>
        <w:t>partijen in Soedan te stoppen</w:t>
      </w:r>
      <w:r>
        <w:rPr>
          <w:rFonts w:eastAsia="Verdana" w:cs="Verdana"/>
          <w:lang w:val="nl-NL"/>
        </w:rPr>
        <w:t>.</w:t>
      </w:r>
      <w:r w:rsidR="00573CE6">
        <w:rPr>
          <w:rFonts w:eastAsia="Verdana" w:cs="Verdana"/>
          <w:lang w:val="nl-NL"/>
        </w:rPr>
        <w:t xml:space="preserve"> </w:t>
      </w:r>
      <w:r w:rsidRPr="00573CE6" w:rsidR="004D051C">
        <w:rPr>
          <w:rFonts w:eastAsia="Verdana" w:cs="Verdana"/>
          <w:lang w:val="nl-NL"/>
        </w:rPr>
        <w:t xml:space="preserve">Wat betreft </w:t>
      </w:r>
      <w:r w:rsidR="004D051C">
        <w:rPr>
          <w:rFonts w:eastAsia="Verdana" w:cs="Verdana"/>
          <w:lang w:val="nl-NL"/>
        </w:rPr>
        <w:t>het eigen wapenexportbeleid</w:t>
      </w:r>
      <w:r w:rsidRPr="00573CE6" w:rsidR="004D051C">
        <w:rPr>
          <w:rFonts w:eastAsia="Verdana" w:cs="Verdana"/>
          <w:lang w:val="nl-NL"/>
        </w:rPr>
        <w:t xml:space="preserve"> toetst het kabinet alle vergunningaanvragen voor de uitvoer van militaire goederen per geval en zorgvuldig conform het EU Gemeenschappelijk Standpunt inzake wapenexportcontrole (2008/944/GBVB), met onder andere specifieke aandacht voor het risico op omleiding van de goederen naar ongewenste eindgebruikers. Daarbij wordt ook zorgvuldig gekeken naar het eventuele risico op omleiding naar Soedan.</w:t>
      </w:r>
      <w:r w:rsidR="004D051C">
        <w:rPr>
          <w:rFonts w:eastAsia="Verdana" w:cs="Verdana"/>
          <w:lang w:val="nl-NL"/>
        </w:rPr>
        <w:t xml:space="preserve"> In dit kader </w:t>
      </w:r>
      <w:r w:rsidR="00573CE6">
        <w:rPr>
          <w:rFonts w:eastAsia="Verdana" w:cs="Verdana"/>
          <w:lang w:val="nl-NL"/>
        </w:rPr>
        <w:t xml:space="preserve">heeft het kabinet herhaaldelijk gepleit voor </w:t>
      </w:r>
      <w:r w:rsidRPr="00882D3D" w:rsidR="00573CE6">
        <w:rPr>
          <w:rFonts w:eastAsia="Verdana" w:cs="Verdana"/>
          <w:lang w:val="nl-NL"/>
        </w:rPr>
        <w:t xml:space="preserve">intensievere informatie-uitwisseling tussen lidstaten over </w:t>
      </w:r>
      <w:r w:rsidR="00573CE6">
        <w:rPr>
          <w:rFonts w:eastAsia="Verdana" w:cs="Verdana"/>
          <w:lang w:val="nl-NL"/>
        </w:rPr>
        <w:t xml:space="preserve">het </w:t>
      </w:r>
      <w:r w:rsidRPr="00882D3D" w:rsidR="00573CE6">
        <w:rPr>
          <w:rFonts w:eastAsia="Verdana" w:cs="Verdana"/>
          <w:lang w:val="nl-NL"/>
        </w:rPr>
        <w:t>omleidingsrisico</w:t>
      </w:r>
      <w:r w:rsidR="004D051C">
        <w:rPr>
          <w:rFonts w:eastAsia="Verdana" w:cs="Verdana"/>
          <w:lang w:val="nl-NL"/>
        </w:rPr>
        <w:t>.</w:t>
      </w:r>
      <w:r w:rsidR="00573CE6">
        <w:rPr>
          <w:rFonts w:eastAsia="Verdana" w:cs="Verdana"/>
          <w:lang w:val="nl-NL"/>
        </w:rPr>
        <w:t xml:space="preserve"> Daarnaast heeft </w:t>
      </w:r>
      <w:r w:rsidRPr="00882D3D" w:rsidR="00573CE6">
        <w:rPr>
          <w:rFonts w:eastAsia="Verdana" w:cs="Verdana"/>
          <w:lang w:val="nl-NL"/>
        </w:rPr>
        <w:t xml:space="preserve">Nederland </w:t>
      </w:r>
      <w:r w:rsidR="004D051C">
        <w:rPr>
          <w:rFonts w:eastAsia="Verdana" w:cs="Verdana"/>
          <w:lang w:val="nl-NL"/>
        </w:rPr>
        <w:t>meermaals</w:t>
      </w:r>
      <w:r w:rsidRPr="00882D3D" w:rsidR="00573CE6">
        <w:rPr>
          <w:rFonts w:eastAsia="Verdana" w:cs="Verdana"/>
          <w:lang w:val="nl-NL"/>
        </w:rPr>
        <w:t xml:space="preserve"> gepleit voor </w:t>
      </w:r>
      <w:r w:rsidRPr="00D3569C" w:rsidR="00573CE6">
        <w:rPr>
          <w:rFonts w:eastAsia="Verdana" w:cs="Verdana"/>
          <w:lang w:val="nl-NL"/>
        </w:rPr>
        <w:t>het uitbreiden van het VN-wapenembargo op Darfoer naar heel Soedan</w:t>
      </w:r>
      <w:r w:rsidR="004D051C">
        <w:rPr>
          <w:rFonts w:eastAsia="Verdana" w:cs="Verdana"/>
          <w:lang w:val="nl-NL"/>
        </w:rPr>
        <w:t xml:space="preserve"> in EU-verband en in andere internationale overleggen, waaronder de </w:t>
      </w:r>
      <w:proofErr w:type="spellStart"/>
      <w:r w:rsidRPr="004D051C" w:rsidR="004D051C">
        <w:rPr>
          <w:rFonts w:eastAsia="Verdana" w:cs="Verdana"/>
          <w:i/>
          <w:iCs/>
          <w:lang w:val="nl-NL"/>
        </w:rPr>
        <w:t>Coalition</w:t>
      </w:r>
      <w:proofErr w:type="spellEnd"/>
      <w:r w:rsidRPr="004D051C" w:rsidR="004D051C">
        <w:rPr>
          <w:rFonts w:eastAsia="Verdana" w:cs="Verdana"/>
          <w:i/>
          <w:iCs/>
          <w:lang w:val="nl-NL"/>
        </w:rPr>
        <w:t xml:space="preserve"> for </w:t>
      </w:r>
      <w:proofErr w:type="spellStart"/>
      <w:r w:rsidRPr="004D051C" w:rsidR="004D051C">
        <w:rPr>
          <w:rFonts w:eastAsia="Verdana" w:cs="Verdana"/>
          <w:i/>
          <w:iCs/>
          <w:lang w:val="nl-NL"/>
        </w:rPr>
        <w:t>Atrocity</w:t>
      </w:r>
      <w:proofErr w:type="spellEnd"/>
      <w:r w:rsidRPr="004D051C" w:rsidR="004D051C">
        <w:rPr>
          <w:rFonts w:eastAsia="Verdana" w:cs="Verdana"/>
          <w:i/>
          <w:iCs/>
          <w:lang w:val="nl-NL"/>
        </w:rPr>
        <w:t xml:space="preserve"> Prevention and </w:t>
      </w:r>
      <w:proofErr w:type="spellStart"/>
      <w:r w:rsidRPr="004D051C" w:rsidR="004D051C">
        <w:rPr>
          <w:rFonts w:eastAsia="Verdana" w:cs="Verdana"/>
          <w:i/>
          <w:iCs/>
          <w:lang w:val="nl-NL"/>
        </w:rPr>
        <w:t>Justice</w:t>
      </w:r>
      <w:proofErr w:type="spellEnd"/>
      <w:r w:rsidRPr="004D051C" w:rsidR="004D051C">
        <w:rPr>
          <w:rFonts w:eastAsia="Verdana" w:cs="Verdana"/>
          <w:i/>
          <w:iCs/>
          <w:lang w:val="nl-NL"/>
        </w:rPr>
        <w:t xml:space="preserve"> in Sudan</w:t>
      </w:r>
      <w:r w:rsidR="004D051C">
        <w:rPr>
          <w:rFonts w:eastAsia="Verdana" w:cs="Verdana"/>
          <w:lang w:val="nl-NL"/>
        </w:rPr>
        <w:t>.</w:t>
      </w:r>
    </w:p>
    <w:bookmarkEnd w:id="1"/>
    <w:p w:rsidR="00D3569C" w:rsidP="005722D1" w:rsidRDefault="00D3569C" w14:paraId="7E93850B" w14:textId="54DA46B3">
      <w:pPr>
        <w:spacing w:line="276" w:lineRule="auto"/>
        <w:rPr>
          <w:rFonts w:eastAsia="Verdana" w:cs="Verdana"/>
          <w:lang w:val="nl-NL"/>
        </w:rPr>
      </w:pPr>
    </w:p>
    <w:p w:rsidRPr="00882D3D" w:rsidR="00882D3D" w:rsidP="005722D1" w:rsidRDefault="0028194D" w14:paraId="2AFAD1FE" w14:textId="6ACB1AED">
      <w:pPr>
        <w:spacing w:line="276" w:lineRule="auto"/>
        <w:rPr>
          <w:rFonts w:eastAsia="Verdana" w:cs="Verdana"/>
          <w:lang w:val="nl-NL"/>
        </w:rPr>
      </w:pPr>
      <w:r>
        <w:rPr>
          <w:rFonts w:eastAsia="Verdana" w:cs="Verdana"/>
          <w:lang w:val="nl-NL"/>
        </w:rPr>
        <w:t xml:space="preserve"> </w:t>
      </w:r>
    </w:p>
    <w:sectPr w:rsidRPr="00882D3D" w:rsidR="00882D3D" w:rsidSect="00735109">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B3661" w14:textId="77777777" w:rsidR="0078778E" w:rsidRDefault="0078778E" w:rsidP="006375CB">
      <w:pPr>
        <w:spacing w:after="0"/>
      </w:pPr>
      <w:r>
        <w:separator/>
      </w:r>
    </w:p>
  </w:endnote>
  <w:endnote w:type="continuationSeparator" w:id="0">
    <w:p w14:paraId="6CC52694" w14:textId="77777777" w:rsidR="0078778E" w:rsidRDefault="0078778E" w:rsidP="006375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BC30" w14:textId="77777777" w:rsidR="005722D1" w:rsidRDefault="00572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107726"/>
      <w:docPartObj>
        <w:docPartGallery w:val="Page Numbers (Bottom of Page)"/>
        <w:docPartUnique/>
      </w:docPartObj>
    </w:sdtPr>
    <w:sdtContent>
      <w:sdt>
        <w:sdtPr>
          <w:id w:val="1728636285"/>
          <w:docPartObj>
            <w:docPartGallery w:val="Page Numbers (Top of Page)"/>
            <w:docPartUnique/>
          </w:docPartObj>
        </w:sdtPr>
        <w:sdtContent>
          <w:p w14:paraId="39301E42" w14:textId="6DD00330" w:rsidR="006375CB" w:rsidRDefault="00275635" w:rsidP="00275635">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sdtContent>
  </w:sdt>
  <w:p w14:paraId="325A4D5E" w14:textId="77777777" w:rsidR="006375CB" w:rsidRDefault="00637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D8E0" w14:textId="77777777" w:rsidR="005722D1" w:rsidRDefault="00572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327C3" w14:textId="77777777" w:rsidR="0078778E" w:rsidRDefault="0078778E" w:rsidP="006375CB">
      <w:pPr>
        <w:spacing w:after="0"/>
      </w:pPr>
      <w:r>
        <w:separator/>
      </w:r>
    </w:p>
  </w:footnote>
  <w:footnote w:type="continuationSeparator" w:id="0">
    <w:p w14:paraId="2275A844" w14:textId="77777777" w:rsidR="0078778E" w:rsidRDefault="0078778E" w:rsidP="006375CB">
      <w:pPr>
        <w:spacing w:after="0"/>
      </w:pPr>
      <w:r>
        <w:continuationSeparator/>
      </w:r>
    </w:p>
  </w:footnote>
  <w:footnote w:id="1">
    <w:p w14:paraId="55D32230" w14:textId="13C8B602" w:rsidR="00F045A7" w:rsidRPr="00191EC4" w:rsidRDefault="00F045A7">
      <w:pPr>
        <w:pStyle w:val="FootnoteText"/>
        <w:rPr>
          <w:sz w:val="16"/>
          <w:szCs w:val="16"/>
          <w:lang w:val="nl-NL"/>
        </w:rPr>
      </w:pPr>
      <w:r w:rsidRPr="00191EC4">
        <w:rPr>
          <w:rStyle w:val="FootnoteReference"/>
          <w:sz w:val="16"/>
          <w:szCs w:val="16"/>
        </w:rPr>
        <w:footnoteRef/>
      </w:r>
      <w:r w:rsidRPr="00DD66AF">
        <w:rPr>
          <w:sz w:val="16"/>
          <w:szCs w:val="16"/>
          <w:lang w:val="nl-NL"/>
        </w:rPr>
        <w:t xml:space="preserve"> </w:t>
      </w:r>
      <w:r w:rsidRPr="00191EC4">
        <w:rPr>
          <w:sz w:val="16"/>
          <w:szCs w:val="16"/>
          <w:lang w:val="nl-NL"/>
        </w:rPr>
        <w:t xml:space="preserve">Communicatie van de Europese Unie bij de Wereldhandelsorganisatie (21 januari 2026), </w:t>
      </w:r>
      <w:r w:rsidRPr="00191EC4">
        <w:rPr>
          <w:i/>
          <w:iCs/>
          <w:sz w:val="16"/>
          <w:szCs w:val="16"/>
          <w:lang w:val="nl-NL"/>
        </w:rPr>
        <w:t xml:space="preserve">EU </w:t>
      </w:r>
      <w:proofErr w:type="spellStart"/>
      <w:r w:rsidRPr="00191EC4">
        <w:rPr>
          <w:i/>
          <w:iCs/>
          <w:sz w:val="16"/>
          <w:szCs w:val="16"/>
          <w:lang w:val="nl-NL"/>
        </w:rPr>
        <w:t>Submission</w:t>
      </w:r>
      <w:proofErr w:type="spellEnd"/>
      <w:r w:rsidRPr="00191EC4">
        <w:rPr>
          <w:i/>
          <w:iCs/>
          <w:sz w:val="16"/>
          <w:szCs w:val="16"/>
          <w:lang w:val="nl-NL"/>
        </w:rPr>
        <w:t xml:space="preserve"> on WTO Reform</w:t>
      </w:r>
      <w:r w:rsidRPr="00191EC4">
        <w:rPr>
          <w:sz w:val="16"/>
          <w:szCs w:val="16"/>
          <w:lang w:val="nl-NL"/>
        </w:rPr>
        <w:t>, WT/GC/W/986.</w:t>
      </w:r>
    </w:p>
  </w:footnote>
  <w:footnote w:id="2">
    <w:p w14:paraId="39768530" w14:textId="0C57C1F5" w:rsidR="002C7D99" w:rsidRPr="002C7D99" w:rsidRDefault="002C7D99">
      <w:pPr>
        <w:pStyle w:val="FootnoteText"/>
        <w:rPr>
          <w:sz w:val="16"/>
          <w:szCs w:val="16"/>
          <w:lang w:val="nl-NL"/>
        </w:rPr>
      </w:pPr>
      <w:r w:rsidRPr="00191EC4">
        <w:rPr>
          <w:rStyle w:val="FootnoteReference"/>
          <w:sz w:val="16"/>
          <w:szCs w:val="16"/>
        </w:rPr>
        <w:footnoteRef/>
      </w:r>
      <w:r w:rsidRPr="00191EC4">
        <w:rPr>
          <w:sz w:val="16"/>
          <w:szCs w:val="16"/>
          <w:lang w:val="nl-NL"/>
        </w:rPr>
        <w:t xml:space="preserve"> Kamerstuk </w:t>
      </w:r>
      <w:r w:rsidR="004C1EC8">
        <w:rPr>
          <w:sz w:val="16"/>
          <w:szCs w:val="16"/>
          <w:lang w:val="nl-NL"/>
        </w:rPr>
        <w:t xml:space="preserve">II, 2025/26, </w:t>
      </w:r>
      <w:r w:rsidRPr="00191EC4">
        <w:rPr>
          <w:sz w:val="16"/>
          <w:szCs w:val="16"/>
          <w:lang w:val="nl-NL"/>
        </w:rPr>
        <w:t>36 180</w:t>
      </w:r>
      <w:r w:rsidR="006636DA" w:rsidRPr="00191EC4">
        <w:rPr>
          <w:sz w:val="16"/>
          <w:szCs w:val="16"/>
          <w:lang w:val="nl-NL"/>
        </w:rPr>
        <w:t>,</w:t>
      </w:r>
      <w:r w:rsidRPr="00191EC4">
        <w:rPr>
          <w:sz w:val="16"/>
          <w:szCs w:val="16"/>
          <w:lang w:val="nl-NL"/>
        </w:rPr>
        <w:t xml:space="preserve"> nr. 209</w:t>
      </w:r>
    </w:p>
  </w:footnote>
  <w:footnote w:id="3">
    <w:p w14:paraId="23122A5F" w14:textId="6443EE07" w:rsidR="00A4299A" w:rsidRPr="00E53D09" w:rsidRDefault="00A4299A">
      <w:pPr>
        <w:pStyle w:val="FootnoteText"/>
        <w:rPr>
          <w:sz w:val="16"/>
          <w:szCs w:val="16"/>
          <w:lang w:val="nl-NL"/>
        </w:rPr>
      </w:pPr>
      <w:r w:rsidRPr="00A4299A">
        <w:rPr>
          <w:rStyle w:val="FootnoteReference"/>
          <w:sz w:val="16"/>
          <w:szCs w:val="16"/>
        </w:rPr>
        <w:footnoteRef/>
      </w:r>
      <w:r w:rsidRPr="00E53D09">
        <w:rPr>
          <w:sz w:val="16"/>
          <w:szCs w:val="16"/>
          <w:lang w:val="nl-NL"/>
        </w:rPr>
        <w:t xml:space="preserve"> Kamerstuk II, 2025/26, 21 501-02, nr. 3415</w:t>
      </w:r>
    </w:p>
  </w:footnote>
  <w:footnote w:id="4">
    <w:p w14:paraId="5C23A630" w14:textId="77777777" w:rsidR="00BA1867" w:rsidRPr="00D3569C" w:rsidRDefault="00BA1867" w:rsidP="00BA1867">
      <w:pPr>
        <w:pStyle w:val="FootnoteText"/>
        <w:rPr>
          <w:sz w:val="16"/>
          <w:szCs w:val="16"/>
          <w:lang w:val="nl-NL"/>
        </w:rPr>
      </w:pPr>
      <w:r w:rsidRPr="00D3569C">
        <w:rPr>
          <w:rStyle w:val="FootnoteReference"/>
          <w:sz w:val="16"/>
          <w:szCs w:val="16"/>
        </w:rPr>
        <w:footnoteRef/>
      </w:r>
      <w:r w:rsidRPr="00DD66AF">
        <w:rPr>
          <w:sz w:val="16"/>
          <w:szCs w:val="16"/>
          <w:lang w:val="nl-NL"/>
        </w:rPr>
        <w:t xml:space="preserve"> </w:t>
      </w:r>
      <w:r w:rsidRPr="00D3569C">
        <w:rPr>
          <w:sz w:val="16"/>
          <w:szCs w:val="16"/>
          <w:lang w:val="nl-NL"/>
        </w:rPr>
        <w:t xml:space="preserve">Kamerstuk </w:t>
      </w:r>
      <w:r>
        <w:rPr>
          <w:sz w:val="16"/>
          <w:szCs w:val="16"/>
          <w:lang w:val="nl-NL"/>
        </w:rPr>
        <w:t xml:space="preserve">II, 2025/26, </w:t>
      </w:r>
      <w:r w:rsidRPr="00D3569C">
        <w:rPr>
          <w:sz w:val="16"/>
          <w:szCs w:val="16"/>
          <w:lang w:val="nl-NL"/>
        </w:rPr>
        <w:t>21 501-04, nr. 294</w:t>
      </w:r>
    </w:p>
  </w:footnote>
  <w:footnote w:id="5">
    <w:p w14:paraId="6F0125D9" w14:textId="44796CEA" w:rsidR="00DE62AE" w:rsidRPr="00F45E87" w:rsidRDefault="00DE62AE">
      <w:pPr>
        <w:pStyle w:val="FootnoteText"/>
        <w:rPr>
          <w:sz w:val="16"/>
          <w:szCs w:val="16"/>
          <w:lang w:val="nl-NL"/>
        </w:rPr>
      </w:pPr>
      <w:r w:rsidRPr="00DE62AE">
        <w:rPr>
          <w:rStyle w:val="FootnoteReference"/>
          <w:sz w:val="16"/>
          <w:szCs w:val="16"/>
        </w:rPr>
        <w:footnoteRef/>
      </w:r>
      <w:r w:rsidR="004C1EC8">
        <w:rPr>
          <w:sz w:val="16"/>
          <w:szCs w:val="16"/>
          <w:lang w:val="nl-NL"/>
        </w:rPr>
        <w:t xml:space="preserve"> Kamerstuk II, 2025/26, </w:t>
      </w:r>
      <w:r w:rsidR="004C1EC8" w:rsidRPr="004C1EC8">
        <w:rPr>
          <w:sz w:val="16"/>
          <w:szCs w:val="16"/>
          <w:lang w:val="nl-NL"/>
        </w:rPr>
        <w:t>22</w:t>
      </w:r>
      <w:r w:rsidR="004C1EC8">
        <w:rPr>
          <w:sz w:val="16"/>
          <w:szCs w:val="16"/>
          <w:lang w:val="nl-NL"/>
        </w:rPr>
        <w:t xml:space="preserve"> </w:t>
      </w:r>
      <w:r w:rsidR="004C1EC8" w:rsidRPr="004C1EC8">
        <w:rPr>
          <w:sz w:val="16"/>
          <w:szCs w:val="16"/>
          <w:lang w:val="nl-NL"/>
        </w:rPr>
        <w:t>054</w:t>
      </w:r>
      <w:r w:rsidR="004C1EC8">
        <w:rPr>
          <w:sz w:val="16"/>
          <w:szCs w:val="16"/>
          <w:lang w:val="nl-NL"/>
        </w:rPr>
        <w:t xml:space="preserve">, nr. </w:t>
      </w:r>
      <w:r w:rsidR="004C1EC8" w:rsidRPr="004C1EC8">
        <w:rPr>
          <w:sz w:val="16"/>
          <w:szCs w:val="16"/>
          <w:lang w:val="nl-NL"/>
        </w:rPr>
        <w:t>469</w:t>
      </w:r>
    </w:p>
  </w:footnote>
  <w:footnote w:id="6">
    <w:p w14:paraId="486D44F4" w14:textId="630EC3E0" w:rsidR="00CD77D7" w:rsidRPr="00DD66AF" w:rsidRDefault="00CD77D7" w:rsidP="00CD77D7">
      <w:pPr>
        <w:pStyle w:val="FootnoteText"/>
        <w:rPr>
          <w:lang w:val="nl-NL"/>
        </w:rPr>
      </w:pPr>
      <w:r w:rsidRPr="00D3569C">
        <w:rPr>
          <w:rStyle w:val="FootnoteReference"/>
          <w:sz w:val="16"/>
          <w:szCs w:val="16"/>
        </w:rPr>
        <w:footnoteRef/>
      </w:r>
      <w:r w:rsidRPr="00DD66AF">
        <w:rPr>
          <w:sz w:val="16"/>
          <w:szCs w:val="16"/>
          <w:lang w:val="nl-NL"/>
        </w:rPr>
        <w:t xml:space="preserve"> </w:t>
      </w:r>
      <w:r w:rsidRPr="00D3569C">
        <w:rPr>
          <w:rFonts w:eastAsia="Verdana" w:cs="Verdana"/>
          <w:sz w:val="16"/>
          <w:szCs w:val="16"/>
          <w:lang w:val="nl-NL"/>
        </w:rPr>
        <w:t>Kamerstuk</w:t>
      </w:r>
      <w:r w:rsidR="002D3259">
        <w:rPr>
          <w:rFonts w:eastAsia="Verdana" w:cs="Verdana"/>
          <w:sz w:val="16"/>
          <w:szCs w:val="16"/>
          <w:lang w:val="nl-NL"/>
        </w:rPr>
        <w:t xml:space="preserve"> II, 2025/26,</w:t>
      </w:r>
      <w:r w:rsidRPr="00D3569C">
        <w:rPr>
          <w:rFonts w:eastAsia="Verdana" w:cs="Verdana"/>
          <w:sz w:val="16"/>
          <w:szCs w:val="16"/>
          <w:lang w:val="nl-NL"/>
        </w:rPr>
        <w:t xml:space="preserve"> 21 501-02, nr. 3404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9C2B" w14:textId="77777777" w:rsidR="005722D1" w:rsidRDefault="00572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95C6" w14:textId="77777777" w:rsidR="005722D1" w:rsidRDefault="005722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6FD1" w14:textId="77777777" w:rsidR="005722D1" w:rsidRDefault="005722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89"/>
    <w:rsid w:val="00001FAA"/>
    <w:rsid w:val="00002715"/>
    <w:rsid w:val="00004B18"/>
    <w:rsid w:val="00006782"/>
    <w:rsid w:val="00015FBD"/>
    <w:rsid w:val="00055C7C"/>
    <w:rsid w:val="0007214A"/>
    <w:rsid w:val="00076D4E"/>
    <w:rsid w:val="000A18D8"/>
    <w:rsid w:val="000B7565"/>
    <w:rsid w:val="000C63BA"/>
    <w:rsid w:val="000D7233"/>
    <w:rsid w:val="000F3A78"/>
    <w:rsid w:val="000F5522"/>
    <w:rsid w:val="000F74F5"/>
    <w:rsid w:val="001016D3"/>
    <w:rsid w:val="00104E9B"/>
    <w:rsid w:val="00127FE2"/>
    <w:rsid w:val="00130D55"/>
    <w:rsid w:val="001344BD"/>
    <w:rsid w:val="00147728"/>
    <w:rsid w:val="00150140"/>
    <w:rsid w:val="00172069"/>
    <w:rsid w:val="001857AC"/>
    <w:rsid w:val="00191EC4"/>
    <w:rsid w:val="00192AF1"/>
    <w:rsid w:val="001B08C6"/>
    <w:rsid w:val="001C7D41"/>
    <w:rsid w:val="001E7200"/>
    <w:rsid w:val="001F5A80"/>
    <w:rsid w:val="001F79EA"/>
    <w:rsid w:val="0020204B"/>
    <w:rsid w:val="002319A3"/>
    <w:rsid w:val="0026601C"/>
    <w:rsid w:val="0026690A"/>
    <w:rsid w:val="00270A90"/>
    <w:rsid w:val="00273491"/>
    <w:rsid w:val="00275635"/>
    <w:rsid w:val="0028194D"/>
    <w:rsid w:val="002906FB"/>
    <w:rsid w:val="002A3759"/>
    <w:rsid w:val="002B5D7C"/>
    <w:rsid w:val="002B637B"/>
    <w:rsid w:val="002C0AB7"/>
    <w:rsid w:val="002C7D99"/>
    <w:rsid w:val="002D3259"/>
    <w:rsid w:val="002E7BBA"/>
    <w:rsid w:val="0030092F"/>
    <w:rsid w:val="00345F25"/>
    <w:rsid w:val="003639DD"/>
    <w:rsid w:val="00366181"/>
    <w:rsid w:val="00381DA3"/>
    <w:rsid w:val="003820B0"/>
    <w:rsid w:val="003855EE"/>
    <w:rsid w:val="00392DC4"/>
    <w:rsid w:val="00395711"/>
    <w:rsid w:val="003B1F06"/>
    <w:rsid w:val="003C30FB"/>
    <w:rsid w:val="003D2C50"/>
    <w:rsid w:val="00400AAF"/>
    <w:rsid w:val="00402C59"/>
    <w:rsid w:val="00411266"/>
    <w:rsid w:val="00431FCC"/>
    <w:rsid w:val="00433018"/>
    <w:rsid w:val="00467F9A"/>
    <w:rsid w:val="00483ED9"/>
    <w:rsid w:val="004C1EC8"/>
    <w:rsid w:val="004D051C"/>
    <w:rsid w:val="004D109F"/>
    <w:rsid w:val="004D5AF9"/>
    <w:rsid w:val="004E365E"/>
    <w:rsid w:val="00517738"/>
    <w:rsid w:val="005722D1"/>
    <w:rsid w:val="00573CE6"/>
    <w:rsid w:val="005817FB"/>
    <w:rsid w:val="005903D7"/>
    <w:rsid w:val="0059133D"/>
    <w:rsid w:val="005A4D00"/>
    <w:rsid w:val="005A578A"/>
    <w:rsid w:val="005A688F"/>
    <w:rsid w:val="005E1E3B"/>
    <w:rsid w:val="005F2237"/>
    <w:rsid w:val="005F6EDE"/>
    <w:rsid w:val="006016B2"/>
    <w:rsid w:val="00602E9A"/>
    <w:rsid w:val="006375CB"/>
    <w:rsid w:val="00650B9F"/>
    <w:rsid w:val="00652D2F"/>
    <w:rsid w:val="006636DA"/>
    <w:rsid w:val="006647A0"/>
    <w:rsid w:val="006719AC"/>
    <w:rsid w:val="00696CDC"/>
    <w:rsid w:val="006A507D"/>
    <w:rsid w:val="006E3731"/>
    <w:rsid w:val="007061BC"/>
    <w:rsid w:val="00720270"/>
    <w:rsid w:val="00735109"/>
    <w:rsid w:val="00744180"/>
    <w:rsid w:val="00744C19"/>
    <w:rsid w:val="00755C55"/>
    <w:rsid w:val="007608C0"/>
    <w:rsid w:val="00760E7D"/>
    <w:rsid w:val="007735A8"/>
    <w:rsid w:val="0077681F"/>
    <w:rsid w:val="007844C3"/>
    <w:rsid w:val="007852B7"/>
    <w:rsid w:val="00785B62"/>
    <w:rsid w:val="007870E1"/>
    <w:rsid w:val="0078778E"/>
    <w:rsid w:val="007A7066"/>
    <w:rsid w:val="007F0D62"/>
    <w:rsid w:val="007F63C4"/>
    <w:rsid w:val="00813137"/>
    <w:rsid w:val="00840A43"/>
    <w:rsid w:val="00850168"/>
    <w:rsid w:val="00874808"/>
    <w:rsid w:val="00882D3D"/>
    <w:rsid w:val="00883BA9"/>
    <w:rsid w:val="00895180"/>
    <w:rsid w:val="00895661"/>
    <w:rsid w:val="008B3C39"/>
    <w:rsid w:val="008D1065"/>
    <w:rsid w:val="00911D63"/>
    <w:rsid w:val="009276F8"/>
    <w:rsid w:val="00937CA3"/>
    <w:rsid w:val="00940C22"/>
    <w:rsid w:val="00942281"/>
    <w:rsid w:val="009471AF"/>
    <w:rsid w:val="00950D2D"/>
    <w:rsid w:val="009814C3"/>
    <w:rsid w:val="00991EF6"/>
    <w:rsid w:val="00992235"/>
    <w:rsid w:val="009D0446"/>
    <w:rsid w:val="009E0072"/>
    <w:rsid w:val="009E382C"/>
    <w:rsid w:val="009F5461"/>
    <w:rsid w:val="00A20829"/>
    <w:rsid w:val="00A21E31"/>
    <w:rsid w:val="00A336D1"/>
    <w:rsid w:val="00A3446E"/>
    <w:rsid w:val="00A4299A"/>
    <w:rsid w:val="00A52344"/>
    <w:rsid w:val="00A53806"/>
    <w:rsid w:val="00A54CC0"/>
    <w:rsid w:val="00A72135"/>
    <w:rsid w:val="00A903E3"/>
    <w:rsid w:val="00AD75C2"/>
    <w:rsid w:val="00AE1AFF"/>
    <w:rsid w:val="00AE7199"/>
    <w:rsid w:val="00AF2229"/>
    <w:rsid w:val="00AF6071"/>
    <w:rsid w:val="00B45E3B"/>
    <w:rsid w:val="00B902C5"/>
    <w:rsid w:val="00B93D6B"/>
    <w:rsid w:val="00B95F42"/>
    <w:rsid w:val="00BA1867"/>
    <w:rsid w:val="00BC5F26"/>
    <w:rsid w:val="00BE4171"/>
    <w:rsid w:val="00BF5A3F"/>
    <w:rsid w:val="00C01160"/>
    <w:rsid w:val="00C16C86"/>
    <w:rsid w:val="00C66D91"/>
    <w:rsid w:val="00C7626B"/>
    <w:rsid w:val="00C76E27"/>
    <w:rsid w:val="00CA265B"/>
    <w:rsid w:val="00CC6A04"/>
    <w:rsid w:val="00CD77D7"/>
    <w:rsid w:val="00CF16B6"/>
    <w:rsid w:val="00CF1BF7"/>
    <w:rsid w:val="00D26B7C"/>
    <w:rsid w:val="00D3569C"/>
    <w:rsid w:val="00D553A3"/>
    <w:rsid w:val="00D71D53"/>
    <w:rsid w:val="00DA1902"/>
    <w:rsid w:val="00DC10D3"/>
    <w:rsid w:val="00DC1AC4"/>
    <w:rsid w:val="00DC7412"/>
    <w:rsid w:val="00DC7D4F"/>
    <w:rsid w:val="00DD0ED1"/>
    <w:rsid w:val="00DD66AF"/>
    <w:rsid w:val="00DE62AE"/>
    <w:rsid w:val="00DF3C33"/>
    <w:rsid w:val="00E13740"/>
    <w:rsid w:val="00E14C19"/>
    <w:rsid w:val="00E16267"/>
    <w:rsid w:val="00E17DE9"/>
    <w:rsid w:val="00E22DE5"/>
    <w:rsid w:val="00E51A9F"/>
    <w:rsid w:val="00E53D09"/>
    <w:rsid w:val="00E5408A"/>
    <w:rsid w:val="00E83966"/>
    <w:rsid w:val="00E94ABE"/>
    <w:rsid w:val="00E96421"/>
    <w:rsid w:val="00EA75BF"/>
    <w:rsid w:val="00ED226C"/>
    <w:rsid w:val="00EE0E34"/>
    <w:rsid w:val="00F045A7"/>
    <w:rsid w:val="00F04E3F"/>
    <w:rsid w:val="00F1470D"/>
    <w:rsid w:val="00F21189"/>
    <w:rsid w:val="00F45E87"/>
    <w:rsid w:val="00F54DA5"/>
    <w:rsid w:val="00FA2A12"/>
    <w:rsid w:val="00FA6671"/>
    <w:rsid w:val="00FD10BE"/>
    <w:rsid w:val="00FD7744"/>
    <w:rsid w:val="00FF1D3C"/>
    <w:rsid w:val="0AB0393A"/>
    <w:rsid w:val="3D0DAEDA"/>
    <w:rsid w:val="4089F396"/>
    <w:rsid w:val="6BDC5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524B"/>
  <w15:chartTrackingRefBased/>
  <w15:docId w15:val="{52A3E3FE-D892-401E-9228-C6458A6C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189"/>
    <w:pPr>
      <w:spacing w:after="200" w:line="240" w:lineRule="auto"/>
    </w:pPr>
    <w:rPr>
      <w:rFonts w:ascii="Verdana" w:eastAsia="MS Mincho"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189"/>
    <w:pPr>
      <w:spacing w:after="0" w:line="240" w:lineRule="auto"/>
    </w:pPr>
    <w:rPr>
      <w:rFonts w:ascii="Verdana" w:eastAsia="MS Mincho" w:hAnsi="Verdana"/>
      <w:sz w:val="18"/>
    </w:rPr>
  </w:style>
  <w:style w:type="paragraph" w:styleId="Header">
    <w:name w:val="header"/>
    <w:basedOn w:val="Normal"/>
    <w:link w:val="HeaderChar"/>
    <w:uiPriority w:val="99"/>
    <w:unhideWhenUsed/>
    <w:rsid w:val="006375CB"/>
    <w:pPr>
      <w:tabs>
        <w:tab w:val="center" w:pos="4513"/>
        <w:tab w:val="right" w:pos="9026"/>
      </w:tabs>
      <w:spacing w:after="0"/>
    </w:pPr>
  </w:style>
  <w:style w:type="character" w:customStyle="1" w:styleId="HeaderChar">
    <w:name w:val="Header Char"/>
    <w:basedOn w:val="DefaultParagraphFont"/>
    <w:link w:val="Header"/>
    <w:uiPriority w:val="99"/>
    <w:rsid w:val="006375CB"/>
    <w:rPr>
      <w:rFonts w:ascii="Verdana" w:eastAsia="MS Mincho" w:hAnsi="Verdana"/>
      <w:sz w:val="18"/>
    </w:rPr>
  </w:style>
  <w:style w:type="paragraph" w:styleId="Footer">
    <w:name w:val="footer"/>
    <w:basedOn w:val="Normal"/>
    <w:link w:val="FooterChar"/>
    <w:uiPriority w:val="99"/>
    <w:unhideWhenUsed/>
    <w:rsid w:val="006375CB"/>
    <w:pPr>
      <w:tabs>
        <w:tab w:val="center" w:pos="4513"/>
        <w:tab w:val="right" w:pos="9026"/>
      </w:tabs>
      <w:spacing w:after="0"/>
    </w:pPr>
  </w:style>
  <w:style w:type="character" w:customStyle="1" w:styleId="FooterChar">
    <w:name w:val="Footer Char"/>
    <w:basedOn w:val="DefaultParagraphFont"/>
    <w:link w:val="Footer"/>
    <w:uiPriority w:val="99"/>
    <w:rsid w:val="006375CB"/>
    <w:rPr>
      <w:rFonts w:ascii="Verdana" w:eastAsia="MS Mincho" w:hAnsi="Verdana"/>
      <w:sz w:val="18"/>
    </w:rPr>
  </w:style>
  <w:style w:type="paragraph" w:styleId="FootnoteText">
    <w:name w:val="footnote text"/>
    <w:basedOn w:val="Normal"/>
    <w:link w:val="FootnoteTextChar"/>
    <w:uiPriority w:val="99"/>
    <w:semiHidden/>
    <w:unhideWhenUsed/>
    <w:rsid w:val="00DE62AE"/>
    <w:pPr>
      <w:spacing w:after="0"/>
    </w:pPr>
    <w:rPr>
      <w:sz w:val="20"/>
      <w:szCs w:val="20"/>
    </w:rPr>
  </w:style>
  <w:style w:type="character" w:customStyle="1" w:styleId="FootnoteTextChar">
    <w:name w:val="Footnote Text Char"/>
    <w:basedOn w:val="DefaultParagraphFont"/>
    <w:link w:val="FootnoteText"/>
    <w:uiPriority w:val="99"/>
    <w:semiHidden/>
    <w:rsid w:val="00DE62AE"/>
    <w:rPr>
      <w:rFonts w:ascii="Verdana" w:eastAsia="MS Mincho" w:hAnsi="Verdana"/>
      <w:sz w:val="20"/>
      <w:szCs w:val="20"/>
    </w:rPr>
  </w:style>
  <w:style w:type="character" w:styleId="FootnoteReference">
    <w:name w:val="footnote reference"/>
    <w:basedOn w:val="DefaultParagraphFont"/>
    <w:uiPriority w:val="99"/>
    <w:semiHidden/>
    <w:unhideWhenUsed/>
    <w:rsid w:val="00DE62AE"/>
    <w:rPr>
      <w:vertAlign w:val="superscript"/>
    </w:rPr>
  </w:style>
  <w:style w:type="character" w:styleId="Hyperlink">
    <w:name w:val="Hyperlink"/>
    <w:basedOn w:val="DefaultParagraphFont"/>
    <w:uiPriority w:val="99"/>
    <w:unhideWhenUsed/>
    <w:rsid w:val="00DE62AE"/>
    <w:rPr>
      <w:color w:val="0563C1" w:themeColor="hyperlink"/>
      <w:u w:val="single"/>
    </w:rPr>
  </w:style>
  <w:style w:type="character" w:styleId="UnresolvedMention">
    <w:name w:val="Unresolved Mention"/>
    <w:basedOn w:val="DefaultParagraphFont"/>
    <w:uiPriority w:val="99"/>
    <w:semiHidden/>
    <w:unhideWhenUsed/>
    <w:rsid w:val="00DE62AE"/>
    <w:rPr>
      <w:color w:val="605E5C"/>
      <w:shd w:val="clear" w:color="auto" w:fill="E1DFDD"/>
    </w:rPr>
  </w:style>
  <w:style w:type="character" w:styleId="CommentReference">
    <w:name w:val="annotation reference"/>
    <w:basedOn w:val="DefaultParagraphFont"/>
    <w:uiPriority w:val="99"/>
    <w:semiHidden/>
    <w:unhideWhenUsed/>
    <w:rsid w:val="003820B0"/>
    <w:rPr>
      <w:sz w:val="16"/>
      <w:szCs w:val="16"/>
    </w:rPr>
  </w:style>
  <w:style w:type="paragraph" w:styleId="CommentText">
    <w:name w:val="annotation text"/>
    <w:basedOn w:val="Normal"/>
    <w:link w:val="CommentTextChar"/>
    <w:uiPriority w:val="99"/>
    <w:unhideWhenUsed/>
    <w:rsid w:val="003820B0"/>
    <w:rPr>
      <w:sz w:val="20"/>
      <w:szCs w:val="20"/>
    </w:rPr>
  </w:style>
  <w:style w:type="character" w:customStyle="1" w:styleId="CommentTextChar">
    <w:name w:val="Comment Text Char"/>
    <w:basedOn w:val="DefaultParagraphFont"/>
    <w:link w:val="CommentText"/>
    <w:uiPriority w:val="99"/>
    <w:rsid w:val="003820B0"/>
    <w:rPr>
      <w:rFonts w:ascii="Verdana" w:eastAsia="MS Mincho" w:hAnsi="Verdana"/>
      <w:sz w:val="20"/>
      <w:szCs w:val="20"/>
    </w:rPr>
  </w:style>
  <w:style w:type="paragraph" w:styleId="CommentSubject">
    <w:name w:val="annotation subject"/>
    <w:basedOn w:val="CommentText"/>
    <w:next w:val="CommentText"/>
    <w:link w:val="CommentSubjectChar"/>
    <w:uiPriority w:val="99"/>
    <w:semiHidden/>
    <w:unhideWhenUsed/>
    <w:rsid w:val="003820B0"/>
    <w:rPr>
      <w:b/>
      <w:bCs/>
    </w:rPr>
  </w:style>
  <w:style w:type="character" w:customStyle="1" w:styleId="CommentSubjectChar">
    <w:name w:val="Comment Subject Char"/>
    <w:basedOn w:val="CommentTextChar"/>
    <w:link w:val="CommentSubject"/>
    <w:uiPriority w:val="99"/>
    <w:semiHidden/>
    <w:rsid w:val="003820B0"/>
    <w:rPr>
      <w:rFonts w:ascii="Verdana" w:eastAsia="MS Mincho" w:hAnsi="Verdana"/>
      <w:b/>
      <w:bCs/>
      <w:sz w:val="20"/>
      <w:szCs w:val="20"/>
    </w:rPr>
  </w:style>
  <w:style w:type="paragraph" w:styleId="Revision">
    <w:name w:val="Revision"/>
    <w:hidden/>
    <w:uiPriority w:val="99"/>
    <w:semiHidden/>
    <w:rsid w:val="00A52344"/>
    <w:pPr>
      <w:spacing w:after="0" w:line="240" w:lineRule="auto"/>
    </w:pPr>
    <w:rPr>
      <w:rFonts w:ascii="Verdana" w:eastAsia="MS Mincho" w:hAnsi="Verdana"/>
      <w:sz w:val="18"/>
    </w:rPr>
  </w:style>
  <w:style w:type="character" w:styleId="FollowedHyperlink">
    <w:name w:val="FollowedHyperlink"/>
    <w:basedOn w:val="DefaultParagraphFont"/>
    <w:uiPriority w:val="99"/>
    <w:semiHidden/>
    <w:unhideWhenUsed/>
    <w:rsid w:val="004C1E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41159">
      <w:bodyDiv w:val="1"/>
      <w:marLeft w:val="0"/>
      <w:marRight w:val="0"/>
      <w:marTop w:val="0"/>
      <w:marBottom w:val="0"/>
      <w:divBdr>
        <w:top w:val="none" w:sz="0" w:space="0" w:color="auto"/>
        <w:left w:val="none" w:sz="0" w:space="0" w:color="auto"/>
        <w:bottom w:val="none" w:sz="0" w:space="0" w:color="auto"/>
        <w:right w:val="none" w:sz="0" w:space="0" w:color="auto"/>
      </w:divBdr>
    </w:div>
    <w:div w:id="172032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1307</ap:Words>
  <ap:Characters>7194</ap:Characters>
  <ap:DocSecurity>0</ap:DocSecurity>
  <ap:Lines>59</ap:Lines>
  <ap:Paragraphs>16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2026-06-03T07:48:00.0000000Z</dcterms:created>
  <dcterms:modified xsi:type="dcterms:W3CDTF">2026-06-03T11:23:00.0000000Z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BZ_Forum">
    <vt:lpwstr>8;#EU|4d8f9873-61b3-4ee5-b6f7-0bb00c6df5e8</vt:lpwstr>
  </property>
  <property fmtid="{D5CDD505-2E9C-101B-9397-08002B2CF9AE}" pid="4" name="BZ_Country">
    <vt:lpwstr>9;#The Netherlands|7f69a7bb-478c-499d-a6cf-5869916dfee4</vt:lpwstr>
  </property>
  <property fmtid="{D5CDD505-2E9C-101B-9397-08002B2CF9AE}" pid="5" name="BZ_Theme">
    <vt:lpwstr>11;#Organization|d3f777fe-abca-43dd-b11c-a7496ad32ea5;#7;#Visits (logistic)|53e8069b-a40e-4a89-b4f3-9b7112716272</vt:lpwstr>
  </property>
  <property fmtid="{D5CDD505-2E9C-101B-9397-08002B2CF9AE}" pid="6" name="BZ_Classification">
    <vt:lpwstr>14;#UNCLASSIFIED|d92c6340-bc14-4cb2-a9a6-6deda93c493b</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DocumentSetDescription">
    <vt:lpwstr/>
  </property>
  <property fmtid="{D5CDD505-2E9C-101B-9397-08002B2CF9AE}" pid="10" name="BZCountryState">
    <vt:lpwstr>3;#Not applicable|ec01d90b-9d0f-4785-8785-e1ea615196bf</vt:lpwstr>
  </property>
  <property fmtid="{D5CDD505-2E9C-101B-9397-08002B2CF9AE}" pid="11" name="_dlc_DocIdItemGuid">
    <vt:lpwstr>df0392b1-337b-49af-af1d-3fb73fcbb3a3</vt:lpwstr>
  </property>
  <property fmtid="{D5CDD505-2E9C-101B-9397-08002B2CF9AE}" pid="12" name="BZMarking">
    <vt:lpwstr>5;#NO MARKING|0a4eb9ae-69eb-4d9e-b573-43ab99ef8592</vt:lpwstr>
  </property>
  <property fmtid="{D5CDD505-2E9C-101B-9397-08002B2CF9AE}" pid="13" name="BZClassification">
    <vt:lpwstr>4;#UNCLASSIFIED (U)|284e6a62-15ab-4017-be27-a1e965f4e940</vt:lpwstr>
  </property>
  <property fmtid="{D5CDD505-2E9C-101B-9397-08002B2CF9AE}" pid="14" name="URL">
    <vt:lpwstr>https://247.plaza.buzaservices.nl/subject/CPK-sjablonen-en-forRaad%20Buitenlandse%20Zaken%20RBZ%20Handel/Verslag%20RBZ%20Handel/Verslag%20RBZ%20Handel.docx, </vt:lpwstr>
  </property>
  <property fmtid="{D5CDD505-2E9C-101B-9397-08002B2CF9AE}" pid="15" name="nf4434b3fae540fe847866e45672fb3a">
    <vt:lpwstr>Organization|d3f777fe-abca-43dd-b11c-a7496ad32ea5;Visits (logistic)|53e8069b-a40e-4a89-b4f3-9b7112716272</vt:lpwstr>
  </property>
  <property fmtid="{D5CDD505-2E9C-101B-9397-08002B2CF9AE}" pid="16" name="a45510494d1a450e9cee6905c7ad8168">
    <vt:lpwstr>The Netherlands|7f69a7bb-478c-499d-a6cf-5869916dfee4</vt:lpwstr>
  </property>
  <property fmtid="{D5CDD505-2E9C-101B-9397-08002B2CF9AE}" pid="17" name="ge4bd621e46a403e97baf402a410deb5">
    <vt:lpwstr>EU|4d8f9873-61b3-4ee5-b6f7-0bb00c6df5e8</vt:lpwstr>
  </property>
  <property fmtid="{D5CDD505-2E9C-101B-9397-08002B2CF9AE}" pid="18" name="gc2efd3bfea04f7f8169be07009f5536">
    <vt:lpwstr/>
  </property>
  <property fmtid="{D5CDD505-2E9C-101B-9397-08002B2CF9AE}" pid="19" name="BZDossierPublishingHistory">
    <vt:lpwstr/>
  </property>
  <property fmtid="{D5CDD505-2E9C-101B-9397-08002B2CF9AE}" pid="20" name="BZDossierApprovalHistory">
    <vt:lpwstr/>
  </property>
  <property fmtid="{D5CDD505-2E9C-101B-9397-08002B2CF9AE}" pid="21" name="BZDossierContributors">
    <vt:lpwstr/>
  </property>
  <property fmtid="{D5CDD505-2E9C-101B-9397-08002B2CF9AE}" pid="22" name="BZDossierProcessLocation">
    <vt:lpwstr/>
  </property>
  <property fmtid="{D5CDD505-2E9C-101B-9397-08002B2CF9AE}" pid="23" name="BZDossierPublishingWOOCategory">
    <vt:lpwstr/>
  </property>
  <property fmtid="{D5CDD505-2E9C-101B-9397-08002B2CF9AE}" pid="24" name="i42ef48d5fa942a0ad0d60e44f201751">
    <vt:lpwstr/>
  </property>
  <property fmtid="{D5CDD505-2E9C-101B-9397-08002B2CF9AE}" pid="25" name="f2fb2a8e39404f1ab554e4e4a49d2918">
    <vt:lpwstr/>
  </property>
  <property fmtid="{D5CDD505-2E9C-101B-9397-08002B2CF9AE}" pid="26" name="BZDossierDescription">
    <vt:lpwstr/>
  </property>
  <property fmtid="{D5CDD505-2E9C-101B-9397-08002B2CF9AE}" pid="27" name="BZDossierReaders">
    <vt:lpwstr/>
  </property>
  <property fmtid="{D5CDD505-2E9C-101B-9397-08002B2CF9AE}" pid="28" name="p29721a54a5c4bbe9786e930fc91e270">
    <vt:lpwstr/>
  </property>
  <property fmtid="{D5CDD505-2E9C-101B-9397-08002B2CF9AE}" pid="29" name="BZDossierTranslation">
    <vt:lpwstr/>
  </property>
  <property fmtid="{D5CDD505-2E9C-101B-9397-08002B2CF9AE}" pid="30" name="BZDossierTranslationHistory">
    <vt:lpwstr/>
  </property>
  <property fmtid="{D5CDD505-2E9C-101B-9397-08002B2CF9AE}" pid="31" name="BZDossierReference">
    <vt:lpwstr/>
  </property>
  <property fmtid="{D5CDD505-2E9C-101B-9397-08002B2CF9AE}" pid="32" name="BZDossierAuditLog">
    <vt:lpwstr/>
  </property>
  <property fmtid="{D5CDD505-2E9C-101B-9397-08002B2CF9AE}" pid="33" name="BZDossierTitle">
    <vt:lpwstr/>
  </property>
  <property fmtid="{D5CDD505-2E9C-101B-9397-08002B2CF9AE}" pid="34" name="ed9282a3f18446ec8c17c7829edf82dd">
    <vt:lpwstr/>
  </property>
  <property fmtid="{D5CDD505-2E9C-101B-9397-08002B2CF9AE}" pid="35" name="e256f556a7b748329ab47889947c7d40">
    <vt:lpwstr/>
  </property>
  <property fmtid="{D5CDD505-2E9C-101B-9397-08002B2CF9AE}" pid="36" name="BZDossierProcessType">
    <vt:lpwstr/>
  </property>
  <property fmtid="{D5CDD505-2E9C-101B-9397-08002B2CF9AE}" pid="37" name="BZDossierSendingHistory">
    <vt:lpwstr/>
  </property>
  <property fmtid="{D5CDD505-2E9C-101B-9397-08002B2CF9AE}" pid="38" name="BZDossierBudgetManager">
    <vt:lpwstr/>
  </property>
  <property fmtid="{D5CDD505-2E9C-101B-9397-08002B2CF9AE}" pid="39" name="BZDossierAlignmentHistory">
    <vt:lpwstr/>
  </property>
  <property fmtid="{D5CDD505-2E9C-101B-9397-08002B2CF9AE}" pid="40" name="BZDossierSendTo">
    <vt:lpwstr/>
  </property>
  <property fmtid="{D5CDD505-2E9C-101B-9397-08002B2CF9AE}" pid="41" name="BZDossierRedacting">
    <vt:lpwstr/>
  </property>
  <property fmtid="{D5CDD505-2E9C-101B-9397-08002B2CF9AE}" pid="42" name="BZDossierRedactingHistory">
    <vt:lpwstr/>
  </property>
  <property fmtid="{D5CDD505-2E9C-101B-9397-08002B2CF9AE}" pid="43" name="BZDossierApprovalPolitical">
    <vt:lpwstr/>
  </property>
  <property fmtid="{D5CDD505-2E9C-101B-9397-08002B2CF9AE}" pid="44" name="BZDossierPrincipalsInvolved">
    <vt:lpwstr/>
  </property>
  <property fmtid="{D5CDD505-2E9C-101B-9397-08002B2CF9AE}" pid="45" name="BZDossierApproval">
    <vt:lpwstr/>
  </property>
  <property fmtid="{D5CDD505-2E9C-101B-9397-08002B2CF9AE}" pid="46" name="BZDossierAlignment">
    <vt:lpwstr/>
  </property>
  <property fmtid="{D5CDD505-2E9C-101B-9397-08002B2CF9AE}" pid="47" name="BZDossierSending">
    <vt:lpwstr/>
  </property>
  <property fmtid="{D5CDD505-2E9C-101B-9397-08002B2CF9AE}" pid="48" name="BZDossierResponsibleDepartment">
    <vt:lpwstr/>
  </property>
  <property fmtid="{D5CDD505-2E9C-101B-9397-08002B2CF9AE}" pid="49" name="BZDossierResponsibleGroup">
    <vt:lpwstr/>
  </property>
  <property fmtid="{D5CDD505-2E9C-101B-9397-08002B2CF9AE}" pid="50" name="BZDossierApprovalPoliticalHistory">
    <vt:lpwstr/>
  </property>
  <property fmtid="{D5CDD505-2E9C-101B-9397-08002B2CF9AE}" pid="51" name="BZDossierPublishing">
    <vt:lpwstr/>
  </property>
  <property fmtid="{D5CDD505-2E9C-101B-9397-08002B2CF9AE}" pid="52" name="BZDossierSpecifics">
    <vt:lpwstr/>
  </property>
  <property fmtid="{D5CDD505-2E9C-101B-9397-08002B2CF9AE}" pid="53" name="BZDossierGovernmentOfficial">
    <vt:lpwstr/>
  </property>
  <property fmtid="{D5CDD505-2E9C-101B-9397-08002B2CF9AE}" pid="54" name="f8e003236e1c4ac2ab9051d5d8789bbb">
    <vt:lpwstr/>
  </property>
  <property fmtid="{D5CDD505-2E9C-101B-9397-08002B2CF9AE}" pid="55" name="BZDossierNotes">
    <vt:lpwstr/>
  </property>
  <property fmtid="{D5CDD505-2E9C-101B-9397-08002B2CF9AE}" pid="56" name="BZEmailSubject">
    <vt:lpwstr/>
  </property>
  <property fmtid="{D5CDD505-2E9C-101B-9397-08002B2CF9AE}" pid="57" name="BZEmailFrom">
    <vt:lpwstr/>
  </property>
  <property fmtid="{D5CDD505-2E9C-101B-9397-08002B2CF9AE}" pid="58" name="BZEmailCC">
    <vt:lpwstr/>
  </property>
  <property fmtid="{D5CDD505-2E9C-101B-9397-08002B2CF9AE}" pid="59" name="BZEmailTo">
    <vt:lpwstr/>
  </property>
  <property fmtid="{D5CDD505-2E9C-101B-9397-08002B2CF9AE}" pid="60" name="BZEmailBody">
    <vt:lpwstr/>
  </property>
  <property fmtid="{D5CDD505-2E9C-101B-9397-08002B2CF9AE}" pid="61" name="BZDossierTemplate">
    <vt:lpwstr>ReguliereKamerbrief</vt:lpwstr>
  </property>
  <property fmtid="{D5CDD505-2E9C-101B-9397-08002B2CF9AE}" pid="62" name="_docset_NoMedatataSyncRequired">
    <vt:lpwstr>False</vt:lpwstr>
  </property>
</Properties>
</file>