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FF0077" w14:paraId="6B3ABF5E" w14:textId="77777777">
      <w:r>
        <w:t>Geachte Voorzitter,</w:t>
      </w:r>
    </w:p>
    <w:p w:rsidR="00BF2437" w:rsidP="00BF2437" w:rsidRDefault="00BF2437" w14:paraId="47CC777A" w14:textId="77777777"/>
    <w:p w:rsidR="00A551F2" w:rsidP="00A551F2" w:rsidRDefault="00A551F2" w14:paraId="48F377FC" w14:textId="575E5E5C">
      <w:r w:rsidRPr="00B36C56">
        <w:rPr>
          <w:szCs w:val="18"/>
        </w:rPr>
        <w:t xml:space="preserve">Op mijn verzoek stelt het </w:t>
      </w:r>
      <w:r>
        <w:t>Centraal Bureau voor de Statistiek (</w:t>
      </w:r>
      <w:r w:rsidRPr="00B36C56">
        <w:rPr>
          <w:szCs w:val="18"/>
        </w:rPr>
        <w:t>CBS</w:t>
      </w:r>
      <w:r>
        <w:rPr>
          <w:szCs w:val="18"/>
        </w:rPr>
        <w:t>)</w:t>
      </w:r>
      <w:r w:rsidRPr="00B36C56">
        <w:rPr>
          <w:szCs w:val="18"/>
        </w:rPr>
        <w:t xml:space="preserve"> na afloop van ieder kwartaal een berekening samen van de verwachte fosfaat- en stikstofexcretie van de Nederlandse veestapel. </w:t>
      </w:r>
      <w:r>
        <w:rPr>
          <w:szCs w:val="18"/>
        </w:rPr>
        <w:t xml:space="preserve">Hieraan </w:t>
      </w:r>
      <w:r w:rsidRPr="00B36C56">
        <w:rPr>
          <w:szCs w:val="18"/>
        </w:rPr>
        <w:t xml:space="preserve">is eveneens op mijn verzoek </w:t>
      </w:r>
      <w:r w:rsidRPr="00B36C56" w:rsidR="00A324A3">
        <w:rPr>
          <w:szCs w:val="18"/>
        </w:rPr>
        <w:t xml:space="preserve">een prognose </w:t>
      </w:r>
      <w:r w:rsidRPr="00B36C56">
        <w:rPr>
          <w:szCs w:val="18"/>
        </w:rPr>
        <w:t>toegevoegd van het ruweiwitgehalte in het melkveevoerrantsoen.</w:t>
      </w:r>
      <w:r>
        <w:t xml:space="preserve"> Met deze brief informeer ik de Kamer dat het CBS op 3 juni 2026 de eerste kwartaalrapportage 2026</w:t>
      </w:r>
      <w:r>
        <w:rPr>
          <w:rStyle w:val="Voetnootmarkering"/>
        </w:rPr>
        <w:footnoteReference w:id="1"/>
      </w:r>
      <w:r>
        <w:t xml:space="preserve"> gepubliceerd heeft.</w:t>
      </w:r>
    </w:p>
    <w:p w:rsidR="00A551F2" w:rsidP="00A551F2" w:rsidRDefault="00A551F2" w14:paraId="3F4ECEF2" w14:textId="77777777"/>
    <w:p w:rsidRPr="00A551F2" w:rsidR="00A551F2" w:rsidP="00A551F2" w:rsidRDefault="00A551F2" w14:paraId="4D65EFEE" w14:textId="37A918E3">
      <w:pPr>
        <w:rPr>
          <w:szCs w:val="18"/>
        </w:rPr>
      </w:pPr>
      <w:r w:rsidRPr="00B36C56">
        <w:rPr>
          <w:szCs w:val="18"/>
        </w:rPr>
        <w:t xml:space="preserve">De </w:t>
      </w:r>
      <w:r>
        <w:rPr>
          <w:szCs w:val="18"/>
        </w:rPr>
        <w:t>eerste</w:t>
      </w:r>
      <w:r w:rsidRPr="00B36C56">
        <w:rPr>
          <w:szCs w:val="18"/>
        </w:rPr>
        <w:t xml:space="preserve"> kwartaalrapportage 202</w:t>
      </w:r>
      <w:r>
        <w:rPr>
          <w:szCs w:val="18"/>
        </w:rPr>
        <w:t>6</w:t>
      </w:r>
      <w:r w:rsidRPr="00B36C56">
        <w:rPr>
          <w:szCs w:val="18"/>
        </w:rPr>
        <w:t xml:space="preserve"> geeft een momentopname van de verwachte fosfaat- en stikstofexcretie over </w:t>
      </w:r>
      <w:r w:rsidR="00A324A3">
        <w:rPr>
          <w:szCs w:val="18"/>
        </w:rPr>
        <w:t xml:space="preserve">het </w:t>
      </w:r>
      <w:r w:rsidRPr="00B36C56">
        <w:rPr>
          <w:szCs w:val="18"/>
        </w:rPr>
        <w:t>geheel</w:t>
      </w:r>
      <w:r w:rsidR="00A324A3">
        <w:rPr>
          <w:szCs w:val="18"/>
        </w:rPr>
        <w:t xml:space="preserve"> van</w:t>
      </w:r>
      <w:r w:rsidRPr="00B36C56">
        <w:rPr>
          <w:szCs w:val="18"/>
        </w:rPr>
        <w:t xml:space="preserve"> 202</w:t>
      </w:r>
      <w:r>
        <w:rPr>
          <w:szCs w:val="18"/>
        </w:rPr>
        <w:t>6</w:t>
      </w:r>
      <w:r w:rsidR="00A324A3">
        <w:rPr>
          <w:szCs w:val="18"/>
        </w:rPr>
        <w:t>. Dit is</w:t>
      </w:r>
      <w:r w:rsidRPr="00B36C56">
        <w:rPr>
          <w:szCs w:val="18"/>
        </w:rPr>
        <w:t xml:space="preserve"> op basis van de op 1</w:t>
      </w:r>
      <w:r w:rsidR="00C50D70">
        <w:rPr>
          <w:szCs w:val="18"/>
        </w:rPr>
        <w:t> </w:t>
      </w:r>
      <w:r>
        <w:rPr>
          <w:szCs w:val="18"/>
        </w:rPr>
        <w:t>april</w:t>
      </w:r>
      <w:r w:rsidRPr="00B36C56">
        <w:rPr>
          <w:szCs w:val="18"/>
        </w:rPr>
        <w:t xml:space="preserve"> 2026 beschikbaar gekomen nieuwe en actuele gegevens over </w:t>
      </w:r>
      <w:r>
        <w:rPr>
          <w:szCs w:val="18"/>
        </w:rPr>
        <w:t xml:space="preserve">onder meer </w:t>
      </w:r>
      <w:r w:rsidRPr="00B36C56">
        <w:rPr>
          <w:szCs w:val="18"/>
        </w:rPr>
        <w:t>de omvang van de rundveestapel, de melkproductie per koe</w:t>
      </w:r>
      <w:r>
        <w:rPr>
          <w:szCs w:val="18"/>
        </w:rPr>
        <w:t xml:space="preserve"> en</w:t>
      </w:r>
      <w:r w:rsidRPr="00B36C56">
        <w:rPr>
          <w:szCs w:val="18"/>
        </w:rPr>
        <w:t xml:space="preserve"> de beschikbaarheid van krachtvoer en ruwvoer. Voor </w:t>
      </w:r>
      <w:r w:rsidR="00DD2802">
        <w:rPr>
          <w:szCs w:val="18"/>
        </w:rPr>
        <w:t xml:space="preserve">het aantal </w:t>
      </w:r>
      <w:r w:rsidRPr="00B36C56">
        <w:rPr>
          <w:szCs w:val="18"/>
        </w:rPr>
        <w:t>overige dieren</w:t>
      </w:r>
      <w:r w:rsidR="0088211B">
        <w:rPr>
          <w:szCs w:val="18"/>
        </w:rPr>
        <w:t>, zoals varkens,</w:t>
      </w:r>
      <w:r w:rsidRPr="00B36C56">
        <w:rPr>
          <w:szCs w:val="18"/>
        </w:rPr>
        <w:t xml:space="preserve"> is uitgegaan van de </w:t>
      </w:r>
      <w:r>
        <w:rPr>
          <w:szCs w:val="18"/>
        </w:rPr>
        <w:t xml:space="preserve">definitieve </w:t>
      </w:r>
      <w:r w:rsidRPr="00B36C56">
        <w:rPr>
          <w:szCs w:val="18"/>
        </w:rPr>
        <w:t>cijfers van de Landbouwtelling op peildatum 1 april 2025</w:t>
      </w:r>
      <w:r w:rsidR="0088211B">
        <w:rPr>
          <w:szCs w:val="18"/>
        </w:rPr>
        <w:t>. V</w:t>
      </w:r>
      <w:r>
        <w:rPr>
          <w:szCs w:val="18"/>
        </w:rPr>
        <w:t xml:space="preserve">oor pluimvee </w:t>
      </w:r>
      <w:r w:rsidR="0088211B">
        <w:rPr>
          <w:szCs w:val="18"/>
        </w:rPr>
        <w:t xml:space="preserve">is uitgegaan </w:t>
      </w:r>
      <w:r>
        <w:rPr>
          <w:szCs w:val="18"/>
        </w:rPr>
        <w:t xml:space="preserve">van de voorlopige cijfers </w:t>
      </w:r>
      <w:r w:rsidR="0088211B">
        <w:rPr>
          <w:szCs w:val="18"/>
        </w:rPr>
        <w:t>van de Landbouwtelling op</w:t>
      </w:r>
      <w:r>
        <w:rPr>
          <w:szCs w:val="18"/>
        </w:rPr>
        <w:t xml:space="preserve"> </w:t>
      </w:r>
      <w:r w:rsidRPr="00B36C56">
        <w:rPr>
          <w:szCs w:val="18"/>
        </w:rPr>
        <w:t>peildatum 1 december 2025.</w:t>
      </w:r>
      <w:r>
        <w:rPr>
          <w:szCs w:val="18"/>
        </w:rPr>
        <w:t xml:space="preserve"> </w:t>
      </w:r>
      <w:r>
        <w:t>De voor 2026 verwachte fosfaat- en stikstofexcretie van de Nederlandse veestapel is weergegeven in tabel 1. Voor de eerste kwartaalrapportage 2026 zijn onvoldoende gegevens beschikbaar over de samenstelling van krachtvoer en ruwvoer om een indicatie te kunnen geven van het verwachte ruweiwitgehalte in het melkveevoerrantsoen in 2026.</w:t>
      </w:r>
    </w:p>
    <w:p w:rsidR="00A551F2" w:rsidP="00A551F2" w:rsidRDefault="00A551F2" w14:paraId="5AB26B61" w14:textId="77777777"/>
    <w:p w:rsidR="00A551F2" w:rsidP="00A551F2" w:rsidRDefault="00A551F2" w14:paraId="09CE53FD" w14:textId="565FA6B0">
      <w:r>
        <w:t xml:space="preserve">Uit tabel 1 blijkt dat het CBS verwacht dat in 2026 de fosfaatexcretie van de Nederlandse veestapel boven het nationale plafond uitkomt (2,7%). Daarentegen zal de totale stikstofexcretie naar verwachting lager zijn dan het </w:t>
      </w:r>
      <w:r w:rsidRPr="00F1401C">
        <w:t>nationale plafond (</w:t>
      </w:r>
      <w:r>
        <w:t>- 0,4%</w:t>
      </w:r>
      <w:r w:rsidRPr="00F1401C">
        <w:t>).</w:t>
      </w:r>
      <w:r>
        <w:t xml:space="preserve"> Op </w:t>
      </w:r>
      <w:r w:rsidR="0038709A">
        <w:t>sectorniveau</w:t>
      </w:r>
      <w:r>
        <w:t xml:space="preserve"> verwacht het CBS een overschrijding in 2026 van de sectorale mestproductieplafonds voor melkvee </w:t>
      </w:r>
      <w:r w:rsidRPr="00F5434B">
        <w:rPr>
          <w:i/>
          <w:iCs/>
        </w:rPr>
        <w:t>(fosfaat)</w:t>
      </w:r>
      <w:r>
        <w:t xml:space="preserve"> en varkens </w:t>
      </w:r>
      <w:r w:rsidRPr="00F5434B">
        <w:rPr>
          <w:i/>
          <w:iCs/>
        </w:rPr>
        <w:t>(fosfaat en stikstof)</w:t>
      </w:r>
      <w:r>
        <w:t xml:space="preserve">. Voor pluimvee verwacht het CBS dat </w:t>
      </w:r>
      <w:r w:rsidR="00C324C5">
        <w:t>de</w:t>
      </w:r>
      <w:r>
        <w:t xml:space="preserve"> sectorale mestproductieplafond</w:t>
      </w:r>
      <w:r w:rsidR="00C324C5">
        <w:t>s</w:t>
      </w:r>
      <w:r>
        <w:t xml:space="preserve"> in 2026 niet overschreden zal worden.</w:t>
      </w:r>
    </w:p>
    <w:p w:rsidR="00A551F2" w:rsidP="00A551F2" w:rsidRDefault="00A551F2" w14:paraId="258F0674" w14:textId="77777777">
      <w:pPr>
        <w:ind w:left="709" w:hanging="709"/>
        <w:rPr>
          <w:i/>
          <w:iCs/>
          <w:sz w:val="16"/>
          <w:szCs w:val="16"/>
        </w:rPr>
      </w:pPr>
      <w:r w:rsidRPr="007A4AD5">
        <w:rPr>
          <w:i/>
          <w:iCs/>
          <w:sz w:val="16"/>
          <w:szCs w:val="16"/>
        </w:rPr>
        <w:t>Tabel 1:</w:t>
      </w:r>
      <w:r w:rsidRPr="007A4AD5">
        <w:rPr>
          <w:i/>
          <w:iCs/>
          <w:sz w:val="16"/>
          <w:szCs w:val="16"/>
        </w:rPr>
        <w:tab/>
        <w:t>Momentopname van de verwachte fosfaat- en stikstofexcretie van de Nederlandse veestapel over 202</w:t>
      </w:r>
      <w:r>
        <w:rPr>
          <w:i/>
          <w:iCs/>
          <w:sz w:val="16"/>
          <w:szCs w:val="16"/>
        </w:rPr>
        <w:t>6</w:t>
      </w:r>
      <w:r w:rsidRPr="007A4AD5">
        <w:rPr>
          <w:i/>
          <w:iCs/>
          <w:sz w:val="16"/>
          <w:szCs w:val="16"/>
        </w:rPr>
        <w:t xml:space="preserve"> (in miljoen kg)</w:t>
      </w:r>
    </w:p>
    <w:p w:rsidR="00A551F2" w:rsidP="00A551F2" w:rsidRDefault="00A551F2" w14:paraId="7AF75E4A" w14:textId="77777777">
      <w:pPr>
        <w:ind w:left="709" w:hanging="709"/>
        <w:rPr>
          <w:i/>
          <w:iCs/>
          <w:sz w:val="16"/>
          <w:szCs w:val="16"/>
        </w:rPr>
      </w:pPr>
    </w:p>
    <w:tbl>
      <w:tblPr>
        <w:tblStyle w:val="Tabelraster"/>
        <w:tblW w:w="0" w:type="auto"/>
        <w:tblInd w:w="709" w:type="dxa"/>
        <w:tblLook w:val="04A0" w:firstRow="1" w:lastRow="0" w:firstColumn="1" w:lastColumn="0" w:noHBand="0" w:noVBand="1"/>
      </w:tblPr>
      <w:tblGrid>
        <w:gridCol w:w="1070"/>
        <w:gridCol w:w="1023"/>
        <w:gridCol w:w="1218"/>
        <w:gridCol w:w="273"/>
        <w:gridCol w:w="1050"/>
        <w:gridCol w:w="1162"/>
      </w:tblGrid>
      <w:tr w:rsidR="00A551F2" w:rsidTr="00445232" w14:paraId="0065AB45" w14:textId="77777777">
        <w:tc>
          <w:tcPr>
            <w:tcW w:w="1070" w:type="dxa"/>
          </w:tcPr>
          <w:p w:rsidR="00A551F2" w:rsidP="00445232" w:rsidRDefault="00A551F2" w14:paraId="7EE92807" w14:textId="77777777">
            <w:pPr>
              <w:rPr>
                <w:sz w:val="16"/>
                <w:szCs w:val="16"/>
              </w:rPr>
            </w:pPr>
          </w:p>
        </w:tc>
        <w:tc>
          <w:tcPr>
            <w:tcW w:w="2241" w:type="dxa"/>
            <w:gridSpan w:val="2"/>
          </w:tcPr>
          <w:p w:rsidR="00A551F2" w:rsidP="00445232" w:rsidRDefault="00A551F2" w14:paraId="51B18B27" w14:textId="77777777">
            <w:pPr>
              <w:jc w:val="center"/>
              <w:rPr>
                <w:sz w:val="16"/>
                <w:szCs w:val="16"/>
              </w:rPr>
            </w:pPr>
            <w:r>
              <w:rPr>
                <w:sz w:val="16"/>
                <w:szCs w:val="16"/>
              </w:rPr>
              <w:t>Fosfaat</w:t>
            </w:r>
          </w:p>
        </w:tc>
        <w:tc>
          <w:tcPr>
            <w:tcW w:w="273" w:type="dxa"/>
          </w:tcPr>
          <w:p w:rsidR="00A551F2" w:rsidP="00445232" w:rsidRDefault="00A551F2" w14:paraId="233445B0" w14:textId="77777777">
            <w:pPr>
              <w:jc w:val="center"/>
              <w:rPr>
                <w:sz w:val="16"/>
                <w:szCs w:val="16"/>
              </w:rPr>
            </w:pPr>
          </w:p>
        </w:tc>
        <w:tc>
          <w:tcPr>
            <w:tcW w:w="2212" w:type="dxa"/>
            <w:gridSpan w:val="2"/>
          </w:tcPr>
          <w:p w:rsidR="00A551F2" w:rsidP="00445232" w:rsidRDefault="00A551F2" w14:paraId="276247B5" w14:textId="77777777">
            <w:pPr>
              <w:jc w:val="center"/>
              <w:rPr>
                <w:sz w:val="16"/>
                <w:szCs w:val="16"/>
              </w:rPr>
            </w:pPr>
            <w:r>
              <w:rPr>
                <w:sz w:val="16"/>
                <w:szCs w:val="16"/>
              </w:rPr>
              <w:t>Stikstof</w:t>
            </w:r>
          </w:p>
        </w:tc>
      </w:tr>
      <w:tr w:rsidR="00A551F2" w:rsidTr="00445232" w14:paraId="4BE36CB6" w14:textId="77777777">
        <w:tc>
          <w:tcPr>
            <w:tcW w:w="1070" w:type="dxa"/>
          </w:tcPr>
          <w:p w:rsidR="00A551F2" w:rsidP="00445232" w:rsidRDefault="00A551F2" w14:paraId="5768389A" w14:textId="77777777">
            <w:pPr>
              <w:rPr>
                <w:sz w:val="16"/>
                <w:szCs w:val="16"/>
              </w:rPr>
            </w:pPr>
          </w:p>
        </w:tc>
        <w:tc>
          <w:tcPr>
            <w:tcW w:w="1023" w:type="dxa"/>
          </w:tcPr>
          <w:p w:rsidRPr="00BF2941" w:rsidR="00A551F2" w:rsidP="00445232" w:rsidRDefault="00A551F2" w14:paraId="5450512D" w14:textId="77777777">
            <w:pPr>
              <w:jc w:val="center"/>
              <w:rPr>
                <w:sz w:val="16"/>
                <w:szCs w:val="16"/>
              </w:rPr>
            </w:pPr>
            <w:r>
              <w:rPr>
                <w:sz w:val="16"/>
                <w:szCs w:val="16"/>
              </w:rPr>
              <w:t>Plafond</w:t>
            </w:r>
          </w:p>
        </w:tc>
        <w:tc>
          <w:tcPr>
            <w:tcW w:w="1218" w:type="dxa"/>
          </w:tcPr>
          <w:p w:rsidR="00A551F2" w:rsidP="00445232" w:rsidRDefault="00A551F2" w14:paraId="2846FC6C" w14:textId="77777777">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2026</w:t>
            </w:r>
          </w:p>
        </w:tc>
        <w:tc>
          <w:tcPr>
            <w:tcW w:w="273" w:type="dxa"/>
          </w:tcPr>
          <w:p w:rsidR="00A551F2" w:rsidP="00445232" w:rsidRDefault="00A551F2" w14:paraId="464E833E" w14:textId="77777777">
            <w:pPr>
              <w:jc w:val="center"/>
              <w:rPr>
                <w:sz w:val="16"/>
                <w:szCs w:val="16"/>
              </w:rPr>
            </w:pPr>
          </w:p>
        </w:tc>
        <w:tc>
          <w:tcPr>
            <w:tcW w:w="1050" w:type="dxa"/>
          </w:tcPr>
          <w:p w:rsidRPr="00BF2941" w:rsidR="00A551F2" w:rsidP="00445232" w:rsidRDefault="00A551F2" w14:paraId="4D0DAA5A" w14:textId="77777777">
            <w:pPr>
              <w:jc w:val="center"/>
              <w:rPr>
                <w:sz w:val="16"/>
                <w:szCs w:val="16"/>
              </w:rPr>
            </w:pPr>
            <w:r>
              <w:rPr>
                <w:sz w:val="16"/>
                <w:szCs w:val="16"/>
              </w:rPr>
              <w:t>Plafond</w:t>
            </w:r>
          </w:p>
        </w:tc>
        <w:tc>
          <w:tcPr>
            <w:tcW w:w="1162" w:type="dxa"/>
          </w:tcPr>
          <w:p w:rsidR="00A551F2" w:rsidP="00445232" w:rsidRDefault="00A551F2" w14:paraId="204D2DD1" w14:textId="77777777">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xml:space="preserve"> 2026</w:t>
            </w:r>
          </w:p>
        </w:tc>
      </w:tr>
      <w:tr w:rsidR="00A551F2" w:rsidTr="00445232" w14:paraId="1023376D" w14:textId="77777777">
        <w:tc>
          <w:tcPr>
            <w:tcW w:w="1070" w:type="dxa"/>
          </w:tcPr>
          <w:p w:rsidR="00A551F2" w:rsidP="00445232" w:rsidRDefault="00A551F2" w14:paraId="6ECE6E63" w14:textId="77777777">
            <w:pPr>
              <w:rPr>
                <w:sz w:val="16"/>
                <w:szCs w:val="16"/>
              </w:rPr>
            </w:pPr>
            <w:r>
              <w:rPr>
                <w:sz w:val="16"/>
                <w:szCs w:val="16"/>
              </w:rPr>
              <w:t>Nationaal</w:t>
            </w:r>
          </w:p>
        </w:tc>
        <w:tc>
          <w:tcPr>
            <w:tcW w:w="1023" w:type="dxa"/>
          </w:tcPr>
          <w:p w:rsidR="00A551F2" w:rsidP="00445232" w:rsidRDefault="00A551F2" w14:paraId="006DB7DE" w14:textId="77777777">
            <w:pPr>
              <w:tabs>
                <w:tab w:val="decimal" w:pos="390"/>
              </w:tabs>
              <w:rPr>
                <w:sz w:val="16"/>
                <w:szCs w:val="16"/>
              </w:rPr>
            </w:pPr>
            <w:r>
              <w:rPr>
                <w:sz w:val="16"/>
                <w:szCs w:val="16"/>
              </w:rPr>
              <w:t>135,0</w:t>
            </w:r>
          </w:p>
        </w:tc>
        <w:tc>
          <w:tcPr>
            <w:tcW w:w="1218" w:type="dxa"/>
          </w:tcPr>
          <w:p w:rsidRPr="00A551F2" w:rsidR="00A551F2" w:rsidP="00445232" w:rsidRDefault="00A551F2" w14:paraId="0C336258" w14:textId="564C7865">
            <w:pPr>
              <w:jc w:val="center"/>
              <w:rPr>
                <w:sz w:val="16"/>
                <w:szCs w:val="16"/>
              </w:rPr>
            </w:pPr>
            <w:r w:rsidRPr="00A551F2">
              <w:rPr>
                <w:sz w:val="16"/>
                <w:szCs w:val="16"/>
              </w:rPr>
              <w:t>138,6</w:t>
            </w:r>
          </w:p>
        </w:tc>
        <w:tc>
          <w:tcPr>
            <w:tcW w:w="273" w:type="dxa"/>
          </w:tcPr>
          <w:p w:rsidRPr="00A551F2" w:rsidR="00A551F2" w:rsidP="00445232" w:rsidRDefault="00A551F2" w14:paraId="2A508145" w14:textId="77777777">
            <w:pPr>
              <w:jc w:val="center"/>
              <w:rPr>
                <w:sz w:val="16"/>
                <w:szCs w:val="16"/>
              </w:rPr>
            </w:pPr>
          </w:p>
        </w:tc>
        <w:tc>
          <w:tcPr>
            <w:tcW w:w="1050" w:type="dxa"/>
          </w:tcPr>
          <w:p w:rsidRPr="00A551F2" w:rsidR="00A551F2" w:rsidP="00445232" w:rsidRDefault="00A551F2" w14:paraId="6D7BF4FD" w14:textId="77777777">
            <w:pPr>
              <w:tabs>
                <w:tab w:val="decimal" w:pos="419"/>
              </w:tabs>
              <w:rPr>
                <w:sz w:val="16"/>
                <w:szCs w:val="16"/>
              </w:rPr>
            </w:pPr>
            <w:r w:rsidRPr="00A551F2">
              <w:rPr>
                <w:sz w:val="16"/>
                <w:szCs w:val="16"/>
              </w:rPr>
              <w:t>440,0</w:t>
            </w:r>
          </w:p>
        </w:tc>
        <w:tc>
          <w:tcPr>
            <w:tcW w:w="1162" w:type="dxa"/>
          </w:tcPr>
          <w:p w:rsidRPr="00A551F2" w:rsidR="00A551F2" w:rsidP="00445232" w:rsidRDefault="00A551F2" w14:paraId="477289F4" w14:textId="6912E154">
            <w:pPr>
              <w:tabs>
                <w:tab w:val="decimal" w:pos="460"/>
              </w:tabs>
              <w:rPr>
                <w:sz w:val="16"/>
                <w:szCs w:val="16"/>
              </w:rPr>
            </w:pPr>
            <w:r w:rsidRPr="00A551F2">
              <w:rPr>
                <w:sz w:val="16"/>
                <w:szCs w:val="16"/>
              </w:rPr>
              <w:t>438,0</w:t>
            </w:r>
          </w:p>
        </w:tc>
      </w:tr>
      <w:tr w:rsidRPr="00A50489" w:rsidR="00A551F2" w:rsidTr="00445232" w14:paraId="141041C1" w14:textId="77777777">
        <w:tc>
          <w:tcPr>
            <w:tcW w:w="1070" w:type="dxa"/>
          </w:tcPr>
          <w:p w:rsidRPr="00A50489" w:rsidR="00A551F2" w:rsidP="00445232" w:rsidRDefault="00A551F2" w14:paraId="321205A6" w14:textId="77777777">
            <w:pPr>
              <w:rPr>
                <w:i/>
                <w:iCs/>
                <w:sz w:val="16"/>
                <w:szCs w:val="16"/>
              </w:rPr>
            </w:pPr>
            <w:r w:rsidRPr="00A50489">
              <w:rPr>
                <w:i/>
                <w:iCs/>
                <w:sz w:val="16"/>
                <w:szCs w:val="16"/>
              </w:rPr>
              <w:t>Melkvee</w:t>
            </w:r>
          </w:p>
        </w:tc>
        <w:tc>
          <w:tcPr>
            <w:tcW w:w="1023" w:type="dxa"/>
          </w:tcPr>
          <w:p w:rsidRPr="00A50489" w:rsidR="00A551F2" w:rsidP="00445232" w:rsidRDefault="00A551F2" w14:paraId="786F7BDB" w14:textId="77777777">
            <w:pPr>
              <w:tabs>
                <w:tab w:val="decimal" w:pos="390"/>
              </w:tabs>
              <w:rPr>
                <w:i/>
                <w:iCs/>
                <w:sz w:val="16"/>
                <w:szCs w:val="16"/>
              </w:rPr>
            </w:pPr>
            <w:r w:rsidRPr="00A50489">
              <w:rPr>
                <w:i/>
                <w:iCs/>
                <w:sz w:val="16"/>
                <w:szCs w:val="16"/>
              </w:rPr>
              <w:t>71,8</w:t>
            </w:r>
          </w:p>
        </w:tc>
        <w:tc>
          <w:tcPr>
            <w:tcW w:w="1218" w:type="dxa"/>
          </w:tcPr>
          <w:p w:rsidRPr="00A551F2" w:rsidR="00A551F2" w:rsidP="00445232" w:rsidRDefault="00A551F2" w14:paraId="67EF767E" w14:textId="6A3ACB3B">
            <w:pPr>
              <w:tabs>
                <w:tab w:val="decimal" w:pos="425"/>
              </w:tabs>
              <w:rPr>
                <w:i/>
                <w:iCs/>
                <w:sz w:val="16"/>
                <w:szCs w:val="16"/>
              </w:rPr>
            </w:pPr>
            <w:r w:rsidRPr="00A551F2">
              <w:rPr>
                <w:i/>
                <w:iCs/>
                <w:sz w:val="16"/>
                <w:szCs w:val="16"/>
              </w:rPr>
              <w:t>73,3</w:t>
            </w:r>
          </w:p>
        </w:tc>
        <w:tc>
          <w:tcPr>
            <w:tcW w:w="273" w:type="dxa"/>
          </w:tcPr>
          <w:p w:rsidRPr="00A551F2" w:rsidR="00A551F2" w:rsidP="00445232" w:rsidRDefault="00A551F2" w14:paraId="68A1BC61" w14:textId="77777777">
            <w:pPr>
              <w:rPr>
                <w:i/>
                <w:iCs/>
                <w:sz w:val="16"/>
                <w:szCs w:val="16"/>
              </w:rPr>
            </w:pPr>
          </w:p>
        </w:tc>
        <w:tc>
          <w:tcPr>
            <w:tcW w:w="1050" w:type="dxa"/>
          </w:tcPr>
          <w:p w:rsidRPr="00A551F2" w:rsidR="00A551F2" w:rsidP="00445232" w:rsidRDefault="00A551F2" w14:paraId="1FC4B1B4" w14:textId="77777777">
            <w:pPr>
              <w:tabs>
                <w:tab w:val="decimal" w:pos="419"/>
              </w:tabs>
              <w:rPr>
                <w:i/>
                <w:iCs/>
                <w:sz w:val="16"/>
                <w:szCs w:val="16"/>
              </w:rPr>
            </w:pPr>
            <w:r w:rsidRPr="00A551F2">
              <w:rPr>
                <w:i/>
                <w:iCs/>
                <w:sz w:val="16"/>
                <w:szCs w:val="16"/>
              </w:rPr>
              <w:t>267,8</w:t>
            </w:r>
          </w:p>
        </w:tc>
        <w:tc>
          <w:tcPr>
            <w:tcW w:w="1162" w:type="dxa"/>
          </w:tcPr>
          <w:p w:rsidRPr="00A551F2" w:rsidR="00A551F2" w:rsidP="00445232" w:rsidRDefault="00A551F2" w14:paraId="57E1FF69" w14:textId="6381CA87">
            <w:pPr>
              <w:tabs>
                <w:tab w:val="decimal" w:pos="460"/>
              </w:tabs>
              <w:rPr>
                <w:i/>
                <w:iCs/>
                <w:sz w:val="16"/>
                <w:szCs w:val="16"/>
              </w:rPr>
            </w:pPr>
            <w:r w:rsidRPr="00A551F2">
              <w:rPr>
                <w:i/>
                <w:iCs/>
                <w:sz w:val="16"/>
                <w:szCs w:val="16"/>
              </w:rPr>
              <w:t>264,8</w:t>
            </w:r>
          </w:p>
        </w:tc>
      </w:tr>
      <w:tr w:rsidRPr="00A50489" w:rsidR="00A551F2" w:rsidTr="00445232" w14:paraId="2904A615" w14:textId="77777777">
        <w:tc>
          <w:tcPr>
            <w:tcW w:w="1070" w:type="dxa"/>
          </w:tcPr>
          <w:p w:rsidRPr="00A50489" w:rsidR="00A551F2" w:rsidP="00445232" w:rsidRDefault="00A551F2" w14:paraId="4EB73E16" w14:textId="77777777">
            <w:pPr>
              <w:rPr>
                <w:i/>
                <w:iCs/>
                <w:sz w:val="16"/>
                <w:szCs w:val="16"/>
              </w:rPr>
            </w:pPr>
            <w:r w:rsidRPr="00A50489">
              <w:rPr>
                <w:i/>
                <w:iCs/>
                <w:sz w:val="16"/>
                <w:szCs w:val="16"/>
              </w:rPr>
              <w:t>Varkens</w:t>
            </w:r>
          </w:p>
        </w:tc>
        <w:tc>
          <w:tcPr>
            <w:tcW w:w="1023" w:type="dxa"/>
          </w:tcPr>
          <w:p w:rsidRPr="00A50489" w:rsidR="00A551F2" w:rsidP="00445232" w:rsidRDefault="00A551F2" w14:paraId="66D5BBF0" w14:textId="77777777">
            <w:pPr>
              <w:tabs>
                <w:tab w:val="decimal" w:pos="390"/>
              </w:tabs>
              <w:rPr>
                <w:i/>
                <w:iCs/>
                <w:sz w:val="16"/>
                <w:szCs w:val="16"/>
              </w:rPr>
            </w:pPr>
            <w:r w:rsidRPr="00A50489">
              <w:rPr>
                <w:i/>
                <w:iCs/>
                <w:sz w:val="16"/>
                <w:szCs w:val="16"/>
              </w:rPr>
              <w:t>27,8</w:t>
            </w:r>
          </w:p>
        </w:tc>
        <w:tc>
          <w:tcPr>
            <w:tcW w:w="1218" w:type="dxa"/>
          </w:tcPr>
          <w:p w:rsidRPr="00A551F2" w:rsidR="00A551F2" w:rsidP="00445232" w:rsidRDefault="00A551F2" w14:paraId="3097E03F" w14:textId="2334136B">
            <w:pPr>
              <w:tabs>
                <w:tab w:val="decimal" w:pos="425"/>
              </w:tabs>
              <w:rPr>
                <w:i/>
                <w:iCs/>
                <w:sz w:val="16"/>
                <w:szCs w:val="16"/>
              </w:rPr>
            </w:pPr>
            <w:r w:rsidRPr="00A551F2">
              <w:rPr>
                <w:i/>
                <w:iCs/>
                <w:sz w:val="16"/>
                <w:szCs w:val="16"/>
              </w:rPr>
              <w:t>29,7</w:t>
            </w:r>
          </w:p>
        </w:tc>
        <w:tc>
          <w:tcPr>
            <w:tcW w:w="273" w:type="dxa"/>
          </w:tcPr>
          <w:p w:rsidRPr="00A551F2" w:rsidR="00A551F2" w:rsidP="00445232" w:rsidRDefault="00A551F2" w14:paraId="4D82A69B" w14:textId="77777777">
            <w:pPr>
              <w:rPr>
                <w:i/>
                <w:iCs/>
                <w:sz w:val="16"/>
                <w:szCs w:val="16"/>
              </w:rPr>
            </w:pPr>
          </w:p>
        </w:tc>
        <w:tc>
          <w:tcPr>
            <w:tcW w:w="1050" w:type="dxa"/>
          </w:tcPr>
          <w:p w:rsidRPr="00A551F2" w:rsidR="00A551F2" w:rsidP="00445232" w:rsidRDefault="00A551F2" w14:paraId="283E5A5B" w14:textId="77777777">
            <w:pPr>
              <w:tabs>
                <w:tab w:val="decimal" w:pos="419"/>
              </w:tabs>
              <w:rPr>
                <w:i/>
                <w:iCs/>
                <w:sz w:val="16"/>
                <w:szCs w:val="16"/>
              </w:rPr>
            </w:pPr>
            <w:r w:rsidRPr="00A551F2">
              <w:rPr>
                <w:i/>
                <w:iCs/>
                <w:sz w:val="16"/>
                <w:szCs w:val="16"/>
              </w:rPr>
              <w:t>70,3</w:t>
            </w:r>
          </w:p>
        </w:tc>
        <w:tc>
          <w:tcPr>
            <w:tcW w:w="1162" w:type="dxa"/>
          </w:tcPr>
          <w:p w:rsidRPr="00A551F2" w:rsidR="00A551F2" w:rsidP="00445232" w:rsidRDefault="00A551F2" w14:paraId="7B1D2AEC" w14:textId="6C2A472E">
            <w:pPr>
              <w:tabs>
                <w:tab w:val="decimal" w:pos="460"/>
              </w:tabs>
              <w:rPr>
                <w:i/>
                <w:iCs/>
                <w:sz w:val="16"/>
                <w:szCs w:val="16"/>
              </w:rPr>
            </w:pPr>
            <w:r w:rsidRPr="00A551F2">
              <w:rPr>
                <w:i/>
                <w:iCs/>
                <w:sz w:val="16"/>
                <w:szCs w:val="16"/>
              </w:rPr>
              <w:t>73,8</w:t>
            </w:r>
          </w:p>
        </w:tc>
      </w:tr>
      <w:tr w:rsidRPr="00A50489" w:rsidR="00A551F2" w:rsidTr="00445232" w14:paraId="12C67FF2" w14:textId="77777777">
        <w:tc>
          <w:tcPr>
            <w:tcW w:w="1070" w:type="dxa"/>
          </w:tcPr>
          <w:p w:rsidRPr="00A50489" w:rsidR="00A551F2" w:rsidP="00445232" w:rsidRDefault="00A551F2" w14:paraId="32644155" w14:textId="77777777">
            <w:pPr>
              <w:rPr>
                <w:i/>
                <w:iCs/>
                <w:sz w:val="16"/>
                <w:szCs w:val="16"/>
                <w:vertAlign w:val="superscript"/>
              </w:rPr>
            </w:pPr>
            <w:r w:rsidRPr="00A50489">
              <w:rPr>
                <w:i/>
                <w:iCs/>
                <w:sz w:val="16"/>
                <w:szCs w:val="16"/>
              </w:rPr>
              <w:t>Pluimvee</w:t>
            </w:r>
            <w:r w:rsidRPr="00A50489">
              <w:rPr>
                <w:i/>
                <w:iCs/>
                <w:sz w:val="16"/>
                <w:szCs w:val="16"/>
                <w:vertAlign w:val="superscript"/>
              </w:rPr>
              <w:t>1</w:t>
            </w:r>
          </w:p>
        </w:tc>
        <w:tc>
          <w:tcPr>
            <w:tcW w:w="1023" w:type="dxa"/>
          </w:tcPr>
          <w:p w:rsidRPr="00A50489" w:rsidR="00A551F2" w:rsidP="00445232" w:rsidRDefault="00A551F2" w14:paraId="4B2B1B37" w14:textId="77777777">
            <w:pPr>
              <w:tabs>
                <w:tab w:val="decimal" w:pos="390"/>
              </w:tabs>
              <w:rPr>
                <w:i/>
                <w:iCs/>
                <w:sz w:val="16"/>
                <w:szCs w:val="16"/>
              </w:rPr>
            </w:pPr>
            <w:r w:rsidRPr="00A50489">
              <w:rPr>
                <w:i/>
                <w:iCs/>
                <w:sz w:val="16"/>
                <w:szCs w:val="16"/>
              </w:rPr>
              <w:t>20,3</w:t>
            </w:r>
          </w:p>
        </w:tc>
        <w:tc>
          <w:tcPr>
            <w:tcW w:w="1218" w:type="dxa"/>
          </w:tcPr>
          <w:p w:rsidRPr="00A551F2" w:rsidR="00A551F2" w:rsidP="00445232" w:rsidRDefault="00A551F2" w14:paraId="4FBFF5CE" w14:textId="2F08D9FA">
            <w:pPr>
              <w:tabs>
                <w:tab w:val="decimal" w:pos="425"/>
              </w:tabs>
              <w:rPr>
                <w:i/>
                <w:iCs/>
                <w:sz w:val="16"/>
                <w:szCs w:val="16"/>
              </w:rPr>
            </w:pPr>
            <w:r w:rsidRPr="00A551F2">
              <w:rPr>
                <w:i/>
                <w:iCs/>
                <w:sz w:val="16"/>
                <w:szCs w:val="16"/>
              </w:rPr>
              <w:t>19,8</w:t>
            </w:r>
          </w:p>
        </w:tc>
        <w:tc>
          <w:tcPr>
            <w:tcW w:w="273" w:type="dxa"/>
          </w:tcPr>
          <w:p w:rsidRPr="00A551F2" w:rsidR="00A551F2" w:rsidP="00445232" w:rsidRDefault="00A551F2" w14:paraId="1245BE19" w14:textId="77777777">
            <w:pPr>
              <w:rPr>
                <w:i/>
                <w:iCs/>
                <w:sz w:val="16"/>
                <w:szCs w:val="16"/>
              </w:rPr>
            </w:pPr>
          </w:p>
        </w:tc>
        <w:tc>
          <w:tcPr>
            <w:tcW w:w="1050" w:type="dxa"/>
          </w:tcPr>
          <w:p w:rsidRPr="00A551F2" w:rsidR="00A551F2" w:rsidP="00445232" w:rsidRDefault="00A551F2" w14:paraId="189A8BE4" w14:textId="77777777">
            <w:pPr>
              <w:tabs>
                <w:tab w:val="decimal" w:pos="419"/>
              </w:tabs>
              <w:rPr>
                <w:i/>
                <w:iCs/>
                <w:sz w:val="16"/>
                <w:szCs w:val="16"/>
              </w:rPr>
            </w:pPr>
            <w:r w:rsidRPr="00A551F2">
              <w:rPr>
                <w:i/>
                <w:iCs/>
                <w:sz w:val="16"/>
                <w:szCs w:val="16"/>
              </w:rPr>
              <w:t>48,4</w:t>
            </w:r>
          </w:p>
        </w:tc>
        <w:tc>
          <w:tcPr>
            <w:tcW w:w="1162" w:type="dxa"/>
          </w:tcPr>
          <w:p w:rsidRPr="00A551F2" w:rsidR="00A551F2" w:rsidP="00445232" w:rsidRDefault="00A551F2" w14:paraId="7BF57640" w14:textId="44D248FC">
            <w:pPr>
              <w:tabs>
                <w:tab w:val="decimal" w:pos="460"/>
              </w:tabs>
              <w:rPr>
                <w:i/>
                <w:iCs/>
                <w:sz w:val="16"/>
                <w:szCs w:val="16"/>
              </w:rPr>
            </w:pPr>
            <w:r w:rsidRPr="00A551F2">
              <w:rPr>
                <w:i/>
                <w:iCs/>
                <w:sz w:val="16"/>
                <w:szCs w:val="16"/>
              </w:rPr>
              <w:t>46,8</w:t>
            </w:r>
          </w:p>
        </w:tc>
      </w:tr>
      <w:tr w:rsidRPr="00A50489" w:rsidR="00A551F2" w:rsidTr="00445232" w14:paraId="781DED4F" w14:textId="77777777">
        <w:tc>
          <w:tcPr>
            <w:tcW w:w="1070" w:type="dxa"/>
          </w:tcPr>
          <w:p w:rsidRPr="00A50489" w:rsidR="00A551F2" w:rsidP="00445232" w:rsidRDefault="00A551F2" w14:paraId="642722C8" w14:textId="77777777">
            <w:pPr>
              <w:rPr>
                <w:i/>
                <w:iCs/>
                <w:sz w:val="16"/>
                <w:szCs w:val="16"/>
                <w:vertAlign w:val="superscript"/>
              </w:rPr>
            </w:pPr>
            <w:r w:rsidRPr="00A50489">
              <w:rPr>
                <w:i/>
                <w:iCs/>
                <w:sz w:val="16"/>
                <w:szCs w:val="16"/>
              </w:rPr>
              <w:t>Overig</w:t>
            </w:r>
            <w:r w:rsidRPr="00A50489">
              <w:rPr>
                <w:i/>
                <w:iCs/>
                <w:sz w:val="16"/>
                <w:szCs w:val="16"/>
                <w:vertAlign w:val="superscript"/>
              </w:rPr>
              <w:t>2</w:t>
            </w:r>
          </w:p>
        </w:tc>
        <w:tc>
          <w:tcPr>
            <w:tcW w:w="1023" w:type="dxa"/>
          </w:tcPr>
          <w:p w:rsidRPr="00A50489" w:rsidR="00A551F2" w:rsidP="00445232" w:rsidRDefault="00A551F2" w14:paraId="4C6E3184" w14:textId="77777777">
            <w:pPr>
              <w:tabs>
                <w:tab w:val="decimal" w:pos="390"/>
              </w:tabs>
              <w:rPr>
                <w:i/>
                <w:iCs/>
                <w:sz w:val="16"/>
                <w:szCs w:val="16"/>
              </w:rPr>
            </w:pPr>
            <w:r w:rsidRPr="00A50489">
              <w:rPr>
                <w:i/>
                <w:iCs/>
                <w:sz w:val="16"/>
                <w:szCs w:val="16"/>
              </w:rPr>
              <w:t>15,1</w:t>
            </w:r>
          </w:p>
        </w:tc>
        <w:tc>
          <w:tcPr>
            <w:tcW w:w="1218" w:type="dxa"/>
          </w:tcPr>
          <w:p w:rsidRPr="00A551F2" w:rsidR="00A551F2" w:rsidP="00445232" w:rsidRDefault="00A551F2" w14:paraId="3A6E6D25" w14:textId="5E34A391">
            <w:pPr>
              <w:tabs>
                <w:tab w:val="decimal" w:pos="425"/>
              </w:tabs>
              <w:rPr>
                <w:i/>
                <w:iCs/>
                <w:sz w:val="16"/>
                <w:szCs w:val="16"/>
              </w:rPr>
            </w:pPr>
            <w:r w:rsidRPr="00A551F2">
              <w:rPr>
                <w:i/>
                <w:iCs/>
                <w:sz w:val="16"/>
                <w:szCs w:val="16"/>
              </w:rPr>
              <w:t>15,8</w:t>
            </w:r>
          </w:p>
        </w:tc>
        <w:tc>
          <w:tcPr>
            <w:tcW w:w="273" w:type="dxa"/>
          </w:tcPr>
          <w:p w:rsidRPr="00A551F2" w:rsidR="00A551F2" w:rsidP="00445232" w:rsidRDefault="00A551F2" w14:paraId="395DF644" w14:textId="77777777">
            <w:pPr>
              <w:rPr>
                <w:i/>
                <w:iCs/>
                <w:sz w:val="16"/>
                <w:szCs w:val="16"/>
              </w:rPr>
            </w:pPr>
          </w:p>
        </w:tc>
        <w:tc>
          <w:tcPr>
            <w:tcW w:w="1050" w:type="dxa"/>
          </w:tcPr>
          <w:p w:rsidRPr="00A551F2" w:rsidR="00A551F2" w:rsidP="00445232" w:rsidRDefault="00A551F2" w14:paraId="64BD4FAA" w14:textId="77777777">
            <w:pPr>
              <w:tabs>
                <w:tab w:val="decimal" w:pos="419"/>
              </w:tabs>
              <w:rPr>
                <w:i/>
                <w:iCs/>
                <w:sz w:val="16"/>
                <w:szCs w:val="16"/>
              </w:rPr>
            </w:pPr>
            <w:r w:rsidRPr="00A551F2">
              <w:rPr>
                <w:i/>
                <w:iCs/>
                <w:sz w:val="16"/>
                <w:szCs w:val="16"/>
              </w:rPr>
              <w:t>53,5</w:t>
            </w:r>
          </w:p>
        </w:tc>
        <w:tc>
          <w:tcPr>
            <w:tcW w:w="1162" w:type="dxa"/>
          </w:tcPr>
          <w:p w:rsidRPr="00A551F2" w:rsidR="00A551F2" w:rsidP="00445232" w:rsidRDefault="00A551F2" w14:paraId="4DA6191B" w14:textId="730C71F7">
            <w:pPr>
              <w:tabs>
                <w:tab w:val="decimal" w:pos="460"/>
              </w:tabs>
              <w:rPr>
                <w:i/>
                <w:iCs/>
                <w:sz w:val="16"/>
                <w:szCs w:val="16"/>
              </w:rPr>
            </w:pPr>
            <w:r w:rsidRPr="00A551F2">
              <w:rPr>
                <w:i/>
                <w:iCs/>
                <w:sz w:val="16"/>
                <w:szCs w:val="16"/>
              </w:rPr>
              <w:t>52,8</w:t>
            </w:r>
          </w:p>
        </w:tc>
      </w:tr>
    </w:tbl>
    <w:p w:rsidR="00A551F2" w:rsidP="00A551F2" w:rsidRDefault="00A551F2" w14:paraId="2F25DAFF" w14:textId="77777777">
      <w:pPr>
        <w:ind w:left="709" w:hanging="709"/>
        <w:rPr>
          <w:i/>
          <w:iCs/>
          <w:sz w:val="16"/>
          <w:szCs w:val="16"/>
        </w:rPr>
      </w:pPr>
      <w:r>
        <w:rPr>
          <w:sz w:val="16"/>
          <w:szCs w:val="16"/>
        </w:rPr>
        <w:tab/>
      </w:r>
      <w:r>
        <w:rPr>
          <w:i/>
          <w:iCs/>
          <w:sz w:val="16"/>
          <w:szCs w:val="16"/>
        </w:rPr>
        <w:t>N.B. Door afrondingen kan de som van de cijfers afwijken van het totaal.</w:t>
      </w:r>
    </w:p>
    <w:p w:rsidR="00A551F2" w:rsidP="00A551F2" w:rsidRDefault="00A551F2" w14:paraId="5A4F46AC" w14:textId="77777777">
      <w:pPr>
        <w:ind w:left="709" w:hanging="709"/>
        <w:rPr>
          <w:i/>
          <w:iCs/>
          <w:sz w:val="16"/>
          <w:szCs w:val="16"/>
        </w:rPr>
      </w:pPr>
    </w:p>
    <w:p w:rsidRPr="00A72E45" w:rsidR="00A551F2" w:rsidP="00A551F2" w:rsidRDefault="00A551F2" w14:paraId="2E570CC0" w14:textId="77777777">
      <w:pPr>
        <w:ind w:left="852" w:hanging="284"/>
        <w:rPr>
          <w:sz w:val="16"/>
          <w:szCs w:val="16"/>
        </w:rPr>
      </w:pPr>
      <w:r>
        <w:rPr>
          <w:sz w:val="16"/>
          <w:szCs w:val="16"/>
          <w:vertAlign w:val="superscript"/>
        </w:rPr>
        <w:t>1</w:t>
      </w:r>
      <w:r>
        <w:rPr>
          <w:sz w:val="16"/>
          <w:szCs w:val="16"/>
        </w:rPr>
        <w:t>)</w:t>
      </w:r>
      <w:r>
        <w:rPr>
          <w:sz w:val="16"/>
          <w:szCs w:val="16"/>
        </w:rPr>
        <w:tab/>
        <w:t>Het sectoraal plafond voor de pluimveehouderij heeft alleen betrekking op de mestproductie van die diersoorten waarop het stelsel van pluimveerechten van toepassing is, te weten kippen en kalkoenen.</w:t>
      </w:r>
    </w:p>
    <w:p w:rsidRPr="00D71BDD" w:rsidR="00A551F2" w:rsidP="00A551F2" w:rsidRDefault="00A551F2" w14:paraId="5C90FA8A" w14:textId="315FF35E">
      <w:pPr>
        <w:ind w:left="852" w:hanging="284"/>
        <w:rPr>
          <w:sz w:val="16"/>
          <w:szCs w:val="16"/>
        </w:rPr>
      </w:pPr>
      <w:r>
        <w:rPr>
          <w:sz w:val="16"/>
          <w:szCs w:val="16"/>
          <w:vertAlign w:val="superscript"/>
        </w:rPr>
        <w:t>2</w:t>
      </w:r>
      <w:r>
        <w:rPr>
          <w:sz w:val="16"/>
          <w:szCs w:val="16"/>
        </w:rPr>
        <w:t xml:space="preserve">) </w:t>
      </w:r>
      <w:r>
        <w:rPr>
          <w:sz w:val="16"/>
          <w:szCs w:val="16"/>
        </w:rPr>
        <w:tab/>
      </w:r>
      <w:r w:rsidRPr="00D71BDD">
        <w:rPr>
          <w:sz w:val="16"/>
          <w:szCs w:val="16"/>
        </w:rPr>
        <w:t>Voor ‘overig’ is in de M</w:t>
      </w:r>
      <w:r w:rsidR="0088211B">
        <w:rPr>
          <w:sz w:val="16"/>
          <w:szCs w:val="16"/>
        </w:rPr>
        <w:t>eststoffenwet</w:t>
      </w:r>
      <w:r w:rsidRPr="00D71BDD">
        <w:rPr>
          <w:sz w:val="16"/>
          <w:szCs w:val="16"/>
        </w:rPr>
        <w:t xml:space="preserve"> geen </w:t>
      </w:r>
      <w:r>
        <w:rPr>
          <w:sz w:val="16"/>
          <w:szCs w:val="16"/>
        </w:rPr>
        <w:t xml:space="preserve">sectoraal </w:t>
      </w:r>
      <w:r w:rsidRPr="00D71BDD">
        <w:rPr>
          <w:sz w:val="16"/>
          <w:szCs w:val="16"/>
        </w:rPr>
        <w:t xml:space="preserve">plafond </w:t>
      </w:r>
      <w:r>
        <w:rPr>
          <w:sz w:val="16"/>
          <w:szCs w:val="16"/>
        </w:rPr>
        <w:t>opgenomen. Het hier vermelde plafond i</w:t>
      </w:r>
      <w:r w:rsidRPr="00D71BDD">
        <w:rPr>
          <w:sz w:val="16"/>
          <w:szCs w:val="16"/>
        </w:rPr>
        <w:t xml:space="preserve">s </w:t>
      </w:r>
      <w:r>
        <w:rPr>
          <w:sz w:val="16"/>
          <w:szCs w:val="16"/>
        </w:rPr>
        <w:t xml:space="preserve">de voor ‘overig’ beschikbare mestproductieruimte die is </w:t>
      </w:r>
      <w:r w:rsidRPr="00D71BDD">
        <w:rPr>
          <w:sz w:val="16"/>
          <w:szCs w:val="16"/>
        </w:rPr>
        <w:t xml:space="preserve">afgeleid van </w:t>
      </w:r>
      <w:r>
        <w:rPr>
          <w:sz w:val="16"/>
          <w:szCs w:val="16"/>
        </w:rPr>
        <w:t xml:space="preserve">het </w:t>
      </w:r>
      <w:r w:rsidRPr="00D71BDD">
        <w:rPr>
          <w:sz w:val="16"/>
          <w:szCs w:val="16"/>
        </w:rPr>
        <w:t xml:space="preserve">nationale </w:t>
      </w:r>
      <w:r>
        <w:rPr>
          <w:sz w:val="16"/>
          <w:szCs w:val="16"/>
        </w:rPr>
        <w:t>plafond en de plafonds voor melkvee, varkens en pluimvee.</w:t>
      </w:r>
    </w:p>
    <w:p w:rsidR="00A551F2" w:rsidP="00A551F2" w:rsidRDefault="00A551F2" w14:paraId="40E86357" w14:textId="77777777"/>
    <w:p w:rsidR="00A551F2" w:rsidP="00A551F2" w:rsidRDefault="00A551F2" w14:paraId="2E37C6F7" w14:textId="2E8E448F">
      <w:r w:rsidRPr="006A5E9B">
        <w:t xml:space="preserve">De onzekerheid in de prognose </w:t>
      </w:r>
      <w:r>
        <w:t xml:space="preserve">van het CBS </w:t>
      </w:r>
      <w:r w:rsidRPr="006A5E9B">
        <w:t>is relatief groot</w:t>
      </w:r>
      <w:r>
        <w:t xml:space="preserve">, onder meer </w:t>
      </w:r>
      <w:r w:rsidR="0088211B">
        <w:t xml:space="preserve">omdat </w:t>
      </w:r>
      <w:r>
        <w:t>sommige gegevens</w:t>
      </w:r>
      <w:r w:rsidR="00D03CB7">
        <w:t>,</w:t>
      </w:r>
      <w:r>
        <w:t xml:space="preserve"> </w:t>
      </w:r>
      <w:r w:rsidR="0088211B">
        <w:t xml:space="preserve">zoals </w:t>
      </w:r>
      <w:r w:rsidR="009E7E61">
        <w:t xml:space="preserve">de </w:t>
      </w:r>
      <w:r w:rsidR="0088211B">
        <w:t>samenstelling van het ruwvoer</w:t>
      </w:r>
      <w:r w:rsidR="00D03CB7">
        <w:t>,</w:t>
      </w:r>
      <w:r w:rsidR="0088211B">
        <w:t xml:space="preserve"> </w:t>
      </w:r>
      <w:r>
        <w:t>pas later in het jaar beschikbaar komen en het CBS voor zijn berekening daarom is uitgegaan van een schatting. Een andere</w:t>
      </w:r>
      <w:r w:rsidR="00A324A3">
        <w:t>,</w:t>
      </w:r>
      <w:r>
        <w:t xml:space="preserve"> belangrijke factor </w:t>
      </w:r>
      <w:r w:rsidR="0088211B">
        <w:t xml:space="preserve">voor de onzekerheid </w:t>
      </w:r>
      <w:r>
        <w:t>i</w:t>
      </w:r>
      <w:r w:rsidR="007A3E52">
        <w:t>n</w:t>
      </w:r>
      <w:r w:rsidR="0088211B">
        <w:t xml:space="preserve"> de prognose i</w:t>
      </w:r>
      <w:r>
        <w:t>s dat het</w:t>
      </w:r>
      <w:r w:rsidRPr="006A5E9B">
        <w:t xml:space="preserve"> CBS zich </w:t>
      </w:r>
      <w:r w:rsidR="00267886">
        <w:t xml:space="preserve">in de eerste kwartaalrapportage 2026 voor </w:t>
      </w:r>
      <w:r w:rsidR="0088211B">
        <w:t xml:space="preserve">het aantal stuks </w:t>
      </w:r>
      <w:r>
        <w:t xml:space="preserve">melkvee baseert </w:t>
      </w:r>
      <w:r w:rsidRPr="006A5E9B">
        <w:t>op</w:t>
      </w:r>
      <w:r>
        <w:t xml:space="preserve"> </w:t>
      </w:r>
      <w:r w:rsidR="00AC7BD1">
        <w:t>identificatie en registratie (</w:t>
      </w:r>
      <w:r w:rsidRPr="006A5E9B">
        <w:t>I&amp;R</w:t>
      </w:r>
      <w:r w:rsidR="00AC7BD1">
        <w:t>)</w:t>
      </w:r>
      <w:r w:rsidRPr="006A5E9B">
        <w:t>-gegevens</w:t>
      </w:r>
      <w:r w:rsidR="007A3E52">
        <w:t xml:space="preserve"> aan</w:t>
      </w:r>
      <w:r w:rsidRPr="006A5E9B">
        <w:t xml:space="preserve"> </w:t>
      </w:r>
      <w:r w:rsidR="007A3E52">
        <w:t xml:space="preserve">het </w:t>
      </w:r>
      <w:r w:rsidRPr="006A5E9B">
        <w:t xml:space="preserve">einde </w:t>
      </w:r>
      <w:r w:rsidR="007A3E52">
        <w:t xml:space="preserve">van het </w:t>
      </w:r>
      <w:r w:rsidRPr="006A5E9B">
        <w:t>eerste kwartaal 202</w:t>
      </w:r>
      <w:r>
        <w:t xml:space="preserve">6, terwijl voor de andere </w:t>
      </w:r>
      <w:r w:rsidRPr="006A5E9B">
        <w:t xml:space="preserve">landbouwhuisdieren </w:t>
      </w:r>
      <w:r w:rsidR="0088211B">
        <w:t xml:space="preserve">– waaronder varkens - </w:t>
      </w:r>
      <w:r>
        <w:t>wordt uitgegaan van</w:t>
      </w:r>
      <w:r w:rsidRPr="006A5E9B">
        <w:t xml:space="preserve"> de</w:t>
      </w:r>
      <w:r>
        <w:t xml:space="preserve"> gegevens uit </w:t>
      </w:r>
      <w:r w:rsidR="0088211B">
        <w:t>L</w:t>
      </w:r>
      <w:r w:rsidRPr="006A5E9B">
        <w:t xml:space="preserve">andbouwtelling </w:t>
      </w:r>
      <w:r w:rsidR="0088211B">
        <w:t>op</w:t>
      </w:r>
      <w:r>
        <w:t xml:space="preserve"> 1 april 2025 </w:t>
      </w:r>
      <w:r w:rsidR="0088211B">
        <w:t xml:space="preserve">of op </w:t>
      </w:r>
      <w:r>
        <w:t xml:space="preserve">1 december 2025 </w:t>
      </w:r>
      <w:r w:rsidR="0088211B">
        <w:t>in het geval van pluimvee.</w:t>
      </w:r>
      <w:r w:rsidR="00267886">
        <w:t xml:space="preserve"> Met name voor varkens komt hierdoor het effect van deelname aan de beëindigingsregelingen </w:t>
      </w:r>
      <w:proofErr w:type="spellStart"/>
      <w:r w:rsidR="00267886">
        <w:t>Lbv</w:t>
      </w:r>
      <w:proofErr w:type="spellEnd"/>
      <w:r w:rsidR="00267886">
        <w:t xml:space="preserve"> en </w:t>
      </w:r>
      <w:proofErr w:type="spellStart"/>
      <w:r w:rsidR="00267886">
        <w:t>Lbv</w:t>
      </w:r>
      <w:proofErr w:type="spellEnd"/>
      <w:r w:rsidR="00267886">
        <w:t>-plus niet of nauwelijks tot uiting in deze kwartaalrapportage.</w:t>
      </w:r>
    </w:p>
    <w:p w:rsidR="00A551F2" w:rsidP="00A551F2" w:rsidRDefault="00A551F2" w14:paraId="2CD8BAB6" w14:textId="77777777"/>
    <w:p w:rsidR="00A551F2" w:rsidP="00A551F2" w:rsidRDefault="0088211B" w14:paraId="50B6C7D4" w14:textId="6C25C254">
      <w:r>
        <w:t>H</w:t>
      </w:r>
      <w:r w:rsidR="00A551F2">
        <w:t xml:space="preserve">et kabinet </w:t>
      </w:r>
      <w:r>
        <w:t xml:space="preserve">zal </w:t>
      </w:r>
      <w:r w:rsidR="00A551F2">
        <w:t xml:space="preserve">de uitkomsten van de eerste kwartaalrapportage 2026 betrekken bij de keuzes die in de komende periode in de Taskforce Landbouw, Natuur en Stikstof gemaakt zullen worden om uitwerking te geven aan de afspraken uit het Coalitieakkoord omtrent afroming bij het overgaan van dierrechten buiten familieverband. Ik zal u nog voor de zomer </w:t>
      </w:r>
      <w:r w:rsidR="00A324A3">
        <w:t>daarover verder informeren.</w:t>
      </w:r>
    </w:p>
    <w:p w:rsidR="00DD2802" w:rsidP="00A551F2" w:rsidRDefault="00DD2802" w14:paraId="42657362" w14:textId="77777777"/>
    <w:p w:rsidR="00A551F2" w:rsidP="00A551F2" w:rsidRDefault="00A551F2" w14:paraId="64994275" w14:textId="77777777"/>
    <w:p w:rsidR="00DD2802" w:rsidP="00A551F2" w:rsidRDefault="00DD2802" w14:paraId="69938C5D" w14:textId="77777777"/>
    <w:p w:rsidRPr="00EC58D9" w:rsidR="00A551F2" w:rsidP="00A551F2" w:rsidRDefault="00A551F2" w14:paraId="184202BC" w14:textId="77777777"/>
    <w:p w:rsidRPr="006A15A5" w:rsidR="00A551F2" w:rsidP="00A551F2" w:rsidRDefault="00A551F2" w14:paraId="376FB400" w14:textId="77777777">
      <w:pPr>
        <w:rPr>
          <w:szCs w:val="18"/>
        </w:rPr>
      </w:pPr>
      <w:proofErr w:type="spellStart"/>
      <w:r>
        <w:t>Jaimi</w:t>
      </w:r>
      <w:proofErr w:type="spellEnd"/>
      <w:r>
        <w:t xml:space="preserve"> van Essen</w:t>
      </w:r>
    </w:p>
    <w:p w:rsidRPr="00144B73" w:rsidR="00A551F2" w:rsidP="00A551F2" w:rsidRDefault="00A551F2" w14:paraId="53592556" w14:textId="77777777">
      <w:pPr>
        <w:rPr>
          <w:i/>
          <w:iCs/>
        </w:rPr>
      </w:pPr>
      <w:r w:rsidRPr="00EC58D9">
        <w:t xml:space="preserve">Minister van </w:t>
      </w:r>
      <w:r>
        <w:rPr>
          <w:rFonts w:cs="Calibri"/>
          <w:szCs w:val="18"/>
        </w:rPr>
        <w:t>Landbouw, Visserij, Voedselzekerheid en Natuur</w:t>
      </w:r>
    </w:p>
    <w:sectPr w:rsidRPr="00144B73" w:rsidR="00A551F2"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97A2" w14:textId="77777777" w:rsidR="00D76DC8" w:rsidRDefault="00D76DC8">
      <w:r>
        <w:separator/>
      </w:r>
    </w:p>
    <w:p w14:paraId="524504D5" w14:textId="77777777" w:rsidR="00D76DC8" w:rsidRDefault="00D76DC8"/>
  </w:endnote>
  <w:endnote w:type="continuationSeparator" w:id="0">
    <w:p w14:paraId="276D4E82" w14:textId="77777777" w:rsidR="00D76DC8" w:rsidRDefault="00D76DC8">
      <w:r>
        <w:continuationSeparator/>
      </w:r>
    </w:p>
    <w:p w14:paraId="2769A6CC" w14:textId="77777777" w:rsidR="00D76DC8" w:rsidRDefault="00D7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3F4A" w14:textId="77777777" w:rsidR="007F1572" w:rsidRDefault="00FF0077">
    <w:pPr>
      <w:pStyle w:val="Voettekst"/>
    </w:pPr>
    <w:r>
      <w:rPr>
        <w:noProof/>
      </w:rPr>
      <mc:AlternateContent>
        <mc:Choice Requires="wps">
          <w:drawing>
            <wp:anchor distT="0" distB="0" distL="0" distR="0" simplePos="0" relativeHeight="251660288" behindDoc="0" locked="0" layoutInCell="1" allowOverlap="1" wp14:anchorId="70048A28" wp14:editId="7935102C">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D5C0A" w14:textId="77777777" w:rsidR="007F1572" w:rsidRPr="007F1572" w:rsidRDefault="00FF0077"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48A28"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C6D5C0A" w14:textId="77777777" w:rsidR="007F1572" w:rsidRPr="007F1572" w:rsidRDefault="00FF0077"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2FA4" w14:textId="3399233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048A" w14:paraId="7FF2A935" w14:textId="77777777" w:rsidTr="00CA6A25">
      <w:trPr>
        <w:trHeight w:hRule="exact" w:val="240"/>
      </w:trPr>
      <w:tc>
        <w:tcPr>
          <w:tcW w:w="7601" w:type="dxa"/>
        </w:tcPr>
        <w:p w14:paraId="41EB7B66" w14:textId="77777777" w:rsidR="00527BD4" w:rsidRDefault="00527BD4" w:rsidP="003F1F6B">
          <w:pPr>
            <w:pStyle w:val="Huisstijl-Rubricering"/>
          </w:pPr>
        </w:p>
      </w:tc>
      <w:tc>
        <w:tcPr>
          <w:tcW w:w="2156" w:type="dxa"/>
        </w:tcPr>
        <w:p w14:paraId="01E9C336" w14:textId="51CAF7B4" w:rsidR="00527BD4" w:rsidRPr="00645414" w:rsidRDefault="00FF0077"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B5ECD">
              <w:t>2</w:t>
            </w:r>
          </w:fldSimple>
        </w:p>
      </w:tc>
    </w:tr>
  </w:tbl>
  <w:p w14:paraId="1B52581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048A" w14:paraId="251320BB" w14:textId="77777777" w:rsidTr="00CA6A25">
      <w:trPr>
        <w:trHeight w:hRule="exact" w:val="240"/>
      </w:trPr>
      <w:tc>
        <w:tcPr>
          <w:tcW w:w="7601" w:type="dxa"/>
        </w:tcPr>
        <w:p w14:paraId="1DCA23A0" w14:textId="4464128E" w:rsidR="00527BD4" w:rsidRDefault="00527BD4" w:rsidP="008C356D">
          <w:pPr>
            <w:pStyle w:val="Huisstijl-Rubricering"/>
          </w:pPr>
        </w:p>
      </w:tc>
      <w:tc>
        <w:tcPr>
          <w:tcW w:w="2170" w:type="dxa"/>
        </w:tcPr>
        <w:p w14:paraId="6EC5607A" w14:textId="2B28D385" w:rsidR="00527BD4" w:rsidRPr="00ED539E" w:rsidRDefault="00FF0077"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B5ECD">
              <w:t>2</w:t>
            </w:r>
          </w:fldSimple>
        </w:p>
      </w:tc>
    </w:tr>
  </w:tbl>
  <w:p w14:paraId="69DB7BE0" w14:textId="77777777" w:rsidR="00527BD4" w:rsidRPr="00BC3B53" w:rsidRDefault="00527BD4" w:rsidP="008C356D">
    <w:pPr>
      <w:pStyle w:val="Voettekst"/>
      <w:spacing w:line="240" w:lineRule="auto"/>
      <w:rPr>
        <w:sz w:val="2"/>
        <w:szCs w:val="2"/>
      </w:rPr>
    </w:pPr>
  </w:p>
  <w:p w14:paraId="242C27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81B0" w14:textId="77777777" w:rsidR="00D76DC8" w:rsidRDefault="00D76DC8">
      <w:r>
        <w:separator/>
      </w:r>
    </w:p>
    <w:p w14:paraId="682E2011" w14:textId="77777777" w:rsidR="00D76DC8" w:rsidRDefault="00D76DC8"/>
  </w:footnote>
  <w:footnote w:type="continuationSeparator" w:id="0">
    <w:p w14:paraId="7469A48F" w14:textId="77777777" w:rsidR="00D76DC8" w:rsidRDefault="00D76DC8">
      <w:r>
        <w:continuationSeparator/>
      </w:r>
    </w:p>
    <w:p w14:paraId="13DAFEA2" w14:textId="77777777" w:rsidR="00D76DC8" w:rsidRDefault="00D76DC8"/>
  </w:footnote>
  <w:footnote w:id="1">
    <w:p w14:paraId="1DFA3D12" w14:textId="77777777" w:rsidR="00A551F2" w:rsidRDefault="00A551F2" w:rsidP="00A551F2">
      <w:pPr>
        <w:pStyle w:val="Voetnoottekst"/>
      </w:pPr>
      <w:r>
        <w:rPr>
          <w:rStyle w:val="Voetnootmarkering"/>
        </w:rPr>
        <w:footnoteRef/>
      </w:r>
      <w:r>
        <w:t xml:space="preserve"> </w:t>
      </w:r>
      <w:r>
        <w:rPr>
          <w:szCs w:val="13"/>
        </w:rPr>
        <w:t>https://www.cbs.nl/nl-nl/longread/aanvullende-statistische-diensten/2026/monitor-fosfaat-en-stikstofexcretie-in-dierlijke-mest-eerste-kwartaal-2026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048A" w14:paraId="7A9A5195" w14:textId="77777777" w:rsidTr="00A50CF6">
      <w:tc>
        <w:tcPr>
          <w:tcW w:w="2156" w:type="dxa"/>
        </w:tcPr>
        <w:p w14:paraId="15C67C46" w14:textId="77777777" w:rsidR="00527BD4" w:rsidRPr="005819CE" w:rsidRDefault="00FF0077" w:rsidP="00A50CF6">
          <w:pPr>
            <w:pStyle w:val="Huisstijl-Adres"/>
          </w:pPr>
          <w:r>
            <w:rPr>
              <w:b/>
            </w:rPr>
            <w:t>Directoraat-generaal Agro</w:t>
          </w:r>
        </w:p>
      </w:tc>
    </w:tr>
    <w:tr w:rsidR="006B048A" w14:paraId="54E7D101" w14:textId="77777777" w:rsidTr="00A50CF6">
      <w:trPr>
        <w:trHeight w:hRule="exact" w:val="200"/>
      </w:trPr>
      <w:tc>
        <w:tcPr>
          <w:tcW w:w="2156" w:type="dxa"/>
        </w:tcPr>
        <w:p w14:paraId="054D715C" w14:textId="77777777" w:rsidR="002B0470" w:rsidRPr="00502512" w:rsidRDefault="002B0470" w:rsidP="002B0470">
          <w:pPr>
            <w:pStyle w:val="Huisstijl-Kopje"/>
            <w:rPr>
              <w:b w:val="0"/>
            </w:rPr>
          </w:pPr>
          <w:r>
            <w:rPr>
              <w:b w:val="0"/>
            </w:rPr>
            <w:t>DGA-PAV</w:t>
          </w:r>
          <w:r w:rsidRPr="00502512">
            <w:rPr>
              <w:b w:val="0"/>
            </w:rPr>
            <w:t xml:space="preserve"> / </w:t>
          </w:r>
          <w:r>
            <w:rPr>
              <w:b w:val="0"/>
            </w:rPr>
            <w:t>106245583</w:t>
          </w:r>
        </w:p>
        <w:p w14:paraId="0D38BE43" w14:textId="77777777" w:rsidR="00527BD4" w:rsidRPr="005819CE" w:rsidRDefault="00527BD4" w:rsidP="00A50CF6"/>
      </w:tc>
    </w:tr>
    <w:tr w:rsidR="006B048A" w14:paraId="3A885445" w14:textId="77777777" w:rsidTr="00502512">
      <w:trPr>
        <w:trHeight w:hRule="exact" w:val="774"/>
      </w:trPr>
      <w:tc>
        <w:tcPr>
          <w:tcW w:w="2156" w:type="dxa"/>
        </w:tcPr>
        <w:p w14:paraId="5C49E3D6" w14:textId="77777777" w:rsidR="00527BD4" w:rsidRDefault="00527BD4" w:rsidP="003A5290">
          <w:pPr>
            <w:pStyle w:val="Huisstijl-Kopje"/>
          </w:pPr>
        </w:p>
        <w:p w14:paraId="05697A5F" w14:textId="77777777" w:rsidR="00527BD4" w:rsidRPr="005819CE" w:rsidRDefault="00527BD4" w:rsidP="002B0470">
          <w:pPr>
            <w:pStyle w:val="Huisstijl-Kopje"/>
          </w:pPr>
        </w:p>
      </w:tc>
    </w:tr>
  </w:tbl>
  <w:p w14:paraId="1B15B907" w14:textId="77777777" w:rsidR="00527BD4" w:rsidRPr="00740712" w:rsidRDefault="00527BD4" w:rsidP="004F44C2"/>
  <w:p w14:paraId="2B6812D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048A" w14:paraId="4445F18B" w14:textId="77777777" w:rsidTr="00751A6A">
      <w:trPr>
        <w:trHeight w:val="2636"/>
      </w:trPr>
      <w:tc>
        <w:tcPr>
          <w:tcW w:w="737" w:type="dxa"/>
        </w:tcPr>
        <w:p w14:paraId="5B1961A1" w14:textId="77777777" w:rsidR="00527BD4" w:rsidRDefault="00527BD4" w:rsidP="00D0609E">
          <w:pPr>
            <w:framePr w:w="6340" w:h="2750" w:hRule="exact" w:hSpace="180" w:wrap="around" w:vAnchor="page" w:hAnchor="text" w:x="3873" w:y="-140"/>
            <w:spacing w:line="240" w:lineRule="auto"/>
          </w:pPr>
        </w:p>
      </w:tc>
      <w:tc>
        <w:tcPr>
          <w:tcW w:w="5156" w:type="dxa"/>
        </w:tcPr>
        <w:p w14:paraId="77C334C7" w14:textId="77777777" w:rsidR="003B2E54" w:rsidRDefault="00FF0077"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46C361E" wp14:editId="4664C9E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6CCA796" w14:textId="77777777" w:rsidR="00527BD4" w:rsidRDefault="00527BD4" w:rsidP="00651CEE">
          <w:pPr>
            <w:framePr w:w="6340" w:h="2750" w:hRule="exact" w:hSpace="180" w:wrap="around" w:vAnchor="page" w:hAnchor="text" w:x="3873" w:y="-140"/>
            <w:spacing w:line="240" w:lineRule="auto"/>
          </w:pPr>
        </w:p>
      </w:tc>
    </w:tr>
  </w:tbl>
  <w:p w14:paraId="4A504959" w14:textId="77777777" w:rsidR="00527BD4" w:rsidRDefault="00527BD4" w:rsidP="00D0609E">
    <w:pPr>
      <w:framePr w:w="6340" w:h="2750" w:hRule="exact" w:hSpace="180" w:wrap="around" w:vAnchor="page" w:hAnchor="text" w:x="3873" w:y="-140"/>
    </w:pPr>
  </w:p>
  <w:p w14:paraId="051AAB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048A" w:rsidRPr="00C50D70" w14:paraId="47ACFD8D" w14:textId="77777777" w:rsidTr="00A50CF6">
      <w:tc>
        <w:tcPr>
          <w:tcW w:w="2160" w:type="dxa"/>
        </w:tcPr>
        <w:p w14:paraId="6B3AFAF3" w14:textId="77777777" w:rsidR="005C07D1" w:rsidRDefault="00FF0077" w:rsidP="00A50CF6">
          <w:pPr>
            <w:pStyle w:val="Huisstijl-Adres"/>
          </w:pPr>
          <w:r>
            <w:rPr>
              <w:b/>
            </w:rPr>
            <w:t>Directoraat-generaal Agro</w:t>
          </w:r>
          <w:r w:rsidR="00527BD4" w:rsidRPr="005819CE">
            <w:rPr>
              <w:b/>
            </w:rPr>
            <w:br/>
          </w:r>
          <w:r>
            <w:t>Directie Plantaardige Agroketens en Voedselkwaliteit</w:t>
          </w:r>
        </w:p>
        <w:p w14:paraId="50BA2A32" w14:textId="77777777" w:rsidR="00527BD4" w:rsidRPr="009000E4" w:rsidRDefault="00FF0077" w:rsidP="00A72979">
          <w:pPr>
            <w:pStyle w:val="Huisstijl-Adres"/>
          </w:pPr>
          <w:r>
            <w:rPr>
              <w:b/>
            </w:rPr>
            <w:t>Bezoekadres</w:t>
          </w:r>
          <w:r>
            <w:rPr>
              <w:b/>
            </w:rPr>
            <w:br/>
          </w:r>
          <w:r>
            <w:t>Bezuidenhoutseweg 73</w:t>
          </w:r>
          <w:r w:rsidRPr="005819CE">
            <w:br/>
          </w:r>
          <w:r>
            <w:t>2594 AC Den Haag</w:t>
          </w:r>
        </w:p>
        <w:p w14:paraId="10F1ABFD" w14:textId="77777777" w:rsidR="00EF495B" w:rsidRDefault="00FF0077" w:rsidP="0098788A">
          <w:pPr>
            <w:pStyle w:val="Huisstijl-Adres"/>
          </w:pPr>
          <w:r>
            <w:rPr>
              <w:b/>
            </w:rPr>
            <w:t>Postadres</w:t>
          </w:r>
          <w:r>
            <w:rPr>
              <w:b/>
            </w:rPr>
            <w:br/>
          </w:r>
          <w:r>
            <w:t>Postbus 20401</w:t>
          </w:r>
          <w:r w:rsidRPr="005819CE">
            <w:br/>
            <w:t>2500 E</w:t>
          </w:r>
          <w:r>
            <w:t>K</w:t>
          </w:r>
          <w:r w:rsidRPr="005819CE">
            <w:t xml:space="preserve"> Den Haag</w:t>
          </w:r>
        </w:p>
        <w:p w14:paraId="225FCB00" w14:textId="77777777" w:rsidR="00556BEE" w:rsidRPr="005B3814" w:rsidRDefault="00FF0077" w:rsidP="0098788A">
          <w:pPr>
            <w:pStyle w:val="Huisstijl-Adres"/>
          </w:pPr>
          <w:r>
            <w:rPr>
              <w:b/>
            </w:rPr>
            <w:t>Overheidsidentificatienr</w:t>
          </w:r>
          <w:r>
            <w:rPr>
              <w:b/>
            </w:rPr>
            <w:br/>
          </w:r>
          <w:r w:rsidR="00BA129E">
            <w:rPr>
              <w:rFonts w:cs="Agrofont"/>
              <w:iCs/>
            </w:rPr>
            <w:t>00000001858272854000</w:t>
          </w:r>
        </w:p>
        <w:p w14:paraId="39F35913" w14:textId="41B6A496" w:rsidR="00527BD4" w:rsidRPr="00C50D70" w:rsidRDefault="00FF0077"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B048A" w:rsidRPr="00C50D70" w14:paraId="42C0A5EC" w14:textId="77777777" w:rsidTr="00A50CF6">
      <w:trPr>
        <w:trHeight w:hRule="exact" w:val="200"/>
      </w:trPr>
      <w:tc>
        <w:tcPr>
          <w:tcW w:w="2160" w:type="dxa"/>
        </w:tcPr>
        <w:p w14:paraId="5287E748" w14:textId="77777777" w:rsidR="00527BD4" w:rsidRPr="00A72979" w:rsidRDefault="00527BD4" w:rsidP="00A50CF6">
          <w:pPr>
            <w:rPr>
              <w:lang w:val="fr-FR"/>
            </w:rPr>
          </w:pPr>
        </w:p>
      </w:tc>
    </w:tr>
    <w:tr w:rsidR="006B048A" w14:paraId="55BA2329" w14:textId="77777777" w:rsidTr="00A50CF6">
      <w:tc>
        <w:tcPr>
          <w:tcW w:w="2160" w:type="dxa"/>
        </w:tcPr>
        <w:p w14:paraId="73AA36BB" w14:textId="77777777" w:rsidR="000C0163" w:rsidRPr="005819CE" w:rsidRDefault="00FF0077" w:rsidP="000C0163">
          <w:pPr>
            <w:pStyle w:val="Huisstijl-Kopje"/>
          </w:pPr>
          <w:r>
            <w:t>Ons kenmerk</w:t>
          </w:r>
        </w:p>
        <w:p w14:paraId="45652E9D" w14:textId="1E14223A" w:rsidR="00527BD4" w:rsidRPr="005819CE" w:rsidRDefault="00FF0077" w:rsidP="00C50D70">
          <w:pPr>
            <w:pStyle w:val="Huisstijl-Gegeven"/>
          </w:pPr>
          <w:r>
            <w:t>DGA-PAV</w:t>
          </w:r>
          <w:r w:rsidR="00926AE2">
            <w:t xml:space="preserve"> / </w:t>
          </w:r>
          <w:r w:rsidR="00C50D70" w:rsidRPr="00C50D70">
            <w:t>106245583</w:t>
          </w:r>
        </w:p>
      </w:tc>
    </w:tr>
  </w:tbl>
  <w:p w14:paraId="60E3CB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B048A" w14:paraId="5C320F3A" w14:textId="77777777" w:rsidTr="001B667E">
      <w:trPr>
        <w:trHeight w:val="400"/>
      </w:trPr>
      <w:tc>
        <w:tcPr>
          <w:tcW w:w="7371" w:type="dxa"/>
          <w:gridSpan w:val="2"/>
        </w:tcPr>
        <w:p w14:paraId="1E0FB8D2" w14:textId="77777777" w:rsidR="00527BD4" w:rsidRPr="00BC3B53" w:rsidRDefault="00FF0077"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B048A" w14:paraId="31327F0A" w14:textId="77777777" w:rsidTr="001B667E">
      <w:tc>
        <w:tcPr>
          <w:tcW w:w="7371" w:type="dxa"/>
          <w:gridSpan w:val="2"/>
        </w:tcPr>
        <w:p w14:paraId="077F1418" w14:textId="77777777" w:rsidR="00527BD4" w:rsidRPr="00983E8F" w:rsidRDefault="00527BD4" w:rsidP="00A50CF6">
          <w:pPr>
            <w:pStyle w:val="Huisstijl-Rubricering"/>
          </w:pPr>
        </w:p>
      </w:tc>
    </w:tr>
    <w:tr w:rsidR="006B048A" w14:paraId="7B9251B7" w14:textId="77777777" w:rsidTr="001B667E">
      <w:trPr>
        <w:trHeight w:hRule="exact" w:val="2440"/>
      </w:trPr>
      <w:tc>
        <w:tcPr>
          <w:tcW w:w="7371" w:type="dxa"/>
          <w:gridSpan w:val="2"/>
        </w:tcPr>
        <w:p w14:paraId="79405D73" w14:textId="77777777" w:rsidR="00527BD4" w:rsidRDefault="00FF0077" w:rsidP="00A50CF6">
          <w:pPr>
            <w:pStyle w:val="Huisstijl-NAW"/>
          </w:pPr>
          <w:r>
            <w:t xml:space="preserve">De Voorzitter van de Tweede Kamer </w:t>
          </w:r>
        </w:p>
        <w:p w14:paraId="354DF52C" w14:textId="77777777" w:rsidR="00D87195" w:rsidRDefault="00FF0077" w:rsidP="00D87195">
          <w:pPr>
            <w:pStyle w:val="Huisstijl-NAW"/>
          </w:pPr>
          <w:r>
            <w:t>der Staten-Generaal</w:t>
          </w:r>
        </w:p>
        <w:p w14:paraId="0AC35E26" w14:textId="77777777" w:rsidR="005C769E" w:rsidRDefault="00FF0077" w:rsidP="005C769E">
          <w:pPr>
            <w:rPr>
              <w:szCs w:val="18"/>
            </w:rPr>
          </w:pPr>
          <w:r>
            <w:rPr>
              <w:szCs w:val="18"/>
            </w:rPr>
            <w:t>Prinses Irenestraat 6</w:t>
          </w:r>
        </w:p>
        <w:p w14:paraId="03FF7E06" w14:textId="77777777" w:rsidR="005C769E" w:rsidRDefault="00FF0077" w:rsidP="005C769E">
          <w:pPr>
            <w:pStyle w:val="Huisstijl-NAW"/>
          </w:pPr>
          <w:r>
            <w:t>2595 BD  DEN HAAG</w:t>
          </w:r>
        </w:p>
      </w:tc>
    </w:tr>
    <w:tr w:rsidR="006B048A" w14:paraId="738FC01D" w14:textId="77777777" w:rsidTr="001B667E">
      <w:trPr>
        <w:trHeight w:hRule="exact" w:val="400"/>
      </w:trPr>
      <w:tc>
        <w:tcPr>
          <w:tcW w:w="7371" w:type="dxa"/>
          <w:gridSpan w:val="2"/>
        </w:tcPr>
        <w:p w14:paraId="3755D9C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048A" w14:paraId="540706C1" w14:textId="77777777" w:rsidTr="001B667E">
      <w:trPr>
        <w:trHeight w:val="240"/>
      </w:trPr>
      <w:tc>
        <w:tcPr>
          <w:tcW w:w="709" w:type="dxa"/>
        </w:tcPr>
        <w:p w14:paraId="6CCA142A" w14:textId="77777777" w:rsidR="00527BD4" w:rsidRPr="00C21A01" w:rsidRDefault="00FF0077" w:rsidP="00A50CF6">
          <w:pPr>
            <w:rPr>
              <w:szCs w:val="18"/>
            </w:rPr>
          </w:pPr>
          <w:r>
            <w:rPr>
              <w:szCs w:val="18"/>
            </w:rPr>
            <w:t>Datum</w:t>
          </w:r>
        </w:p>
      </w:tc>
      <w:tc>
        <w:tcPr>
          <w:tcW w:w="6662" w:type="dxa"/>
        </w:tcPr>
        <w:p w14:paraId="1F748460" w14:textId="6C4D8BC4" w:rsidR="00527BD4" w:rsidRPr="007709EF" w:rsidRDefault="00061A02" w:rsidP="00A50CF6">
          <w:r>
            <w:t>3 juni 2026</w:t>
          </w:r>
        </w:p>
      </w:tc>
    </w:tr>
    <w:tr w:rsidR="006B048A" w14:paraId="1C45B5A1" w14:textId="77777777" w:rsidTr="001B667E">
      <w:trPr>
        <w:trHeight w:val="240"/>
      </w:trPr>
      <w:tc>
        <w:tcPr>
          <w:tcW w:w="709" w:type="dxa"/>
        </w:tcPr>
        <w:p w14:paraId="2C9AF694" w14:textId="77777777" w:rsidR="00527BD4" w:rsidRPr="00C21A01" w:rsidRDefault="00FF0077" w:rsidP="00A50CF6">
          <w:pPr>
            <w:rPr>
              <w:szCs w:val="18"/>
            </w:rPr>
          </w:pPr>
          <w:r>
            <w:rPr>
              <w:szCs w:val="18"/>
            </w:rPr>
            <w:t>Betreft</w:t>
          </w:r>
        </w:p>
      </w:tc>
      <w:tc>
        <w:tcPr>
          <w:tcW w:w="6662" w:type="dxa"/>
        </w:tcPr>
        <w:p w14:paraId="4FF244C9" w14:textId="77777777" w:rsidR="00527BD4" w:rsidRPr="007709EF" w:rsidRDefault="00FF0077" w:rsidP="00A50CF6">
          <w:r>
            <w:t>Publicatie CBS-monitor fosfaat- en stikstofexcretie, eerste kwartaalrapportage 2026</w:t>
          </w:r>
        </w:p>
      </w:tc>
    </w:tr>
  </w:tbl>
  <w:p w14:paraId="395596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4E4A94">
      <w:start w:val="1"/>
      <w:numFmt w:val="bullet"/>
      <w:pStyle w:val="Lijstopsomteken"/>
      <w:lvlText w:val="•"/>
      <w:lvlJc w:val="left"/>
      <w:pPr>
        <w:tabs>
          <w:tab w:val="num" w:pos="227"/>
        </w:tabs>
        <w:ind w:left="227" w:hanging="227"/>
      </w:pPr>
      <w:rPr>
        <w:rFonts w:ascii="Verdana" w:hAnsi="Verdana" w:hint="default"/>
        <w:sz w:val="18"/>
        <w:szCs w:val="18"/>
      </w:rPr>
    </w:lvl>
    <w:lvl w:ilvl="1" w:tplc="A3B03E38" w:tentative="1">
      <w:start w:val="1"/>
      <w:numFmt w:val="bullet"/>
      <w:lvlText w:val="o"/>
      <w:lvlJc w:val="left"/>
      <w:pPr>
        <w:tabs>
          <w:tab w:val="num" w:pos="1440"/>
        </w:tabs>
        <w:ind w:left="1440" w:hanging="360"/>
      </w:pPr>
      <w:rPr>
        <w:rFonts w:ascii="Courier New" w:hAnsi="Courier New" w:cs="Courier New" w:hint="default"/>
      </w:rPr>
    </w:lvl>
    <w:lvl w:ilvl="2" w:tplc="57388CA2" w:tentative="1">
      <w:start w:val="1"/>
      <w:numFmt w:val="bullet"/>
      <w:lvlText w:val=""/>
      <w:lvlJc w:val="left"/>
      <w:pPr>
        <w:tabs>
          <w:tab w:val="num" w:pos="2160"/>
        </w:tabs>
        <w:ind w:left="2160" w:hanging="360"/>
      </w:pPr>
      <w:rPr>
        <w:rFonts w:ascii="Wingdings" w:hAnsi="Wingdings" w:hint="default"/>
      </w:rPr>
    </w:lvl>
    <w:lvl w:ilvl="3" w:tplc="84EE48D8" w:tentative="1">
      <w:start w:val="1"/>
      <w:numFmt w:val="bullet"/>
      <w:lvlText w:val=""/>
      <w:lvlJc w:val="left"/>
      <w:pPr>
        <w:tabs>
          <w:tab w:val="num" w:pos="2880"/>
        </w:tabs>
        <w:ind w:left="2880" w:hanging="360"/>
      </w:pPr>
      <w:rPr>
        <w:rFonts w:ascii="Symbol" w:hAnsi="Symbol" w:hint="default"/>
      </w:rPr>
    </w:lvl>
    <w:lvl w:ilvl="4" w:tplc="08DA10D6" w:tentative="1">
      <w:start w:val="1"/>
      <w:numFmt w:val="bullet"/>
      <w:lvlText w:val="o"/>
      <w:lvlJc w:val="left"/>
      <w:pPr>
        <w:tabs>
          <w:tab w:val="num" w:pos="3600"/>
        </w:tabs>
        <w:ind w:left="3600" w:hanging="360"/>
      </w:pPr>
      <w:rPr>
        <w:rFonts w:ascii="Courier New" w:hAnsi="Courier New" w:cs="Courier New" w:hint="default"/>
      </w:rPr>
    </w:lvl>
    <w:lvl w:ilvl="5" w:tplc="522A8D78" w:tentative="1">
      <w:start w:val="1"/>
      <w:numFmt w:val="bullet"/>
      <w:lvlText w:val=""/>
      <w:lvlJc w:val="left"/>
      <w:pPr>
        <w:tabs>
          <w:tab w:val="num" w:pos="4320"/>
        </w:tabs>
        <w:ind w:left="4320" w:hanging="360"/>
      </w:pPr>
      <w:rPr>
        <w:rFonts w:ascii="Wingdings" w:hAnsi="Wingdings" w:hint="default"/>
      </w:rPr>
    </w:lvl>
    <w:lvl w:ilvl="6" w:tplc="A00ED226" w:tentative="1">
      <w:start w:val="1"/>
      <w:numFmt w:val="bullet"/>
      <w:lvlText w:val=""/>
      <w:lvlJc w:val="left"/>
      <w:pPr>
        <w:tabs>
          <w:tab w:val="num" w:pos="5040"/>
        </w:tabs>
        <w:ind w:left="5040" w:hanging="360"/>
      </w:pPr>
      <w:rPr>
        <w:rFonts w:ascii="Symbol" w:hAnsi="Symbol" w:hint="default"/>
      </w:rPr>
    </w:lvl>
    <w:lvl w:ilvl="7" w:tplc="B55C3186" w:tentative="1">
      <w:start w:val="1"/>
      <w:numFmt w:val="bullet"/>
      <w:lvlText w:val="o"/>
      <w:lvlJc w:val="left"/>
      <w:pPr>
        <w:tabs>
          <w:tab w:val="num" w:pos="5760"/>
        </w:tabs>
        <w:ind w:left="5760" w:hanging="360"/>
      </w:pPr>
      <w:rPr>
        <w:rFonts w:ascii="Courier New" w:hAnsi="Courier New" w:cs="Courier New" w:hint="default"/>
      </w:rPr>
    </w:lvl>
    <w:lvl w:ilvl="8" w:tplc="6C100B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C8DF82">
      <w:start w:val="1"/>
      <w:numFmt w:val="bullet"/>
      <w:pStyle w:val="Lijstopsomteken2"/>
      <w:lvlText w:val="–"/>
      <w:lvlJc w:val="left"/>
      <w:pPr>
        <w:tabs>
          <w:tab w:val="num" w:pos="227"/>
        </w:tabs>
        <w:ind w:left="227" w:firstLine="0"/>
      </w:pPr>
      <w:rPr>
        <w:rFonts w:ascii="Verdana" w:hAnsi="Verdana" w:hint="default"/>
      </w:rPr>
    </w:lvl>
    <w:lvl w:ilvl="1" w:tplc="1B8E94C6" w:tentative="1">
      <w:start w:val="1"/>
      <w:numFmt w:val="bullet"/>
      <w:lvlText w:val="o"/>
      <w:lvlJc w:val="left"/>
      <w:pPr>
        <w:tabs>
          <w:tab w:val="num" w:pos="1440"/>
        </w:tabs>
        <w:ind w:left="1440" w:hanging="360"/>
      </w:pPr>
      <w:rPr>
        <w:rFonts w:ascii="Courier New" w:hAnsi="Courier New" w:cs="Courier New" w:hint="default"/>
      </w:rPr>
    </w:lvl>
    <w:lvl w:ilvl="2" w:tplc="EC40EB1C" w:tentative="1">
      <w:start w:val="1"/>
      <w:numFmt w:val="bullet"/>
      <w:lvlText w:val=""/>
      <w:lvlJc w:val="left"/>
      <w:pPr>
        <w:tabs>
          <w:tab w:val="num" w:pos="2160"/>
        </w:tabs>
        <w:ind w:left="2160" w:hanging="360"/>
      </w:pPr>
      <w:rPr>
        <w:rFonts w:ascii="Wingdings" w:hAnsi="Wingdings" w:hint="default"/>
      </w:rPr>
    </w:lvl>
    <w:lvl w:ilvl="3" w:tplc="50CE6934" w:tentative="1">
      <w:start w:val="1"/>
      <w:numFmt w:val="bullet"/>
      <w:lvlText w:val=""/>
      <w:lvlJc w:val="left"/>
      <w:pPr>
        <w:tabs>
          <w:tab w:val="num" w:pos="2880"/>
        </w:tabs>
        <w:ind w:left="2880" w:hanging="360"/>
      </w:pPr>
      <w:rPr>
        <w:rFonts w:ascii="Symbol" w:hAnsi="Symbol" w:hint="default"/>
      </w:rPr>
    </w:lvl>
    <w:lvl w:ilvl="4" w:tplc="6B7CFAE2" w:tentative="1">
      <w:start w:val="1"/>
      <w:numFmt w:val="bullet"/>
      <w:lvlText w:val="o"/>
      <w:lvlJc w:val="left"/>
      <w:pPr>
        <w:tabs>
          <w:tab w:val="num" w:pos="3600"/>
        </w:tabs>
        <w:ind w:left="3600" w:hanging="360"/>
      </w:pPr>
      <w:rPr>
        <w:rFonts w:ascii="Courier New" w:hAnsi="Courier New" w:cs="Courier New" w:hint="default"/>
      </w:rPr>
    </w:lvl>
    <w:lvl w:ilvl="5" w:tplc="54EC72DC" w:tentative="1">
      <w:start w:val="1"/>
      <w:numFmt w:val="bullet"/>
      <w:lvlText w:val=""/>
      <w:lvlJc w:val="left"/>
      <w:pPr>
        <w:tabs>
          <w:tab w:val="num" w:pos="4320"/>
        </w:tabs>
        <w:ind w:left="4320" w:hanging="360"/>
      </w:pPr>
      <w:rPr>
        <w:rFonts w:ascii="Wingdings" w:hAnsi="Wingdings" w:hint="default"/>
      </w:rPr>
    </w:lvl>
    <w:lvl w:ilvl="6" w:tplc="DBEC96FA" w:tentative="1">
      <w:start w:val="1"/>
      <w:numFmt w:val="bullet"/>
      <w:lvlText w:val=""/>
      <w:lvlJc w:val="left"/>
      <w:pPr>
        <w:tabs>
          <w:tab w:val="num" w:pos="5040"/>
        </w:tabs>
        <w:ind w:left="5040" w:hanging="360"/>
      </w:pPr>
      <w:rPr>
        <w:rFonts w:ascii="Symbol" w:hAnsi="Symbol" w:hint="default"/>
      </w:rPr>
    </w:lvl>
    <w:lvl w:ilvl="7" w:tplc="77A0B744" w:tentative="1">
      <w:start w:val="1"/>
      <w:numFmt w:val="bullet"/>
      <w:lvlText w:val="o"/>
      <w:lvlJc w:val="left"/>
      <w:pPr>
        <w:tabs>
          <w:tab w:val="num" w:pos="5760"/>
        </w:tabs>
        <w:ind w:left="5760" w:hanging="360"/>
      </w:pPr>
      <w:rPr>
        <w:rFonts w:ascii="Courier New" w:hAnsi="Courier New" w:cs="Courier New" w:hint="default"/>
      </w:rPr>
    </w:lvl>
    <w:lvl w:ilvl="8" w:tplc="47DAFF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1687423">
    <w:abstractNumId w:val="10"/>
  </w:num>
  <w:num w:numId="2" w16cid:durableId="345837545">
    <w:abstractNumId w:val="7"/>
  </w:num>
  <w:num w:numId="3" w16cid:durableId="1269464329">
    <w:abstractNumId w:val="6"/>
  </w:num>
  <w:num w:numId="4" w16cid:durableId="191961642">
    <w:abstractNumId w:val="5"/>
  </w:num>
  <w:num w:numId="5" w16cid:durableId="1953703504">
    <w:abstractNumId w:val="4"/>
  </w:num>
  <w:num w:numId="6" w16cid:durableId="1380276075">
    <w:abstractNumId w:val="8"/>
  </w:num>
  <w:num w:numId="7" w16cid:durableId="285505450">
    <w:abstractNumId w:val="3"/>
  </w:num>
  <w:num w:numId="8" w16cid:durableId="1081412690">
    <w:abstractNumId w:val="2"/>
  </w:num>
  <w:num w:numId="9" w16cid:durableId="1874348094">
    <w:abstractNumId w:val="1"/>
  </w:num>
  <w:num w:numId="10" w16cid:durableId="1940522850">
    <w:abstractNumId w:val="0"/>
  </w:num>
  <w:num w:numId="11" w16cid:durableId="1186678733">
    <w:abstractNumId w:val="9"/>
  </w:num>
  <w:num w:numId="12" w16cid:durableId="1996641839">
    <w:abstractNumId w:val="11"/>
  </w:num>
  <w:num w:numId="13" w16cid:durableId="889459179">
    <w:abstractNumId w:val="13"/>
  </w:num>
  <w:num w:numId="14" w16cid:durableId="15926221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61A02"/>
    <w:rsid w:val="00071F28"/>
    <w:rsid w:val="00074079"/>
    <w:rsid w:val="000752D6"/>
    <w:rsid w:val="000864AB"/>
    <w:rsid w:val="00092799"/>
    <w:rsid w:val="00092C5F"/>
    <w:rsid w:val="00096680"/>
    <w:rsid w:val="000A0F36"/>
    <w:rsid w:val="000A174A"/>
    <w:rsid w:val="000A3E0A"/>
    <w:rsid w:val="000A65AC"/>
    <w:rsid w:val="000B13CD"/>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4097"/>
    <w:rsid w:val="0014786A"/>
    <w:rsid w:val="001516A4"/>
    <w:rsid w:val="00151E5F"/>
    <w:rsid w:val="00153E28"/>
    <w:rsid w:val="00154908"/>
    <w:rsid w:val="0015628E"/>
    <w:rsid w:val="001569AB"/>
    <w:rsid w:val="00164974"/>
    <w:rsid w:val="00164D63"/>
    <w:rsid w:val="0016725C"/>
    <w:rsid w:val="001726F3"/>
    <w:rsid w:val="00173C51"/>
    <w:rsid w:val="00174CC2"/>
    <w:rsid w:val="00176CC6"/>
    <w:rsid w:val="00181BE4"/>
    <w:rsid w:val="00185576"/>
    <w:rsid w:val="00185951"/>
    <w:rsid w:val="0019082A"/>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67886"/>
    <w:rsid w:val="002713B3"/>
    <w:rsid w:val="00273F3B"/>
    <w:rsid w:val="00274DB7"/>
    <w:rsid w:val="00275984"/>
    <w:rsid w:val="00280F74"/>
    <w:rsid w:val="002822CA"/>
    <w:rsid w:val="00286998"/>
    <w:rsid w:val="00290258"/>
    <w:rsid w:val="00291AB7"/>
    <w:rsid w:val="00292EB2"/>
    <w:rsid w:val="0029422B"/>
    <w:rsid w:val="002A0938"/>
    <w:rsid w:val="002B0470"/>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2BF2"/>
    <w:rsid w:val="00344F3D"/>
    <w:rsid w:val="00344F69"/>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709A"/>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C2A5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4697"/>
    <w:rsid w:val="00625CD0"/>
    <w:rsid w:val="0062627D"/>
    <w:rsid w:val="00627432"/>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48A"/>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3E52"/>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340"/>
    <w:rsid w:val="008547BA"/>
    <w:rsid w:val="008553C7"/>
    <w:rsid w:val="00855C14"/>
    <w:rsid w:val="00857FEB"/>
    <w:rsid w:val="008601AF"/>
    <w:rsid w:val="00870443"/>
    <w:rsid w:val="00872271"/>
    <w:rsid w:val="0088211B"/>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0CBA"/>
    <w:rsid w:val="009A31BF"/>
    <w:rsid w:val="009A3B71"/>
    <w:rsid w:val="009A61BC"/>
    <w:rsid w:val="009B0138"/>
    <w:rsid w:val="009B0FE9"/>
    <w:rsid w:val="009B173A"/>
    <w:rsid w:val="009C3F20"/>
    <w:rsid w:val="009C7CA1"/>
    <w:rsid w:val="009D043D"/>
    <w:rsid w:val="009E7E61"/>
    <w:rsid w:val="009F3259"/>
    <w:rsid w:val="00A048A3"/>
    <w:rsid w:val="00A056DE"/>
    <w:rsid w:val="00A128AD"/>
    <w:rsid w:val="00A21E76"/>
    <w:rsid w:val="00A23BC8"/>
    <w:rsid w:val="00A245F8"/>
    <w:rsid w:val="00A30E68"/>
    <w:rsid w:val="00A31933"/>
    <w:rsid w:val="00A324A3"/>
    <w:rsid w:val="00A329D2"/>
    <w:rsid w:val="00A34AA0"/>
    <w:rsid w:val="00A3715C"/>
    <w:rsid w:val="00A41FE2"/>
    <w:rsid w:val="00A420D2"/>
    <w:rsid w:val="00A46FEF"/>
    <w:rsid w:val="00A47948"/>
    <w:rsid w:val="00A50CF6"/>
    <w:rsid w:val="00A551F2"/>
    <w:rsid w:val="00A56946"/>
    <w:rsid w:val="00A6170E"/>
    <w:rsid w:val="00A63B8C"/>
    <w:rsid w:val="00A715F8"/>
    <w:rsid w:val="00A72979"/>
    <w:rsid w:val="00A77F6F"/>
    <w:rsid w:val="00A82594"/>
    <w:rsid w:val="00A831FD"/>
    <w:rsid w:val="00A83352"/>
    <w:rsid w:val="00A850A2"/>
    <w:rsid w:val="00A91FA3"/>
    <w:rsid w:val="00A927D3"/>
    <w:rsid w:val="00A96823"/>
    <w:rsid w:val="00AA7FC9"/>
    <w:rsid w:val="00AB237D"/>
    <w:rsid w:val="00AB5933"/>
    <w:rsid w:val="00AB5ECD"/>
    <w:rsid w:val="00AC7BD1"/>
    <w:rsid w:val="00AE013D"/>
    <w:rsid w:val="00AE11B7"/>
    <w:rsid w:val="00AE4F51"/>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24C5"/>
    <w:rsid w:val="00C3752E"/>
    <w:rsid w:val="00C4015B"/>
    <w:rsid w:val="00C40C60"/>
    <w:rsid w:val="00C50D7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3CB7"/>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6DC8"/>
    <w:rsid w:val="00D77870"/>
    <w:rsid w:val="00D80977"/>
    <w:rsid w:val="00D80CCE"/>
    <w:rsid w:val="00D83DA3"/>
    <w:rsid w:val="00D86EEA"/>
    <w:rsid w:val="00D87195"/>
    <w:rsid w:val="00D87D03"/>
    <w:rsid w:val="00D9360B"/>
    <w:rsid w:val="00D95C88"/>
    <w:rsid w:val="00D97B2E"/>
    <w:rsid w:val="00DA241E"/>
    <w:rsid w:val="00DB36FE"/>
    <w:rsid w:val="00DB533A"/>
    <w:rsid w:val="00DB60AE"/>
    <w:rsid w:val="00DB6307"/>
    <w:rsid w:val="00DC0FF9"/>
    <w:rsid w:val="00DD1DCD"/>
    <w:rsid w:val="00DD2802"/>
    <w:rsid w:val="00DD2B2A"/>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238A"/>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04E2"/>
    <w:rsid w:val="00FC2311"/>
    <w:rsid w:val="00FC3165"/>
    <w:rsid w:val="00FC36AB"/>
    <w:rsid w:val="00FC4300"/>
    <w:rsid w:val="00FC7F66"/>
    <w:rsid w:val="00FD5776"/>
    <w:rsid w:val="00FE1CB6"/>
    <w:rsid w:val="00FE486B"/>
    <w:rsid w:val="00FE4F08"/>
    <w:rsid w:val="00FF007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F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A551F2"/>
    <w:rPr>
      <w:vertAlign w:val="superscript"/>
    </w:rPr>
  </w:style>
  <w:style w:type="paragraph" w:styleId="Onderwerpvanopmerking">
    <w:name w:val="annotation subject"/>
    <w:basedOn w:val="Tekstopmerking"/>
    <w:next w:val="Tekstopmerking"/>
    <w:link w:val="OnderwerpvanopmerkingChar"/>
    <w:semiHidden/>
    <w:unhideWhenUsed/>
    <w:rsid w:val="00A324A3"/>
    <w:rPr>
      <w:b/>
      <w:bCs/>
    </w:rPr>
  </w:style>
  <w:style w:type="character" w:customStyle="1" w:styleId="OnderwerpvanopmerkingChar">
    <w:name w:val="Onderwerp van opmerking Char"/>
    <w:basedOn w:val="TekstopmerkingChar"/>
    <w:link w:val="Onderwerpvanopmerking"/>
    <w:semiHidden/>
    <w:rsid w:val="00A324A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622</ap:Words>
  <ap:Characters>3427</ap:Characters>
  <ap:DocSecurity>0</ap:DocSecurity>
  <ap:Lines>28</ap:Lines>
  <ap:Paragraphs>8</ap:Paragraphs>
  <ap:ScaleCrop>false</ap:ScaleCrop>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2026-06-03T07:32:00.0000000Z</dcterms:created>
  <dcterms:modified xsi:type="dcterms:W3CDTF">2026-06-03T07:32:00.0000000Z</dcterms:modified>
  <dc:description>------------------------</dc:description>
  <dc:subject/>
  <keywords/>
  <version/>
  <category/>
</coreProperties>
</file>