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C6" w:rsidRDefault="00DB71C6" w14:paraId="05368B5B" w14:textId="77777777">
      <w:bookmarkStart w:name="_GoBack" w:id="0"/>
      <w:bookmarkEnd w:id="0"/>
    </w:p>
    <w:p w:rsidR="006D6F26" w:rsidRDefault="0043411E" w14:paraId="561EF6D7" w14:textId="495962F7">
      <w:r>
        <w:t>Geachte voorzitter,</w:t>
      </w:r>
    </w:p>
    <w:p w:rsidR="0043411E" w:rsidRDefault="0043411E" w14:paraId="1E06C782" w14:textId="77777777"/>
    <w:p w:rsidR="0043411E" w:rsidP="0043411E" w:rsidRDefault="0043411E" w14:paraId="3C0663BB" w14:textId="782B9108">
      <w:pPr>
        <w:pStyle w:val="BodyText"/>
        <w:spacing w:line="264" w:lineRule="auto"/>
        <w:ind w:left="30"/>
      </w:pPr>
      <w:r>
        <w:t>Op 25 april 2024 is het onderzoek van de Universiteit Utrecht ‘Naar een robuuste implementatie van het Verdrag van Aarhus?’ (het onderzoek) aangeboden aan de Tweede Kamer.</w:t>
      </w:r>
      <w:r>
        <w:rPr>
          <w:rStyle w:val="FootnoteReference"/>
        </w:rPr>
        <w:footnoteReference w:id="1"/>
      </w:r>
      <w:r>
        <w:rPr>
          <w:spacing w:val="32"/>
          <w:position w:val="6"/>
          <w:sz w:val="12"/>
        </w:rPr>
        <w:t xml:space="preserve"> </w:t>
      </w:r>
      <w:r>
        <w:t>In de afgelopen jaren is in een aantal zaken voor het Hof van Justitie van de Europese Unie en het Aarhus Nalevingscomité geconstateerd dat Nederland</w:t>
      </w:r>
      <w:r>
        <w:rPr>
          <w:spacing w:val="-1"/>
        </w:rPr>
        <w:t xml:space="preserve"> </w:t>
      </w:r>
      <w:r>
        <w:t>op</w:t>
      </w:r>
      <w:r>
        <w:rPr>
          <w:spacing w:val="-1"/>
        </w:rPr>
        <w:t xml:space="preserve"> </w:t>
      </w:r>
      <w:r>
        <w:t>punten</w:t>
      </w:r>
      <w:r>
        <w:rPr>
          <w:spacing w:val="-3"/>
        </w:rPr>
        <w:t xml:space="preserve"> </w:t>
      </w:r>
      <w:r>
        <w:t>niet</w:t>
      </w:r>
      <w:r>
        <w:rPr>
          <w:spacing w:val="-2"/>
        </w:rPr>
        <w:t xml:space="preserve"> </w:t>
      </w:r>
      <w:r>
        <w:t>voldeed</w:t>
      </w:r>
      <w:r>
        <w:rPr>
          <w:spacing w:val="-1"/>
        </w:rPr>
        <w:t xml:space="preserve"> </w:t>
      </w:r>
      <w:r>
        <w:t>of</w:t>
      </w:r>
      <w:r>
        <w:rPr>
          <w:spacing w:val="-4"/>
        </w:rPr>
        <w:t xml:space="preserve"> </w:t>
      </w:r>
      <w:r>
        <w:t>nog</w:t>
      </w:r>
      <w:r>
        <w:rPr>
          <w:spacing w:val="-1"/>
        </w:rPr>
        <w:t xml:space="preserve"> </w:t>
      </w:r>
      <w:r>
        <w:t>niet</w:t>
      </w:r>
      <w:r>
        <w:rPr>
          <w:spacing w:val="-2"/>
        </w:rPr>
        <w:t xml:space="preserve"> </w:t>
      </w:r>
      <w:r>
        <w:t>voldoet</w:t>
      </w:r>
      <w:r>
        <w:rPr>
          <w:spacing w:val="-7"/>
        </w:rPr>
        <w:t xml:space="preserve"> </w:t>
      </w:r>
      <w:r>
        <w:t>aan</w:t>
      </w:r>
      <w:r>
        <w:rPr>
          <w:spacing w:val="-3"/>
        </w:rPr>
        <w:t xml:space="preserve"> </w:t>
      </w:r>
      <w:r>
        <w:t>het</w:t>
      </w:r>
      <w:r>
        <w:rPr>
          <w:spacing w:val="-2"/>
        </w:rPr>
        <w:t xml:space="preserve"> </w:t>
      </w:r>
      <w:r>
        <w:t>Verdrag betreffende toegang tot informatie, publieke inspraak in besluitvorming en toegang tot de rechter in milieuzaken (Verdrag van Aarhus). Dit was de aanleiding van het onderzoek. Het onderzoek geeft aanbevelingen om de implementatie in de Nederlandse wetgeving en uitvoering van het Verdrag van Aarhus robuust en toekomstbestendig te maken. Daarop heeft de Kamer op 20 december 2024 de eerste beleidsreactie ontvangen.</w:t>
      </w:r>
      <w:r>
        <w:rPr>
          <w:rStyle w:val="FootnoteReference"/>
        </w:rPr>
        <w:footnoteReference w:id="2"/>
      </w:r>
      <w:r>
        <w:rPr>
          <w:spacing w:val="34"/>
          <w:position w:val="6"/>
          <w:sz w:val="12"/>
        </w:rPr>
        <w:t xml:space="preserve"> </w:t>
      </w:r>
      <w:r>
        <w:t>Bij deze ontvangt de Kamer de tweede en laatste</w:t>
      </w:r>
      <w:r>
        <w:rPr>
          <w:spacing w:val="-5"/>
        </w:rPr>
        <w:t xml:space="preserve"> </w:t>
      </w:r>
      <w:r>
        <w:t>beleidsreactie.</w:t>
      </w:r>
      <w:r>
        <w:rPr>
          <w:spacing w:val="-4"/>
        </w:rPr>
        <w:t xml:space="preserve"> </w:t>
      </w:r>
      <w:r>
        <w:t>De</w:t>
      </w:r>
      <w:r>
        <w:rPr>
          <w:spacing w:val="-3"/>
        </w:rPr>
        <w:t xml:space="preserve"> </w:t>
      </w:r>
      <w:r>
        <w:t>reden</w:t>
      </w:r>
      <w:r>
        <w:rPr>
          <w:spacing w:val="-4"/>
        </w:rPr>
        <w:t xml:space="preserve"> </w:t>
      </w:r>
      <w:r>
        <w:t>dat</w:t>
      </w:r>
      <w:r>
        <w:rPr>
          <w:spacing w:val="-4"/>
        </w:rPr>
        <w:t xml:space="preserve"> </w:t>
      </w:r>
      <w:r>
        <w:t>de</w:t>
      </w:r>
      <w:r>
        <w:rPr>
          <w:spacing w:val="-3"/>
        </w:rPr>
        <w:t xml:space="preserve"> </w:t>
      </w:r>
      <w:r>
        <w:t>reactie</w:t>
      </w:r>
      <w:r>
        <w:rPr>
          <w:spacing w:val="-3"/>
        </w:rPr>
        <w:t xml:space="preserve"> </w:t>
      </w:r>
      <w:r>
        <w:t>in</w:t>
      </w:r>
      <w:r>
        <w:rPr>
          <w:spacing w:val="-4"/>
        </w:rPr>
        <w:t xml:space="preserve"> </w:t>
      </w:r>
      <w:r>
        <w:t>twee</w:t>
      </w:r>
      <w:r>
        <w:rPr>
          <w:spacing w:val="-6"/>
        </w:rPr>
        <w:t xml:space="preserve"> </w:t>
      </w:r>
      <w:r>
        <w:t>delen</w:t>
      </w:r>
      <w:r>
        <w:rPr>
          <w:spacing w:val="-4"/>
        </w:rPr>
        <w:t xml:space="preserve"> </w:t>
      </w:r>
      <w:r>
        <w:t>plaatsvindt,</w:t>
      </w:r>
      <w:r>
        <w:rPr>
          <w:spacing w:val="-4"/>
        </w:rPr>
        <w:t xml:space="preserve"> </w:t>
      </w:r>
      <w:r>
        <w:t>is</w:t>
      </w:r>
      <w:r>
        <w:rPr>
          <w:spacing w:val="-4"/>
        </w:rPr>
        <w:t xml:space="preserve"> </w:t>
      </w:r>
      <w:r>
        <w:t>dat</w:t>
      </w:r>
      <w:r>
        <w:rPr>
          <w:spacing w:val="-4"/>
        </w:rPr>
        <w:t xml:space="preserve"> </w:t>
      </w:r>
      <w:r>
        <w:t>het vorig jaar nog niet mogelijk was om volledig te reageren op de aanbevelingen.</w:t>
      </w:r>
    </w:p>
    <w:p w:rsidR="0043411E" w:rsidP="0043411E" w:rsidRDefault="0043411E" w14:paraId="5C2CE3A9" w14:textId="77777777">
      <w:pPr>
        <w:pStyle w:val="BodyText"/>
        <w:spacing w:line="211" w:lineRule="exact"/>
        <w:ind w:left="30"/>
        <w:rPr>
          <w:spacing w:val="-2"/>
        </w:rPr>
      </w:pPr>
      <w:r>
        <w:t>Daarvoor</w:t>
      </w:r>
      <w:r>
        <w:rPr>
          <w:spacing w:val="-5"/>
        </w:rPr>
        <w:t xml:space="preserve"> </w:t>
      </w:r>
      <w:r>
        <w:t>zijn</w:t>
      </w:r>
      <w:r>
        <w:rPr>
          <w:spacing w:val="-4"/>
        </w:rPr>
        <w:t xml:space="preserve"> </w:t>
      </w:r>
      <w:r>
        <w:t>toen</w:t>
      </w:r>
      <w:r>
        <w:rPr>
          <w:spacing w:val="-5"/>
        </w:rPr>
        <w:t xml:space="preserve"> </w:t>
      </w:r>
      <w:r>
        <w:t>twee</w:t>
      </w:r>
      <w:r>
        <w:rPr>
          <w:spacing w:val="-2"/>
        </w:rPr>
        <w:t xml:space="preserve"> </w:t>
      </w:r>
      <w:r>
        <w:t>redenen</w:t>
      </w:r>
      <w:r>
        <w:rPr>
          <w:spacing w:val="-8"/>
        </w:rPr>
        <w:t xml:space="preserve"> </w:t>
      </w:r>
      <w:r>
        <w:rPr>
          <w:spacing w:val="-2"/>
        </w:rPr>
        <w:t>genoemd:</w:t>
      </w:r>
    </w:p>
    <w:p w:rsidR="0043411E" w:rsidP="0043411E" w:rsidRDefault="0043411E" w14:paraId="7DEB8321" w14:textId="77777777">
      <w:pPr>
        <w:pStyle w:val="BodyText"/>
        <w:spacing w:line="211" w:lineRule="exact"/>
        <w:ind w:left="30"/>
        <w:rPr>
          <w:spacing w:val="-2"/>
        </w:rPr>
      </w:pPr>
    </w:p>
    <w:p w:rsidR="0043411E" w:rsidP="0043411E" w:rsidRDefault="0043411E" w14:paraId="59A2D837" w14:textId="77777777">
      <w:pPr>
        <w:pStyle w:val="ListParagraph"/>
        <w:numPr>
          <w:ilvl w:val="0"/>
          <w:numId w:val="24"/>
        </w:numPr>
        <w:tabs>
          <w:tab w:val="left" w:pos="748"/>
          <w:tab w:val="left" w:pos="750"/>
        </w:tabs>
        <w:spacing w:line="264" w:lineRule="auto"/>
        <w:ind w:right="207"/>
        <w:jc w:val="both"/>
        <w:rPr>
          <w:sz w:val="18"/>
        </w:rPr>
      </w:pPr>
      <w:r>
        <w:rPr>
          <w:sz w:val="18"/>
        </w:rPr>
        <w:t>Er</w:t>
      </w:r>
      <w:r>
        <w:rPr>
          <w:spacing w:val="-3"/>
          <w:sz w:val="18"/>
        </w:rPr>
        <w:t xml:space="preserve"> </w:t>
      </w:r>
      <w:r>
        <w:rPr>
          <w:sz w:val="18"/>
        </w:rPr>
        <w:t>was</w:t>
      </w:r>
      <w:r>
        <w:rPr>
          <w:spacing w:val="-6"/>
          <w:sz w:val="18"/>
        </w:rPr>
        <w:t xml:space="preserve"> </w:t>
      </w:r>
      <w:r>
        <w:rPr>
          <w:sz w:val="18"/>
        </w:rPr>
        <w:t>meer</w:t>
      </w:r>
      <w:r>
        <w:rPr>
          <w:spacing w:val="-3"/>
          <w:sz w:val="18"/>
        </w:rPr>
        <w:t xml:space="preserve"> </w:t>
      </w:r>
      <w:r>
        <w:rPr>
          <w:sz w:val="18"/>
        </w:rPr>
        <w:t>tijd</w:t>
      </w:r>
      <w:r>
        <w:rPr>
          <w:spacing w:val="-1"/>
          <w:sz w:val="18"/>
        </w:rPr>
        <w:t xml:space="preserve"> </w:t>
      </w:r>
      <w:r>
        <w:rPr>
          <w:sz w:val="18"/>
        </w:rPr>
        <w:t>nodig</w:t>
      </w:r>
      <w:r>
        <w:rPr>
          <w:spacing w:val="-1"/>
          <w:sz w:val="18"/>
        </w:rPr>
        <w:t xml:space="preserve"> </w:t>
      </w:r>
      <w:r>
        <w:rPr>
          <w:sz w:val="18"/>
        </w:rPr>
        <w:t>om</w:t>
      </w:r>
      <w:r>
        <w:rPr>
          <w:spacing w:val="-7"/>
          <w:sz w:val="18"/>
        </w:rPr>
        <w:t xml:space="preserve"> </w:t>
      </w:r>
      <w:r>
        <w:rPr>
          <w:sz w:val="18"/>
        </w:rPr>
        <w:t>de</w:t>
      </w:r>
      <w:r>
        <w:rPr>
          <w:spacing w:val="-1"/>
          <w:sz w:val="18"/>
        </w:rPr>
        <w:t xml:space="preserve"> </w:t>
      </w:r>
      <w:r>
        <w:rPr>
          <w:sz w:val="18"/>
        </w:rPr>
        <w:t>aanbevelingen</w:t>
      </w:r>
      <w:r>
        <w:rPr>
          <w:spacing w:val="-3"/>
          <w:sz w:val="18"/>
        </w:rPr>
        <w:t xml:space="preserve"> </w:t>
      </w:r>
      <w:r>
        <w:rPr>
          <w:sz w:val="18"/>
        </w:rPr>
        <w:t>over</w:t>
      </w:r>
      <w:r>
        <w:rPr>
          <w:spacing w:val="-8"/>
          <w:sz w:val="18"/>
        </w:rPr>
        <w:t xml:space="preserve"> </w:t>
      </w:r>
      <w:r>
        <w:rPr>
          <w:sz w:val="18"/>
        </w:rPr>
        <w:t>artikel</w:t>
      </w:r>
      <w:r>
        <w:rPr>
          <w:spacing w:val="-4"/>
          <w:sz w:val="18"/>
        </w:rPr>
        <w:t xml:space="preserve"> </w:t>
      </w:r>
      <w:r>
        <w:rPr>
          <w:sz w:val="18"/>
        </w:rPr>
        <w:t>6</w:t>
      </w:r>
      <w:r>
        <w:rPr>
          <w:spacing w:val="-3"/>
          <w:sz w:val="18"/>
        </w:rPr>
        <w:t xml:space="preserve"> </w:t>
      </w:r>
      <w:r>
        <w:rPr>
          <w:sz w:val="18"/>
        </w:rPr>
        <w:t>en</w:t>
      </w:r>
      <w:r>
        <w:rPr>
          <w:spacing w:val="-3"/>
          <w:sz w:val="18"/>
        </w:rPr>
        <w:t xml:space="preserve"> </w:t>
      </w:r>
      <w:r>
        <w:rPr>
          <w:sz w:val="18"/>
        </w:rPr>
        <w:t>7</w:t>
      </w:r>
      <w:r>
        <w:rPr>
          <w:spacing w:val="-3"/>
          <w:sz w:val="18"/>
        </w:rPr>
        <w:t xml:space="preserve"> </w:t>
      </w:r>
      <w:r>
        <w:rPr>
          <w:sz w:val="18"/>
        </w:rPr>
        <w:t>Verdrag en</w:t>
      </w:r>
      <w:r>
        <w:rPr>
          <w:spacing w:val="-1"/>
          <w:sz w:val="18"/>
        </w:rPr>
        <w:t xml:space="preserve"> </w:t>
      </w:r>
      <w:r>
        <w:rPr>
          <w:sz w:val="18"/>
        </w:rPr>
        <w:t>de implicaties</w:t>
      </w:r>
      <w:r>
        <w:rPr>
          <w:spacing w:val="-4"/>
          <w:sz w:val="18"/>
        </w:rPr>
        <w:t xml:space="preserve"> </w:t>
      </w:r>
      <w:r>
        <w:rPr>
          <w:sz w:val="18"/>
        </w:rPr>
        <w:t>daarvan</w:t>
      </w:r>
      <w:r>
        <w:rPr>
          <w:spacing w:val="-1"/>
          <w:sz w:val="18"/>
        </w:rPr>
        <w:t xml:space="preserve"> </w:t>
      </w:r>
      <w:r>
        <w:rPr>
          <w:sz w:val="18"/>
        </w:rPr>
        <w:t>nader</w:t>
      </w:r>
      <w:r>
        <w:rPr>
          <w:spacing w:val="-1"/>
          <w:sz w:val="18"/>
        </w:rPr>
        <w:t xml:space="preserve"> </w:t>
      </w:r>
      <w:r>
        <w:rPr>
          <w:sz w:val="18"/>
        </w:rPr>
        <w:t>te bestuderen. Artikel</w:t>
      </w:r>
      <w:r>
        <w:rPr>
          <w:spacing w:val="-2"/>
          <w:sz w:val="18"/>
        </w:rPr>
        <w:t xml:space="preserve"> </w:t>
      </w:r>
      <w:r>
        <w:rPr>
          <w:sz w:val="18"/>
        </w:rPr>
        <w:t>6</w:t>
      </w:r>
      <w:r>
        <w:rPr>
          <w:spacing w:val="-1"/>
          <w:sz w:val="18"/>
        </w:rPr>
        <w:t xml:space="preserve"> </w:t>
      </w:r>
      <w:r>
        <w:rPr>
          <w:sz w:val="18"/>
        </w:rPr>
        <w:t>regelt inspraak over besluiten over specifieke activiteiten.</w:t>
      </w:r>
      <w:r>
        <w:rPr>
          <w:spacing w:val="-4"/>
          <w:sz w:val="18"/>
        </w:rPr>
        <w:t xml:space="preserve"> </w:t>
      </w:r>
      <w:r>
        <w:rPr>
          <w:sz w:val="18"/>
        </w:rPr>
        <w:t>Artikel</w:t>
      </w:r>
      <w:r>
        <w:rPr>
          <w:spacing w:val="-1"/>
          <w:sz w:val="18"/>
        </w:rPr>
        <w:t xml:space="preserve"> </w:t>
      </w:r>
      <w:r>
        <w:rPr>
          <w:sz w:val="18"/>
        </w:rPr>
        <w:t>7 regelt inspraak</w:t>
      </w:r>
      <w:r>
        <w:rPr>
          <w:spacing w:val="-2"/>
          <w:sz w:val="18"/>
        </w:rPr>
        <w:t xml:space="preserve"> </w:t>
      </w:r>
      <w:r>
        <w:rPr>
          <w:sz w:val="18"/>
        </w:rPr>
        <w:t>over plannen, programma’s en beleid betrekking hebbende op het milieu.</w:t>
      </w:r>
    </w:p>
    <w:p w:rsidR="0043411E" w:rsidP="0043411E" w:rsidRDefault="0043411E" w14:paraId="574D8E78" w14:textId="77777777">
      <w:pPr>
        <w:pStyle w:val="ListParagraph"/>
        <w:numPr>
          <w:ilvl w:val="0"/>
          <w:numId w:val="24"/>
        </w:numPr>
        <w:tabs>
          <w:tab w:val="left" w:pos="748"/>
          <w:tab w:val="left" w:pos="750"/>
        </w:tabs>
        <w:spacing w:line="264" w:lineRule="auto"/>
        <w:rPr>
          <w:sz w:val="18"/>
        </w:rPr>
      </w:pPr>
      <w:r>
        <w:rPr>
          <w:sz w:val="18"/>
        </w:rPr>
        <w:t>Enkele aanbevelingen raken aan het ‘Varkens in Nood’ reparatiewetsvoorstel, dat wijzigingen van de Omgevingswet, de Algemene wet bestuursrecht (Awb) en een aantal andere omgevingsrechtelijke</w:t>
      </w:r>
      <w:r>
        <w:rPr>
          <w:spacing w:val="-2"/>
          <w:sz w:val="18"/>
        </w:rPr>
        <w:t xml:space="preserve"> </w:t>
      </w:r>
      <w:r>
        <w:rPr>
          <w:sz w:val="18"/>
        </w:rPr>
        <w:t>wetten</w:t>
      </w:r>
      <w:r>
        <w:rPr>
          <w:spacing w:val="-7"/>
          <w:sz w:val="18"/>
        </w:rPr>
        <w:t xml:space="preserve"> </w:t>
      </w:r>
      <w:r>
        <w:rPr>
          <w:sz w:val="18"/>
        </w:rPr>
        <w:t>zal</w:t>
      </w:r>
      <w:r>
        <w:rPr>
          <w:spacing w:val="-4"/>
          <w:sz w:val="18"/>
        </w:rPr>
        <w:t xml:space="preserve"> </w:t>
      </w:r>
      <w:r>
        <w:rPr>
          <w:sz w:val="18"/>
        </w:rPr>
        <w:t>bevatten.</w:t>
      </w:r>
      <w:r>
        <w:rPr>
          <w:spacing w:val="-7"/>
          <w:sz w:val="18"/>
        </w:rPr>
        <w:t xml:space="preserve"> </w:t>
      </w:r>
      <w:r>
        <w:rPr>
          <w:sz w:val="18"/>
        </w:rPr>
        <w:t>Het</w:t>
      </w:r>
      <w:r>
        <w:rPr>
          <w:spacing w:val="-7"/>
          <w:sz w:val="18"/>
        </w:rPr>
        <w:t xml:space="preserve"> </w:t>
      </w:r>
      <w:r>
        <w:rPr>
          <w:sz w:val="18"/>
        </w:rPr>
        <w:t>wetsvoorstel</w:t>
      </w:r>
      <w:r>
        <w:rPr>
          <w:spacing w:val="-4"/>
          <w:sz w:val="18"/>
        </w:rPr>
        <w:t xml:space="preserve"> </w:t>
      </w:r>
      <w:r>
        <w:rPr>
          <w:sz w:val="18"/>
        </w:rPr>
        <w:t>bevond</w:t>
      </w:r>
      <w:r>
        <w:rPr>
          <w:spacing w:val="-1"/>
          <w:sz w:val="18"/>
        </w:rPr>
        <w:t xml:space="preserve"> </w:t>
      </w:r>
      <w:r>
        <w:rPr>
          <w:sz w:val="18"/>
        </w:rPr>
        <w:t>zich op dat moment nog in de fase van ambtelijke voorbereiding.</w:t>
      </w:r>
    </w:p>
    <w:p w:rsidR="0043411E" w:rsidP="0043411E" w:rsidRDefault="0043411E" w14:paraId="146DF6D4" w14:textId="77777777">
      <w:pPr>
        <w:pStyle w:val="BodyText"/>
        <w:spacing w:line="211" w:lineRule="exact"/>
        <w:ind w:left="30"/>
      </w:pPr>
    </w:p>
    <w:p w:rsidR="0043411E" w:rsidP="0043411E" w:rsidRDefault="0043411E" w14:paraId="305B5DD2" w14:textId="0726E85F">
      <w:pPr>
        <w:pStyle w:val="BodyText"/>
        <w:spacing w:line="264" w:lineRule="auto"/>
        <w:ind w:left="30"/>
      </w:pPr>
      <w:r>
        <w:t>De</w:t>
      </w:r>
      <w:r>
        <w:rPr>
          <w:spacing w:val="-3"/>
        </w:rPr>
        <w:t xml:space="preserve"> </w:t>
      </w:r>
      <w:r>
        <w:t>aanbevelingen</w:t>
      </w:r>
      <w:r>
        <w:rPr>
          <w:rStyle w:val="FootnoteReference"/>
        </w:rPr>
        <w:footnoteReference w:id="3"/>
      </w:r>
      <w:r>
        <w:rPr>
          <w:spacing w:val="17"/>
          <w:position w:val="6"/>
          <w:sz w:val="12"/>
        </w:rPr>
        <w:t xml:space="preserve"> </w:t>
      </w:r>
      <w:r>
        <w:t>zijn</w:t>
      </w:r>
      <w:r>
        <w:rPr>
          <w:spacing w:val="-5"/>
        </w:rPr>
        <w:t xml:space="preserve"> </w:t>
      </w:r>
      <w:r>
        <w:t>door</w:t>
      </w:r>
      <w:r>
        <w:rPr>
          <w:spacing w:val="-5"/>
        </w:rPr>
        <w:t xml:space="preserve"> </w:t>
      </w:r>
      <w:r>
        <w:t>de</w:t>
      </w:r>
      <w:r>
        <w:rPr>
          <w:spacing w:val="-3"/>
        </w:rPr>
        <w:t xml:space="preserve"> </w:t>
      </w:r>
      <w:r>
        <w:t>onderzoekers</w:t>
      </w:r>
      <w:r>
        <w:rPr>
          <w:spacing w:val="-4"/>
        </w:rPr>
        <w:t xml:space="preserve"> </w:t>
      </w:r>
      <w:r>
        <w:t>in</w:t>
      </w:r>
      <w:r>
        <w:rPr>
          <w:spacing w:val="-2"/>
        </w:rPr>
        <w:t xml:space="preserve"> </w:t>
      </w:r>
      <w:r>
        <w:t>categorieën</w:t>
      </w:r>
      <w:r>
        <w:rPr>
          <w:spacing w:val="-4"/>
        </w:rPr>
        <w:t xml:space="preserve"> </w:t>
      </w:r>
      <w:r>
        <w:t>aangeboden,</w:t>
      </w:r>
      <w:r>
        <w:rPr>
          <w:spacing w:val="-4"/>
        </w:rPr>
        <w:t xml:space="preserve"> </w:t>
      </w:r>
      <w:r>
        <w:t xml:space="preserve">die aansluiten bij de pijlers van het Verdrag. Allereerst enkele algemene </w:t>
      </w:r>
      <w:r w:rsidRPr="0043411E">
        <w:lastRenderedPageBreak/>
        <w:t>aanbevelingen. Als tweede aanbevelingen met betrekking tot toegang tot informatie; deze aanbevelingen zijn in de eerste beleidsreactie al volledig beantwoord.</w:t>
      </w:r>
      <w:r>
        <w:rPr>
          <w:rStyle w:val="FootnoteReference"/>
        </w:rPr>
        <w:footnoteReference w:id="4"/>
      </w:r>
      <w:r w:rsidRPr="0043411E">
        <w:t xml:space="preserve"> Als derde aanbevelingen met betrekking tot inspraak en participatie en als laatste aanbevelingen met betrekking tot rechtsbescherming. Deze laatste aanbevelingen hebben met name betrekking op het ‘Varkens in Nood’ reparatiewetsvoorstel.</w:t>
      </w:r>
      <w:r>
        <w:rPr>
          <w:rStyle w:val="FootnoteReference"/>
        </w:rPr>
        <w:footnoteReference w:id="5"/>
      </w:r>
      <w:r w:rsidRPr="0043411E">
        <w:t xml:space="preserve"> Deze categorisering wordt ook in de Kamerbrief aangehouden.</w:t>
      </w:r>
    </w:p>
    <w:p w:rsidR="0043411E" w:rsidP="0043411E" w:rsidRDefault="0043411E" w14:paraId="74ADE763" w14:textId="77777777">
      <w:pPr>
        <w:pStyle w:val="BodyText"/>
        <w:spacing w:line="264" w:lineRule="auto"/>
        <w:ind w:left="30"/>
      </w:pPr>
    </w:p>
    <w:p w:rsidR="0043411E" w:rsidP="0043411E" w:rsidRDefault="0043411E" w14:paraId="152F9BAB" w14:textId="77777777">
      <w:pPr>
        <w:pStyle w:val="BodyText"/>
        <w:spacing w:line="264" w:lineRule="auto"/>
        <w:ind w:left="30"/>
      </w:pPr>
      <w:r>
        <w:t>Deze brief geeft een tweede reactie op de openstaande aanbevelingen uit het onderzoek,</w:t>
      </w:r>
      <w:r>
        <w:rPr>
          <w:spacing w:val="-7"/>
        </w:rPr>
        <w:t xml:space="preserve"> </w:t>
      </w:r>
      <w:r>
        <w:t>en</w:t>
      </w:r>
      <w:r>
        <w:rPr>
          <w:spacing w:val="-4"/>
        </w:rPr>
        <w:t xml:space="preserve"> </w:t>
      </w:r>
      <w:r>
        <w:t>geeft</w:t>
      </w:r>
      <w:r>
        <w:rPr>
          <w:spacing w:val="-3"/>
        </w:rPr>
        <w:t xml:space="preserve"> </w:t>
      </w:r>
      <w:r>
        <w:t>de</w:t>
      </w:r>
      <w:r>
        <w:rPr>
          <w:spacing w:val="-2"/>
        </w:rPr>
        <w:t xml:space="preserve"> </w:t>
      </w:r>
      <w:r>
        <w:t>laatste</w:t>
      </w:r>
      <w:r>
        <w:rPr>
          <w:spacing w:val="-2"/>
        </w:rPr>
        <w:t xml:space="preserve"> </w:t>
      </w:r>
      <w:r>
        <w:t>stand</w:t>
      </w:r>
      <w:r>
        <w:rPr>
          <w:spacing w:val="-2"/>
        </w:rPr>
        <w:t xml:space="preserve"> </w:t>
      </w:r>
      <w:r>
        <w:t>van</w:t>
      </w:r>
      <w:r>
        <w:rPr>
          <w:spacing w:val="-4"/>
        </w:rPr>
        <w:t xml:space="preserve"> </w:t>
      </w:r>
      <w:r>
        <w:t>zaken</w:t>
      </w:r>
      <w:r>
        <w:rPr>
          <w:spacing w:val="-4"/>
        </w:rPr>
        <w:t xml:space="preserve"> </w:t>
      </w:r>
      <w:r>
        <w:t>van</w:t>
      </w:r>
      <w:r>
        <w:rPr>
          <w:spacing w:val="-4"/>
        </w:rPr>
        <w:t xml:space="preserve"> </w:t>
      </w:r>
      <w:r>
        <w:t>enkele</w:t>
      </w:r>
      <w:r>
        <w:rPr>
          <w:spacing w:val="-2"/>
        </w:rPr>
        <w:t xml:space="preserve"> </w:t>
      </w:r>
      <w:r>
        <w:t>aanbevelingen</w:t>
      </w:r>
      <w:r>
        <w:rPr>
          <w:spacing w:val="-8"/>
        </w:rPr>
        <w:t xml:space="preserve"> </w:t>
      </w:r>
      <w:r>
        <w:t>die</w:t>
      </w:r>
      <w:r>
        <w:rPr>
          <w:spacing w:val="-2"/>
        </w:rPr>
        <w:t xml:space="preserve"> </w:t>
      </w:r>
      <w:r>
        <w:t>al</w:t>
      </w:r>
      <w:r>
        <w:rPr>
          <w:spacing w:val="-6"/>
        </w:rPr>
        <w:t xml:space="preserve"> </w:t>
      </w:r>
      <w:r>
        <w:t>in de eerste reactie aan bod kwamen. Een gedetailleerde reactie per aanbeveling wordt als bijlage toegevoegd aan deze Kamerbrief (bijlage 1).</w:t>
      </w:r>
    </w:p>
    <w:p w:rsidR="0043411E" w:rsidP="0043411E" w:rsidRDefault="0043411E" w14:paraId="5E73B22E" w14:textId="77777777">
      <w:pPr>
        <w:pStyle w:val="BodyText"/>
        <w:spacing w:before="19"/>
      </w:pPr>
    </w:p>
    <w:p w:rsidR="0043411E" w:rsidP="0043411E" w:rsidRDefault="0043411E" w14:paraId="17877E5B" w14:textId="77777777">
      <w:pPr>
        <w:pStyle w:val="BodyText"/>
        <w:spacing w:line="264" w:lineRule="auto"/>
        <w:ind w:left="30"/>
      </w:pPr>
      <w:r>
        <w:t>Vanwege</w:t>
      </w:r>
      <w:r>
        <w:rPr>
          <w:spacing w:val="-7"/>
        </w:rPr>
        <w:t xml:space="preserve"> </w:t>
      </w:r>
      <w:r>
        <w:t>de</w:t>
      </w:r>
      <w:r>
        <w:rPr>
          <w:spacing w:val="-2"/>
        </w:rPr>
        <w:t xml:space="preserve"> </w:t>
      </w:r>
      <w:r>
        <w:t>samenhang</w:t>
      </w:r>
      <w:r>
        <w:rPr>
          <w:spacing w:val="-7"/>
        </w:rPr>
        <w:t xml:space="preserve"> </w:t>
      </w:r>
      <w:r>
        <w:t>met</w:t>
      </w:r>
      <w:r>
        <w:rPr>
          <w:spacing w:val="-3"/>
        </w:rPr>
        <w:t xml:space="preserve"> </w:t>
      </w:r>
      <w:r>
        <w:t>het</w:t>
      </w:r>
      <w:r>
        <w:rPr>
          <w:spacing w:val="-3"/>
        </w:rPr>
        <w:t xml:space="preserve"> </w:t>
      </w:r>
      <w:r>
        <w:t>‘Varkens</w:t>
      </w:r>
      <w:r>
        <w:rPr>
          <w:spacing w:val="-3"/>
        </w:rPr>
        <w:t xml:space="preserve"> </w:t>
      </w:r>
      <w:r>
        <w:t>in</w:t>
      </w:r>
      <w:r>
        <w:rPr>
          <w:spacing w:val="-4"/>
        </w:rPr>
        <w:t xml:space="preserve"> </w:t>
      </w:r>
      <w:r>
        <w:t>Nood’</w:t>
      </w:r>
      <w:r>
        <w:rPr>
          <w:spacing w:val="-1"/>
        </w:rPr>
        <w:t xml:space="preserve"> </w:t>
      </w:r>
      <w:r>
        <w:t>reparatiewetsvoorstel</w:t>
      </w:r>
      <w:r>
        <w:rPr>
          <w:spacing w:val="-3"/>
        </w:rPr>
        <w:t xml:space="preserve"> </w:t>
      </w:r>
      <w:r>
        <w:t>wordt</w:t>
      </w:r>
      <w:r>
        <w:rPr>
          <w:spacing w:val="-8"/>
        </w:rPr>
        <w:t xml:space="preserve"> </w:t>
      </w:r>
      <w:r>
        <w:t>de brief mede namens de staatssecretaris van Justitie en Veiligheid verstuurd.</w:t>
      </w:r>
    </w:p>
    <w:p w:rsidR="0043411E" w:rsidP="0043411E" w:rsidRDefault="0043411E" w14:paraId="44073543" w14:textId="77777777">
      <w:pPr>
        <w:pStyle w:val="BodyText"/>
        <w:spacing w:before="20"/>
      </w:pPr>
    </w:p>
    <w:p w:rsidR="0043411E" w:rsidP="0043411E" w:rsidRDefault="0043411E" w14:paraId="63931AC3" w14:textId="77777777">
      <w:pPr>
        <w:pStyle w:val="Heading1"/>
      </w:pPr>
      <w:r>
        <w:t>Algemene</w:t>
      </w:r>
      <w:r>
        <w:rPr>
          <w:spacing w:val="-2"/>
        </w:rPr>
        <w:t xml:space="preserve"> aanbevelingen</w:t>
      </w:r>
    </w:p>
    <w:p w:rsidR="0043411E" w:rsidP="0043411E" w:rsidRDefault="0043411E" w14:paraId="1D76995D" w14:textId="77777777">
      <w:pPr>
        <w:pStyle w:val="BodyText"/>
        <w:spacing w:before="21" w:line="264" w:lineRule="auto"/>
        <w:ind w:left="30"/>
      </w:pPr>
      <w:r>
        <w:t>In het onderzoek worden enkele algemene aanbevelingen gedaan. De onderzoekers stellen voor een Aarhus-expertisecentrum op te richten dat uitleg geeft</w:t>
      </w:r>
      <w:r>
        <w:rPr>
          <w:spacing w:val="-3"/>
        </w:rPr>
        <w:t xml:space="preserve"> </w:t>
      </w:r>
      <w:r>
        <w:t>over</w:t>
      </w:r>
      <w:r>
        <w:rPr>
          <w:spacing w:val="-3"/>
        </w:rPr>
        <w:t xml:space="preserve"> </w:t>
      </w:r>
      <w:r>
        <w:t>open</w:t>
      </w:r>
      <w:r>
        <w:rPr>
          <w:spacing w:val="-4"/>
        </w:rPr>
        <w:t xml:space="preserve"> </w:t>
      </w:r>
      <w:r>
        <w:t>normen</w:t>
      </w:r>
      <w:r>
        <w:rPr>
          <w:spacing w:val="-4"/>
        </w:rPr>
        <w:t xml:space="preserve"> </w:t>
      </w:r>
      <w:r>
        <w:t>in</w:t>
      </w:r>
      <w:r>
        <w:rPr>
          <w:spacing w:val="-4"/>
        </w:rPr>
        <w:t xml:space="preserve"> </w:t>
      </w:r>
      <w:r>
        <w:t>de</w:t>
      </w:r>
      <w:r>
        <w:rPr>
          <w:spacing w:val="-2"/>
        </w:rPr>
        <w:t xml:space="preserve"> </w:t>
      </w:r>
      <w:r>
        <w:t>Nederlandse</w:t>
      </w:r>
      <w:r>
        <w:rPr>
          <w:spacing w:val="-2"/>
        </w:rPr>
        <w:t xml:space="preserve"> </w:t>
      </w:r>
      <w:r>
        <w:t>wet</w:t>
      </w:r>
      <w:r>
        <w:rPr>
          <w:spacing w:val="-3"/>
        </w:rPr>
        <w:t xml:space="preserve"> </w:t>
      </w:r>
      <w:r>
        <w:t>en</w:t>
      </w:r>
      <w:r>
        <w:rPr>
          <w:spacing w:val="-4"/>
        </w:rPr>
        <w:t xml:space="preserve"> </w:t>
      </w:r>
      <w:r>
        <w:t>duidelijkheid</w:t>
      </w:r>
      <w:r>
        <w:rPr>
          <w:spacing w:val="-2"/>
        </w:rPr>
        <w:t xml:space="preserve"> </w:t>
      </w:r>
      <w:r>
        <w:t>te</w:t>
      </w:r>
      <w:r>
        <w:rPr>
          <w:spacing w:val="-2"/>
        </w:rPr>
        <w:t xml:space="preserve"> </w:t>
      </w:r>
      <w:r>
        <w:t>creëren</w:t>
      </w:r>
      <w:r>
        <w:rPr>
          <w:spacing w:val="-4"/>
        </w:rPr>
        <w:t xml:space="preserve"> </w:t>
      </w:r>
      <w:r>
        <w:t>over</w:t>
      </w:r>
      <w:r>
        <w:rPr>
          <w:spacing w:val="-5"/>
        </w:rPr>
        <w:t xml:space="preserve"> </w:t>
      </w:r>
      <w:r>
        <w:t>de interpretatie van het Verdrag.</w:t>
      </w:r>
    </w:p>
    <w:p w:rsidR="0043411E" w:rsidP="0043411E" w:rsidRDefault="0043411E" w14:paraId="69E63530" w14:textId="77777777">
      <w:pPr>
        <w:pStyle w:val="BodyText"/>
        <w:spacing w:before="2"/>
      </w:pPr>
    </w:p>
    <w:p w:rsidR="0043411E" w:rsidP="0043411E" w:rsidRDefault="0043411E" w14:paraId="3F935950" w14:textId="17BDDEAE">
      <w:pPr>
        <w:pStyle w:val="BodyText"/>
        <w:spacing w:line="266" w:lineRule="auto"/>
        <w:ind w:left="30" w:right="100"/>
      </w:pPr>
      <w:r>
        <w:t xml:space="preserve">De aanbeveling 2 en 4 zullen worden ingevuld </w:t>
      </w:r>
      <w:bookmarkStart w:name="_Hlk229387839" w:id="1"/>
      <w:r>
        <w:t xml:space="preserve">door de samenwerking tussen de betrokken departementen verder te versterken en gezamenlijk te werken aan verduidelijking van </w:t>
      </w:r>
      <w:r w:rsidR="00823878">
        <w:t xml:space="preserve">de uitleg van </w:t>
      </w:r>
      <w:r>
        <w:t xml:space="preserve">het Verdrag. </w:t>
      </w:r>
      <w:bookmarkEnd w:id="1"/>
      <w:r>
        <w:t>Dit maakt het eenvoudiger om informatie te verspreiden over de werkingssfeer van het Verdrag en richtsnoeren vanuit het Rijk te ontwikkelen. Het is duidelijk dat er behoefte is aan richtsnoeren voor de praktijk, hier wordt dan ook prioriteit aan gegeven.</w:t>
      </w:r>
    </w:p>
    <w:p w:rsidR="0043411E" w:rsidP="0043411E" w:rsidRDefault="0043411E" w14:paraId="12D63AF7" w14:textId="77777777">
      <w:pPr>
        <w:pStyle w:val="BodyText"/>
        <w:spacing w:before="22"/>
      </w:pPr>
    </w:p>
    <w:p w:rsidR="0043411E" w:rsidP="0043411E" w:rsidRDefault="0043411E" w14:paraId="3FA0D498" w14:textId="77777777">
      <w:pPr>
        <w:pStyle w:val="Heading1"/>
      </w:pPr>
      <w:r>
        <w:t>Aanbevelingen</w:t>
      </w:r>
      <w:r>
        <w:rPr>
          <w:spacing w:val="3"/>
        </w:rPr>
        <w:t xml:space="preserve"> </w:t>
      </w:r>
      <w:r>
        <w:t>met</w:t>
      </w:r>
      <w:r>
        <w:rPr>
          <w:spacing w:val="-2"/>
        </w:rPr>
        <w:t xml:space="preserve"> </w:t>
      </w:r>
      <w:r>
        <w:t>betrekking</w:t>
      </w:r>
      <w:r>
        <w:rPr>
          <w:spacing w:val="7"/>
        </w:rPr>
        <w:t xml:space="preserve"> </w:t>
      </w:r>
      <w:r>
        <w:t>tot</w:t>
      </w:r>
      <w:r>
        <w:rPr>
          <w:spacing w:val="1"/>
        </w:rPr>
        <w:t xml:space="preserve"> </w:t>
      </w:r>
      <w:r>
        <w:t>inspraak</w:t>
      </w:r>
      <w:r>
        <w:rPr>
          <w:spacing w:val="6"/>
        </w:rPr>
        <w:t xml:space="preserve"> </w:t>
      </w:r>
      <w:r>
        <w:t>en</w:t>
      </w:r>
      <w:r>
        <w:rPr>
          <w:spacing w:val="-2"/>
        </w:rPr>
        <w:t xml:space="preserve"> participatie</w:t>
      </w:r>
    </w:p>
    <w:p w:rsidR="0043411E" w:rsidP="0043411E" w:rsidRDefault="0043411E" w14:paraId="1808B445" w14:textId="77777777">
      <w:pPr>
        <w:pStyle w:val="BodyText"/>
        <w:spacing w:before="21"/>
        <w:ind w:left="30"/>
      </w:pPr>
      <w:r>
        <w:t>De</w:t>
      </w:r>
      <w:r>
        <w:rPr>
          <w:spacing w:val="4"/>
        </w:rPr>
        <w:t xml:space="preserve"> </w:t>
      </w:r>
      <w:r>
        <w:t>onderzoekers</w:t>
      </w:r>
      <w:r>
        <w:rPr>
          <w:spacing w:val="4"/>
        </w:rPr>
        <w:t xml:space="preserve"> </w:t>
      </w:r>
      <w:r>
        <w:t>stellen</w:t>
      </w:r>
      <w:r>
        <w:rPr>
          <w:spacing w:val="3"/>
        </w:rPr>
        <w:t xml:space="preserve"> </w:t>
      </w:r>
      <w:r>
        <w:t>voor</w:t>
      </w:r>
      <w:r>
        <w:rPr>
          <w:spacing w:val="-3"/>
        </w:rPr>
        <w:t xml:space="preserve"> </w:t>
      </w:r>
      <w:r>
        <w:t>de</w:t>
      </w:r>
      <w:r>
        <w:rPr>
          <w:spacing w:val="5"/>
        </w:rPr>
        <w:t xml:space="preserve"> </w:t>
      </w:r>
      <w:r>
        <w:t>vertaling</w:t>
      </w:r>
      <w:r>
        <w:rPr>
          <w:spacing w:val="5"/>
        </w:rPr>
        <w:t xml:space="preserve"> </w:t>
      </w:r>
      <w:r>
        <w:t>van</w:t>
      </w:r>
      <w:r>
        <w:rPr>
          <w:spacing w:val="3"/>
        </w:rPr>
        <w:t xml:space="preserve"> </w:t>
      </w:r>
      <w:r>
        <w:t>het</w:t>
      </w:r>
      <w:r>
        <w:rPr>
          <w:spacing w:val="4"/>
        </w:rPr>
        <w:t xml:space="preserve"> </w:t>
      </w:r>
      <w:r>
        <w:t>Verdrag</w:t>
      </w:r>
      <w:r>
        <w:rPr>
          <w:spacing w:val="5"/>
        </w:rPr>
        <w:t xml:space="preserve"> </w:t>
      </w:r>
      <w:r>
        <w:t>aan</w:t>
      </w:r>
      <w:r>
        <w:rPr>
          <w:spacing w:val="3"/>
        </w:rPr>
        <w:t xml:space="preserve"> </w:t>
      </w:r>
      <w:r>
        <w:t>te</w:t>
      </w:r>
      <w:r>
        <w:rPr>
          <w:spacing w:val="5"/>
        </w:rPr>
        <w:t xml:space="preserve"> </w:t>
      </w:r>
      <w:r>
        <w:rPr>
          <w:spacing w:val="-5"/>
        </w:rPr>
        <w:t>passen, zodat er</w:t>
      </w:r>
      <w:r>
        <w:t xml:space="preserve"> steeds</w:t>
      </w:r>
      <w:r>
        <w:rPr>
          <w:spacing w:val="-5"/>
        </w:rPr>
        <w:t xml:space="preserve"> </w:t>
      </w:r>
      <w:r>
        <w:t>sprake</w:t>
      </w:r>
      <w:r>
        <w:rPr>
          <w:spacing w:val="-4"/>
        </w:rPr>
        <w:t xml:space="preserve"> </w:t>
      </w:r>
      <w:r>
        <w:t>is</w:t>
      </w:r>
      <w:r>
        <w:rPr>
          <w:spacing w:val="-5"/>
        </w:rPr>
        <w:t xml:space="preserve"> </w:t>
      </w:r>
      <w:r>
        <w:t>van</w:t>
      </w:r>
      <w:r>
        <w:rPr>
          <w:spacing w:val="-3"/>
        </w:rPr>
        <w:t xml:space="preserve"> </w:t>
      </w:r>
      <w:r>
        <w:t>(publieks-)participatie</w:t>
      </w:r>
      <w:r>
        <w:rPr>
          <w:spacing w:val="-4"/>
        </w:rPr>
        <w:t xml:space="preserve"> </w:t>
      </w:r>
      <w:r>
        <w:t>in</w:t>
      </w:r>
      <w:r>
        <w:rPr>
          <w:spacing w:val="-6"/>
        </w:rPr>
        <w:t xml:space="preserve"> </w:t>
      </w:r>
      <w:r>
        <w:t>plaats</w:t>
      </w:r>
      <w:r>
        <w:rPr>
          <w:spacing w:val="-5"/>
        </w:rPr>
        <w:t xml:space="preserve"> </w:t>
      </w:r>
      <w:r>
        <w:t>van</w:t>
      </w:r>
      <w:r>
        <w:rPr>
          <w:spacing w:val="-6"/>
        </w:rPr>
        <w:t xml:space="preserve"> </w:t>
      </w:r>
      <w:r>
        <w:t>inspraak. Er is op dit moment geen aanleiding om hier invulling aan te geven.</w:t>
      </w:r>
    </w:p>
    <w:p w:rsidR="0043411E" w:rsidP="0043411E" w:rsidRDefault="0043411E" w14:paraId="20F887DF" w14:textId="77777777">
      <w:pPr>
        <w:pStyle w:val="BodyText"/>
        <w:spacing w:before="20"/>
      </w:pPr>
    </w:p>
    <w:p w:rsidR="0043411E" w:rsidP="0043411E" w:rsidRDefault="0043411E" w14:paraId="79813074" w14:textId="77777777">
      <w:pPr>
        <w:pStyle w:val="BodyText"/>
        <w:spacing w:line="264" w:lineRule="auto"/>
        <w:ind w:left="30"/>
      </w:pPr>
      <w:r>
        <w:t>De</w:t>
      </w:r>
      <w:r>
        <w:rPr>
          <w:spacing w:val="-2"/>
        </w:rPr>
        <w:t xml:space="preserve"> </w:t>
      </w:r>
      <w:r>
        <w:t>onderzoekers</w:t>
      </w:r>
      <w:r>
        <w:rPr>
          <w:spacing w:val="-3"/>
        </w:rPr>
        <w:t xml:space="preserve"> </w:t>
      </w:r>
      <w:r>
        <w:t>stellen</w:t>
      </w:r>
      <w:r>
        <w:rPr>
          <w:spacing w:val="-6"/>
        </w:rPr>
        <w:t xml:space="preserve"> </w:t>
      </w:r>
      <w:r>
        <w:t>daarnaast</w:t>
      </w:r>
      <w:r>
        <w:rPr>
          <w:spacing w:val="-7"/>
        </w:rPr>
        <w:t xml:space="preserve"> </w:t>
      </w:r>
      <w:r>
        <w:t>meerdere</w:t>
      </w:r>
      <w:r>
        <w:rPr>
          <w:spacing w:val="-2"/>
        </w:rPr>
        <w:t xml:space="preserve"> </w:t>
      </w:r>
      <w:r>
        <w:t>wetswijzigingen</w:t>
      </w:r>
      <w:r>
        <w:rPr>
          <w:spacing w:val="-4"/>
        </w:rPr>
        <w:t xml:space="preserve"> </w:t>
      </w:r>
      <w:r>
        <w:t>voor,</w:t>
      </w:r>
      <w:r>
        <w:rPr>
          <w:spacing w:val="-8"/>
        </w:rPr>
        <w:t xml:space="preserve"> </w:t>
      </w:r>
      <w:r>
        <w:t>waaronder</w:t>
      </w:r>
      <w:r>
        <w:rPr>
          <w:spacing w:val="-9"/>
        </w:rPr>
        <w:t xml:space="preserve"> </w:t>
      </w:r>
      <w:r>
        <w:t>drie aanbevelingen (aanbevelingen 15, 16 en 17) om vroegtijdige inspraak te verzekeren. Deze aanbevelingen worden voorbarig geacht. Er is bijvoorbeeld nog geen duidelijke jurisprudentie of het is niet duidelijk hoe vaak het omschreven probleem in de praktijk voorkomt. Ook wordt er geen opvolging gegeven aan de specifiekere wetswijzigingen zoals voorgesteld in aanbevelingen 12 en 13.</w:t>
      </w:r>
    </w:p>
    <w:p w:rsidR="0043411E" w:rsidP="0043411E" w:rsidRDefault="0043411E" w14:paraId="6C2CC60D" w14:textId="77777777">
      <w:pPr>
        <w:pStyle w:val="BodyText"/>
        <w:spacing w:line="264" w:lineRule="auto"/>
        <w:ind w:left="30"/>
      </w:pPr>
      <w:r>
        <w:t>Wel zal er worden bezien of de toepasselijke wet-of regelgeving zou kunnen worden</w:t>
      </w:r>
      <w:r>
        <w:rPr>
          <w:spacing w:val="-4"/>
        </w:rPr>
        <w:t xml:space="preserve"> </w:t>
      </w:r>
      <w:r>
        <w:t>aangevuld</w:t>
      </w:r>
      <w:r>
        <w:rPr>
          <w:spacing w:val="-2"/>
        </w:rPr>
        <w:t xml:space="preserve"> </w:t>
      </w:r>
      <w:r>
        <w:t>met</w:t>
      </w:r>
      <w:r>
        <w:rPr>
          <w:spacing w:val="-8"/>
        </w:rPr>
        <w:t xml:space="preserve"> </w:t>
      </w:r>
      <w:r>
        <w:t>een</w:t>
      </w:r>
      <w:r>
        <w:rPr>
          <w:spacing w:val="-4"/>
        </w:rPr>
        <w:t xml:space="preserve"> </w:t>
      </w:r>
      <w:r>
        <w:t>bepaling</w:t>
      </w:r>
      <w:r>
        <w:rPr>
          <w:spacing w:val="-7"/>
        </w:rPr>
        <w:t xml:space="preserve"> </w:t>
      </w:r>
      <w:r>
        <w:t>die</w:t>
      </w:r>
      <w:r>
        <w:rPr>
          <w:spacing w:val="-2"/>
        </w:rPr>
        <w:t xml:space="preserve"> </w:t>
      </w:r>
      <w:r>
        <w:t>specificeert</w:t>
      </w:r>
      <w:r>
        <w:rPr>
          <w:spacing w:val="-8"/>
        </w:rPr>
        <w:t xml:space="preserve"> </w:t>
      </w:r>
      <w:r>
        <w:t>welke</w:t>
      </w:r>
      <w:r>
        <w:rPr>
          <w:spacing w:val="-2"/>
        </w:rPr>
        <w:t xml:space="preserve"> </w:t>
      </w:r>
      <w:r>
        <w:t>informatie</w:t>
      </w:r>
      <w:r>
        <w:rPr>
          <w:spacing w:val="-2"/>
        </w:rPr>
        <w:t xml:space="preserve"> </w:t>
      </w:r>
      <w:r>
        <w:t>beschikbaar moet worden gesteld in inspraakprocedures over een Aarhus-besluit. Zoals voorgesteld door de onderzoekers in aanbeveling 19.</w:t>
      </w:r>
    </w:p>
    <w:p w:rsidR="0043411E" w:rsidP="0043411E" w:rsidRDefault="0043411E" w14:paraId="70C59BCC" w14:textId="77777777">
      <w:pPr>
        <w:pStyle w:val="BodyText"/>
        <w:spacing w:line="264" w:lineRule="auto"/>
        <w:ind w:left="30"/>
      </w:pPr>
    </w:p>
    <w:p w:rsidR="0043411E" w:rsidP="0043411E" w:rsidRDefault="0043411E" w14:paraId="65F49EC5" w14:textId="77777777">
      <w:pPr>
        <w:pStyle w:val="BodyText"/>
        <w:ind w:left="30"/>
      </w:pPr>
      <w:r>
        <w:t>In</w:t>
      </w:r>
      <w:r>
        <w:rPr>
          <w:spacing w:val="-5"/>
        </w:rPr>
        <w:t xml:space="preserve"> </w:t>
      </w:r>
      <w:r>
        <w:t>aanbeveling</w:t>
      </w:r>
      <w:r>
        <w:rPr>
          <w:spacing w:val="-2"/>
        </w:rPr>
        <w:t xml:space="preserve"> </w:t>
      </w:r>
      <w:r>
        <w:t>21</w:t>
      </w:r>
      <w:r>
        <w:rPr>
          <w:spacing w:val="-4"/>
        </w:rPr>
        <w:t xml:space="preserve"> </w:t>
      </w:r>
      <w:r>
        <w:t>stellen</w:t>
      </w:r>
      <w:r>
        <w:rPr>
          <w:spacing w:val="-8"/>
        </w:rPr>
        <w:t xml:space="preserve"> </w:t>
      </w:r>
      <w:r>
        <w:t>de</w:t>
      </w:r>
      <w:r>
        <w:rPr>
          <w:spacing w:val="-7"/>
        </w:rPr>
        <w:t xml:space="preserve"> </w:t>
      </w:r>
      <w:r>
        <w:t>onderzoekers</w:t>
      </w:r>
      <w:r>
        <w:rPr>
          <w:spacing w:val="-7"/>
        </w:rPr>
        <w:t xml:space="preserve"> </w:t>
      </w:r>
      <w:r>
        <w:t>dat</w:t>
      </w:r>
      <w:r>
        <w:rPr>
          <w:spacing w:val="-8"/>
        </w:rPr>
        <w:t xml:space="preserve"> </w:t>
      </w:r>
      <w:r>
        <w:t>deelname</w:t>
      </w:r>
      <w:r>
        <w:rPr>
          <w:spacing w:val="-2"/>
        </w:rPr>
        <w:t xml:space="preserve"> </w:t>
      </w:r>
      <w:r>
        <w:t>aan</w:t>
      </w:r>
      <w:r>
        <w:rPr>
          <w:spacing w:val="-4"/>
        </w:rPr>
        <w:t xml:space="preserve"> </w:t>
      </w:r>
      <w:r>
        <w:t>inspraak</w:t>
      </w:r>
      <w:r>
        <w:rPr>
          <w:spacing w:val="-6"/>
        </w:rPr>
        <w:t xml:space="preserve"> </w:t>
      </w:r>
      <w:r>
        <w:t>bij</w:t>
      </w:r>
      <w:r>
        <w:rPr>
          <w:spacing w:val="-9"/>
        </w:rPr>
        <w:t xml:space="preserve"> </w:t>
      </w:r>
      <w:r>
        <w:rPr>
          <w:spacing w:val="-2"/>
        </w:rPr>
        <w:t>plannen</w:t>
      </w:r>
    </w:p>
    <w:p w:rsidR="0043411E" w:rsidP="0043411E" w:rsidRDefault="0043411E" w14:paraId="747BD1B1" w14:textId="77777777">
      <w:pPr>
        <w:pStyle w:val="BodyText"/>
        <w:spacing w:before="21"/>
        <w:ind w:left="30"/>
        <w:rPr>
          <w:spacing w:val="-2"/>
        </w:rPr>
      </w:pPr>
      <w:r>
        <w:t>en</w:t>
      </w:r>
      <w:r>
        <w:rPr>
          <w:spacing w:val="-4"/>
        </w:rPr>
        <w:t xml:space="preserve"> </w:t>
      </w:r>
      <w:r>
        <w:t>programma’s</w:t>
      </w:r>
      <w:r>
        <w:rPr>
          <w:spacing w:val="-2"/>
        </w:rPr>
        <w:t xml:space="preserve"> </w:t>
      </w:r>
      <w:r>
        <w:t>mogelijk</w:t>
      </w:r>
      <w:r>
        <w:rPr>
          <w:spacing w:val="-5"/>
        </w:rPr>
        <w:t xml:space="preserve"> </w:t>
      </w:r>
      <w:r>
        <w:t>moet</w:t>
      </w:r>
      <w:r>
        <w:rPr>
          <w:spacing w:val="-7"/>
        </w:rPr>
        <w:t xml:space="preserve"> </w:t>
      </w:r>
      <w:r>
        <w:t>blijven</w:t>
      </w:r>
      <w:r>
        <w:rPr>
          <w:spacing w:val="-3"/>
        </w:rPr>
        <w:t xml:space="preserve"> </w:t>
      </w:r>
      <w:r>
        <w:t>voor</w:t>
      </w:r>
      <w:r>
        <w:rPr>
          <w:spacing w:val="-8"/>
        </w:rPr>
        <w:t xml:space="preserve"> </w:t>
      </w:r>
      <w:r>
        <w:t>eenieder.</w:t>
      </w:r>
      <w:r>
        <w:rPr>
          <w:spacing w:val="-6"/>
        </w:rPr>
        <w:t xml:space="preserve"> </w:t>
      </w:r>
      <w:r>
        <w:t>Dit</w:t>
      </w:r>
      <w:r>
        <w:rPr>
          <w:spacing w:val="-2"/>
        </w:rPr>
        <w:t xml:space="preserve"> </w:t>
      </w:r>
      <w:r>
        <w:t>is</w:t>
      </w:r>
      <w:r>
        <w:rPr>
          <w:spacing w:val="-3"/>
        </w:rPr>
        <w:t xml:space="preserve"> </w:t>
      </w:r>
      <w:r>
        <w:t>al</w:t>
      </w:r>
      <w:r>
        <w:rPr>
          <w:spacing w:val="-4"/>
        </w:rPr>
        <w:t xml:space="preserve"> </w:t>
      </w:r>
      <w:r>
        <w:t>het</w:t>
      </w:r>
      <w:r>
        <w:rPr>
          <w:spacing w:val="-2"/>
        </w:rPr>
        <w:t xml:space="preserve"> uitgangspunt.</w:t>
      </w:r>
    </w:p>
    <w:p w:rsidR="0043411E" w:rsidP="0043411E" w:rsidRDefault="0043411E" w14:paraId="079C2262" w14:textId="77777777">
      <w:pPr>
        <w:pStyle w:val="BodyText"/>
        <w:spacing w:before="21"/>
        <w:ind w:left="30"/>
        <w:rPr>
          <w:spacing w:val="-2"/>
        </w:rPr>
      </w:pPr>
    </w:p>
    <w:p w:rsidR="0043411E" w:rsidP="0043411E" w:rsidRDefault="0043411E" w14:paraId="7A56BD6F" w14:textId="620FB905">
      <w:pPr>
        <w:pStyle w:val="BodyText"/>
        <w:spacing w:before="103" w:line="264" w:lineRule="auto"/>
        <w:ind w:left="30"/>
      </w:pPr>
      <w:r>
        <w:t>Wel</w:t>
      </w:r>
      <w:r>
        <w:rPr>
          <w:spacing w:val="-5"/>
        </w:rPr>
        <w:t xml:space="preserve"> </w:t>
      </w:r>
      <w:r>
        <w:t>verdient</w:t>
      </w:r>
      <w:r>
        <w:rPr>
          <w:spacing w:val="-8"/>
        </w:rPr>
        <w:t xml:space="preserve"> </w:t>
      </w:r>
      <w:r>
        <w:t>de</w:t>
      </w:r>
      <w:r>
        <w:rPr>
          <w:spacing w:val="-2"/>
        </w:rPr>
        <w:t xml:space="preserve"> </w:t>
      </w:r>
      <w:r>
        <w:t>reikwijdte</w:t>
      </w:r>
      <w:r>
        <w:rPr>
          <w:spacing w:val="-2"/>
        </w:rPr>
        <w:t xml:space="preserve"> </w:t>
      </w:r>
      <w:r>
        <w:t>van</w:t>
      </w:r>
      <w:r>
        <w:rPr>
          <w:spacing w:val="-4"/>
        </w:rPr>
        <w:t xml:space="preserve"> </w:t>
      </w:r>
      <w:r>
        <w:t>het</w:t>
      </w:r>
      <w:r>
        <w:rPr>
          <w:spacing w:val="-3"/>
        </w:rPr>
        <w:t xml:space="preserve"> </w:t>
      </w:r>
      <w:r>
        <w:t>inspraakrecht</w:t>
      </w:r>
      <w:r>
        <w:rPr>
          <w:spacing w:val="-3"/>
        </w:rPr>
        <w:t xml:space="preserve"> </w:t>
      </w:r>
      <w:r>
        <w:t>van</w:t>
      </w:r>
      <w:r>
        <w:rPr>
          <w:spacing w:val="-8"/>
        </w:rPr>
        <w:t xml:space="preserve"> </w:t>
      </w:r>
      <w:r>
        <w:t>artikel</w:t>
      </w:r>
      <w:r>
        <w:rPr>
          <w:spacing w:val="-5"/>
        </w:rPr>
        <w:t xml:space="preserve"> </w:t>
      </w:r>
      <w:r>
        <w:t>7</w:t>
      </w:r>
      <w:r>
        <w:rPr>
          <w:spacing w:val="-4"/>
        </w:rPr>
        <w:t xml:space="preserve"> </w:t>
      </w:r>
      <w:r>
        <w:t>van</w:t>
      </w:r>
      <w:r>
        <w:rPr>
          <w:spacing w:val="-4"/>
        </w:rPr>
        <w:t xml:space="preserve"> </w:t>
      </w:r>
      <w:r>
        <w:t>het</w:t>
      </w:r>
      <w:r>
        <w:rPr>
          <w:spacing w:val="-3"/>
        </w:rPr>
        <w:t xml:space="preserve"> </w:t>
      </w:r>
      <w:r>
        <w:t>Verdrag</w:t>
      </w:r>
      <w:r>
        <w:rPr>
          <w:spacing w:val="-2"/>
        </w:rPr>
        <w:t xml:space="preserve"> </w:t>
      </w:r>
      <w:r>
        <w:t>van Aarhus nog aandacht. Dit wordt toegelicht</w:t>
      </w:r>
      <w:r>
        <w:rPr>
          <w:spacing w:val="-1"/>
        </w:rPr>
        <w:t xml:space="preserve"> </w:t>
      </w:r>
      <w:r>
        <w:t>in</w:t>
      </w:r>
      <w:r>
        <w:rPr>
          <w:spacing w:val="-1"/>
        </w:rPr>
        <w:t xml:space="preserve"> </w:t>
      </w:r>
      <w:r>
        <w:t>een</w:t>
      </w:r>
      <w:r>
        <w:rPr>
          <w:spacing w:val="-1"/>
        </w:rPr>
        <w:t xml:space="preserve"> </w:t>
      </w:r>
      <w:r>
        <w:t>richtsnoer</w:t>
      </w:r>
      <w:r w:rsidR="00823878">
        <w:t xml:space="preserve"> die zal worden opgesteld in overleg tussen de betrokken departementen</w:t>
      </w:r>
      <w:r>
        <w:t>. Dit sluit ook aan bij de opvolging van aanbeveling 14, waar niet wordt</w:t>
      </w:r>
      <w:r>
        <w:rPr>
          <w:spacing w:val="-3"/>
        </w:rPr>
        <w:t xml:space="preserve"> </w:t>
      </w:r>
      <w:r>
        <w:t>gekozen voor een wetswijziging,</w:t>
      </w:r>
      <w:r>
        <w:rPr>
          <w:spacing w:val="-3"/>
        </w:rPr>
        <w:t xml:space="preserve"> </w:t>
      </w:r>
      <w:r>
        <w:t>maar voor het ondersteunen van de praktijk met informatie.</w:t>
      </w:r>
    </w:p>
    <w:p w:rsidR="0043411E" w:rsidP="0043411E" w:rsidRDefault="0043411E" w14:paraId="6CAE398B" w14:textId="77777777">
      <w:pPr>
        <w:pStyle w:val="BodyText"/>
        <w:spacing w:before="18"/>
      </w:pPr>
    </w:p>
    <w:p w:rsidR="0043411E" w:rsidP="0043411E" w:rsidRDefault="0043411E" w14:paraId="72E26AD3" w14:textId="77777777">
      <w:pPr>
        <w:pStyle w:val="Heading1"/>
      </w:pPr>
      <w:r>
        <w:t>Aanbevelingen</w:t>
      </w:r>
      <w:r>
        <w:rPr>
          <w:spacing w:val="-8"/>
        </w:rPr>
        <w:t xml:space="preserve"> </w:t>
      </w:r>
      <w:r>
        <w:t>die</w:t>
      </w:r>
      <w:r>
        <w:rPr>
          <w:spacing w:val="-5"/>
        </w:rPr>
        <w:t xml:space="preserve"> </w:t>
      </w:r>
      <w:r>
        <w:t>raken</w:t>
      </w:r>
      <w:r>
        <w:rPr>
          <w:spacing w:val="-4"/>
        </w:rPr>
        <w:t xml:space="preserve"> </w:t>
      </w:r>
      <w:r>
        <w:t>aan</w:t>
      </w:r>
      <w:r>
        <w:rPr>
          <w:spacing w:val="-5"/>
        </w:rPr>
        <w:t xml:space="preserve"> </w:t>
      </w:r>
      <w:r>
        <w:t>het</w:t>
      </w:r>
      <w:r>
        <w:rPr>
          <w:spacing w:val="-5"/>
        </w:rPr>
        <w:t xml:space="preserve"> </w:t>
      </w:r>
      <w:r>
        <w:t>‘Varkens</w:t>
      </w:r>
      <w:r>
        <w:rPr>
          <w:spacing w:val="-2"/>
        </w:rPr>
        <w:t xml:space="preserve"> </w:t>
      </w:r>
      <w:r>
        <w:t>in</w:t>
      </w:r>
      <w:r>
        <w:rPr>
          <w:spacing w:val="-5"/>
        </w:rPr>
        <w:t xml:space="preserve"> </w:t>
      </w:r>
      <w:r>
        <w:t>Nood’</w:t>
      </w:r>
      <w:r>
        <w:rPr>
          <w:spacing w:val="-2"/>
        </w:rPr>
        <w:t xml:space="preserve"> reparatiewetsvoorstel</w:t>
      </w:r>
    </w:p>
    <w:p w:rsidR="0043411E" w:rsidP="0043411E" w:rsidRDefault="0043411E" w14:paraId="73291F0E" w14:textId="77777777">
      <w:pPr>
        <w:spacing w:before="21"/>
        <w:ind w:left="30"/>
        <w:rPr>
          <w:b/>
        </w:rPr>
      </w:pPr>
      <w:r>
        <w:rPr>
          <w:b/>
        </w:rPr>
        <w:t xml:space="preserve">en </w:t>
      </w:r>
      <w:r>
        <w:rPr>
          <w:b/>
          <w:spacing w:val="-2"/>
        </w:rPr>
        <w:t>rechtsbescherming</w:t>
      </w:r>
    </w:p>
    <w:p w:rsidR="0043411E" w:rsidP="0043411E" w:rsidRDefault="0043411E" w14:paraId="0B99466A" w14:textId="69F080EB">
      <w:pPr>
        <w:pStyle w:val="BodyText"/>
        <w:spacing w:before="22" w:line="264" w:lineRule="auto"/>
        <w:ind w:left="30"/>
      </w:pPr>
      <w:r>
        <w:t>Het Hof van Justitie oordeelde in het ‘Varkens in Nood-arrest’</w:t>
      </w:r>
      <w:r>
        <w:rPr>
          <w:rStyle w:val="FootnoteReference"/>
        </w:rPr>
        <w:footnoteReference w:id="6"/>
      </w:r>
      <w:r>
        <w:t xml:space="preserve"> dat de zienswijzevoorwaarde</w:t>
      </w:r>
      <w:r>
        <w:rPr>
          <w:rStyle w:val="FootnoteReference"/>
        </w:rPr>
        <w:footnoteReference w:id="7"/>
      </w:r>
      <w:r>
        <w:rPr>
          <w:spacing w:val="16"/>
          <w:position w:val="6"/>
          <w:sz w:val="12"/>
        </w:rPr>
        <w:t xml:space="preserve"> </w:t>
      </w:r>
      <w:r>
        <w:t>niet</w:t>
      </w:r>
      <w:r>
        <w:rPr>
          <w:spacing w:val="-5"/>
        </w:rPr>
        <w:t xml:space="preserve"> </w:t>
      </w:r>
      <w:r>
        <w:t>meer</w:t>
      </w:r>
      <w:r>
        <w:rPr>
          <w:spacing w:val="-6"/>
        </w:rPr>
        <w:t xml:space="preserve"> </w:t>
      </w:r>
      <w:r>
        <w:t>als</w:t>
      </w:r>
      <w:r>
        <w:rPr>
          <w:spacing w:val="-5"/>
        </w:rPr>
        <w:t xml:space="preserve"> </w:t>
      </w:r>
      <w:r>
        <w:t>ontvankelijkheidseis</w:t>
      </w:r>
      <w:r>
        <w:rPr>
          <w:spacing w:val="-5"/>
        </w:rPr>
        <w:t xml:space="preserve"> </w:t>
      </w:r>
      <w:r>
        <w:t>voor</w:t>
      </w:r>
      <w:r>
        <w:rPr>
          <w:spacing w:val="-6"/>
        </w:rPr>
        <w:t xml:space="preserve"> </w:t>
      </w:r>
      <w:r>
        <w:t>de</w:t>
      </w:r>
      <w:r>
        <w:rPr>
          <w:spacing w:val="-4"/>
        </w:rPr>
        <w:t xml:space="preserve"> </w:t>
      </w:r>
      <w:r>
        <w:t>toegang</w:t>
      </w:r>
      <w:r>
        <w:rPr>
          <w:spacing w:val="-4"/>
        </w:rPr>
        <w:t xml:space="preserve"> </w:t>
      </w:r>
      <w:r>
        <w:t>tot</w:t>
      </w:r>
      <w:r>
        <w:rPr>
          <w:spacing w:val="-5"/>
        </w:rPr>
        <w:t xml:space="preserve"> </w:t>
      </w:r>
      <w:r>
        <w:t>de rechter mag worden gesteld aan ‘het betrokken publiek’.</w:t>
      </w:r>
    </w:p>
    <w:p w:rsidR="0043411E" w:rsidP="0043411E" w:rsidRDefault="0043411E" w14:paraId="122EFA65" w14:textId="05669F45">
      <w:pPr>
        <w:pStyle w:val="BodyText"/>
        <w:spacing w:line="264" w:lineRule="auto"/>
        <w:ind w:left="30" w:right="57"/>
      </w:pPr>
      <w:r>
        <w:t xml:space="preserve">De onderzoekers doen aanbevelingen wat betreft de rechten die wel of niet worden toegekend aan het betrokken publiek, hoe dat begrip verschilt van het </w:t>
      </w:r>
      <w:r w:rsidR="004C0624">
        <w:t>belanghebbend begrip</w:t>
      </w:r>
      <w:r>
        <w:rPr>
          <w:spacing w:val="-1"/>
        </w:rPr>
        <w:t xml:space="preserve"> </w:t>
      </w:r>
      <w:r>
        <w:t>en</w:t>
      </w:r>
      <w:r>
        <w:rPr>
          <w:spacing w:val="-4"/>
        </w:rPr>
        <w:t xml:space="preserve"> </w:t>
      </w:r>
      <w:r>
        <w:t>hoe</w:t>
      </w:r>
      <w:r>
        <w:rPr>
          <w:spacing w:val="-3"/>
        </w:rPr>
        <w:t xml:space="preserve"> </w:t>
      </w:r>
      <w:r>
        <w:t>er</w:t>
      </w:r>
      <w:r>
        <w:rPr>
          <w:spacing w:val="-9"/>
        </w:rPr>
        <w:t xml:space="preserve"> </w:t>
      </w:r>
      <w:r>
        <w:t>met</w:t>
      </w:r>
      <w:r>
        <w:rPr>
          <w:spacing w:val="-8"/>
        </w:rPr>
        <w:t xml:space="preserve"> </w:t>
      </w:r>
      <w:r>
        <w:t>de</w:t>
      </w:r>
      <w:r>
        <w:rPr>
          <w:spacing w:val="-3"/>
        </w:rPr>
        <w:t xml:space="preserve"> </w:t>
      </w:r>
      <w:r>
        <w:t>zienswijzevoorwaarde</w:t>
      </w:r>
      <w:r>
        <w:rPr>
          <w:spacing w:val="-3"/>
        </w:rPr>
        <w:t xml:space="preserve"> </w:t>
      </w:r>
      <w:r>
        <w:t>om</w:t>
      </w:r>
      <w:r>
        <w:rPr>
          <w:spacing w:val="-4"/>
        </w:rPr>
        <w:t xml:space="preserve"> </w:t>
      </w:r>
      <w:r>
        <w:t>moet</w:t>
      </w:r>
      <w:r>
        <w:rPr>
          <w:spacing w:val="-4"/>
        </w:rPr>
        <w:t xml:space="preserve"> </w:t>
      </w:r>
      <w:r>
        <w:t xml:space="preserve">worden </w:t>
      </w:r>
      <w:r>
        <w:rPr>
          <w:spacing w:val="-2"/>
        </w:rPr>
        <w:t>gegaan.</w:t>
      </w:r>
    </w:p>
    <w:p w:rsidR="0043411E" w:rsidP="0043411E" w:rsidRDefault="0043411E" w14:paraId="2F48BCC6" w14:textId="77777777">
      <w:pPr>
        <w:pStyle w:val="BodyText"/>
        <w:spacing w:before="17"/>
      </w:pPr>
    </w:p>
    <w:p w:rsidR="0043411E" w:rsidP="004C0624" w:rsidRDefault="0043411E" w14:paraId="5EC11591" w14:textId="644A8152">
      <w:pPr>
        <w:pStyle w:val="BodyText"/>
        <w:spacing w:line="264" w:lineRule="auto"/>
      </w:pPr>
      <w:r>
        <w:t xml:space="preserve">Aanbevelingen 3, 11, 22 en 23 worden </w:t>
      </w:r>
      <w:r w:rsidR="00336BDA">
        <w:t xml:space="preserve">betrokken bij </w:t>
      </w:r>
      <w:r w:rsidR="003C27A5">
        <w:t xml:space="preserve">de verdere uitwerking van </w:t>
      </w:r>
      <w:r>
        <w:t xml:space="preserve">het </w:t>
      </w:r>
      <w:r w:rsidR="00C8735F">
        <w:t>‘Varkens</w:t>
      </w:r>
      <w:r w:rsidR="00C8735F">
        <w:rPr>
          <w:spacing w:val="-2"/>
        </w:rPr>
        <w:t xml:space="preserve"> </w:t>
      </w:r>
      <w:r w:rsidR="00C8735F">
        <w:t>in</w:t>
      </w:r>
      <w:r w:rsidR="00C8735F">
        <w:rPr>
          <w:spacing w:val="-3"/>
        </w:rPr>
        <w:t xml:space="preserve"> </w:t>
      </w:r>
      <w:r w:rsidR="00C8735F">
        <w:t>Nood’-</w:t>
      </w:r>
      <w:r>
        <w:t>reparatiewetsvoorstel,</w:t>
      </w:r>
      <w:r>
        <w:rPr>
          <w:spacing w:val="-2"/>
        </w:rPr>
        <w:t xml:space="preserve"> </w:t>
      </w:r>
      <w:r w:rsidR="00391DE4">
        <w:rPr>
          <w:spacing w:val="-2"/>
        </w:rPr>
        <w:t>waarover de Afdeling advisering van de Raad van State</w:t>
      </w:r>
      <w:r w:rsidR="00336BDA">
        <w:rPr>
          <w:spacing w:val="-2"/>
        </w:rPr>
        <w:t xml:space="preserve"> onlangs op 22 april a</w:t>
      </w:r>
      <w:r w:rsidR="00391DE4">
        <w:rPr>
          <w:spacing w:val="-2"/>
        </w:rPr>
        <w:t>dvies heeft uitgebracht.</w:t>
      </w:r>
      <w:r w:rsidR="00336BDA">
        <w:rPr>
          <w:rStyle w:val="FootnoteReference"/>
          <w:spacing w:val="-2"/>
        </w:rPr>
        <w:footnoteReference w:id="8"/>
      </w:r>
      <w:r>
        <w:t xml:space="preserve"> Verder wordt aanbeveling 24 over het afschaffen van het</w:t>
      </w:r>
      <w:r w:rsidR="004C0624">
        <w:t xml:space="preserve"> </w:t>
      </w:r>
      <w:r>
        <w:t>relativiteitsvereiste</w:t>
      </w:r>
      <w:r>
        <w:rPr>
          <w:spacing w:val="-2"/>
        </w:rPr>
        <w:t xml:space="preserve"> </w:t>
      </w:r>
      <w:r>
        <w:t>niet</w:t>
      </w:r>
      <w:r>
        <w:rPr>
          <w:spacing w:val="-3"/>
        </w:rPr>
        <w:t xml:space="preserve"> </w:t>
      </w:r>
      <w:r>
        <w:t>opgevolgd</w:t>
      </w:r>
      <w:r w:rsidR="003C27A5">
        <w:t xml:space="preserve">. Wel is het </w:t>
      </w:r>
      <w:r w:rsidR="003C27A5">
        <w:rPr>
          <w:spacing w:val="-3"/>
        </w:rPr>
        <w:t xml:space="preserve">kabinet het eens met aanbeveling 25 over de mogelijkheid </w:t>
      </w:r>
      <w:r w:rsidR="008E22F2">
        <w:rPr>
          <w:spacing w:val="-3"/>
        </w:rPr>
        <w:t xml:space="preserve">voor de bestuursrechter </w:t>
      </w:r>
      <w:r w:rsidR="003C27A5">
        <w:rPr>
          <w:spacing w:val="-3"/>
        </w:rPr>
        <w:t xml:space="preserve">om artikel 8:69a Awb richtlijnconform te interpreteren. </w:t>
      </w:r>
    </w:p>
    <w:p w:rsidR="0043411E" w:rsidP="0043411E" w:rsidRDefault="0043411E" w14:paraId="30654434" w14:textId="77777777">
      <w:pPr>
        <w:pStyle w:val="BodyText"/>
        <w:spacing w:before="18"/>
      </w:pPr>
    </w:p>
    <w:p w:rsidR="0043411E" w:rsidP="0043411E" w:rsidRDefault="0043411E" w14:paraId="37F64147" w14:textId="77777777">
      <w:pPr>
        <w:pStyle w:val="Heading1"/>
      </w:pPr>
      <w:r>
        <w:t>Tot</w:t>
      </w:r>
      <w:r>
        <w:rPr>
          <w:spacing w:val="-3"/>
        </w:rPr>
        <w:t xml:space="preserve"> </w:t>
      </w:r>
      <w:r>
        <w:rPr>
          <w:spacing w:val="-4"/>
        </w:rPr>
        <w:t>slot</w:t>
      </w:r>
    </w:p>
    <w:p w:rsidR="0043411E" w:rsidP="0043411E" w:rsidRDefault="0043411E" w14:paraId="7D331815" w14:textId="77777777">
      <w:pPr>
        <w:pStyle w:val="BodyText"/>
        <w:spacing w:before="21" w:line="264" w:lineRule="auto"/>
        <w:ind w:left="30" w:right="57"/>
      </w:pPr>
      <w:r>
        <w:t>In het belang van een goede implementatie van het Verdrag van Aarhus is er uitvoerig gekeken naar de aanbevelingen en mogelijkheden voor opvolging. Daarbij is ook kritisch gekeken naar de uitvoerbaarheid in de praktijk. Er is voor gekozen</w:t>
      </w:r>
      <w:r>
        <w:rPr>
          <w:spacing w:val="-5"/>
        </w:rPr>
        <w:t xml:space="preserve"> </w:t>
      </w:r>
      <w:r>
        <w:t>om</w:t>
      </w:r>
      <w:r>
        <w:rPr>
          <w:spacing w:val="-9"/>
        </w:rPr>
        <w:t xml:space="preserve"> </w:t>
      </w:r>
      <w:r>
        <w:t>enkele</w:t>
      </w:r>
      <w:r>
        <w:rPr>
          <w:spacing w:val="-2"/>
        </w:rPr>
        <w:t xml:space="preserve"> </w:t>
      </w:r>
      <w:r>
        <w:t>aanbevelingen</w:t>
      </w:r>
      <w:r>
        <w:rPr>
          <w:spacing w:val="-5"/>
        </w:rPr>
        <w:t xml:space="preserve"> </w:t>
      </w:r>
      <w:r>
        <w:t>wel</w:t>
      </w:r>
      <w:r>
        <w:rPr>
          <w:spacing w:val="-6"/>
        </w:rPr>
        <w:t xml:space="preserve"> </w:t>
      </w:r>
      <w:r>
        <w:t>en</w:t>
      </w:r>
      <w:r>
        <w:rPr>
          <w:spacing w:val="-8"/>
        </w:rPr>
        <w:t xml:space="preserve"> </w:t>
      </w:r>
      <w:r>
        <w:t>enkele</w:t>
      </w:r>
      <w:r>
        <w:rPr>
          <w:spacing w:val="-3"/>
        </w:rPr>
        <w:t xml:space="preserve"> </w:t>
      </w:r>
      <w:r>
        <w:t>aanbevelingen</w:t>
      </w:r>
      <w:r>
        <w:rPr>
          <w:spacing w:val="-4"/>
        </w:rPr>
        <w:t xml:space="preserve"> </w:t>
      </w:r>
      <w:r>
        <w:t>niet</w:t>
      </w:r>
      <w:r>
        <w:rPr>
          <w:spacing w:val="-4"/>
        </w:rPr>
        <w:t xml:space="preserve"> </w:t>
      </w:r>
      <w:r>
        <w:t>op</w:t>
      </w:r>
      <w:r>
        <w:rPr>
          <w:spacing w:val="-3"/>
        </w:rPr>
        <w:t xml:space="preserve"> </w:t>
      </w:r>
      <w:r>
        <w:t>te</w:t>
      </w:r>
      <w:r>
        <w:rPr>
          <w:spacing w:val="-2"/>
        </w:rPr>
        <w:t xml:space="preserve"> volgen.</w:t>
      </w:r>
    </w:p>
    <w:p w:rsidR="0043411E" w:rsidP="0043411E" w:rsidRDefault="0043411E" w14:paraId="2C2FCEEC" w14:textId="77777777">
      <w:pPr>
        <w:pStyle w:val="BodyText"/>
        <w:spacing w:before="19"/>
      </w:pPr>
    </w:p>
    <w:p w:rsidR="0043411E" w:rsidP="0043411E" w:rsidRDefault="0043411E" w14:paraId="4121FFC9" w14:textId="77777777">
      <w:pPr>
        <w:pStyle w:val="BodyText"/>
        <w:spacing w:line="264" w:lineRule="auto"/>
        <w:ind w:left="30" w:right="48"/>
      </w:pPr>
      <w:r>
        <w:t>Het</w:t>
      </w:r>
      <w:r>
        <w:rPr>
          <w:spacing w:val="-2"/>
        </w:rPr>
        <w:t xml:space="preserve"> </w:t>
      </w:r>
      <w:r>
        <w:t>streven</w:t>
      </w:r>
      <w:r>
        <w:rPr>
          <w:spacing w:val="-3"/>
        </w:rPr>
        <w:t xml:space="preserve"> </w:t>
      </w:r>
      <w:r>
        <w:t>is</w:t>
      </w:r>
      <w:r>
        <w:rPr>
          <w:spacing w:val="-2"/>
        </w:rPr>
        <w:t xml:space="preserve"> </w:t>
      </w:r>
      <w:r>
        <w:t>om</w:t>
      </w:r>
      <w:r>
        <w:rPr>
          <w:spacing w:val="-3"/>
        </w:rPr>
        <w:t xml:space="preserve"> </w:t>
      </w:r>
      <w:r>
        <w:t>het</w:t>
      </w:r>
      <w:r>
        <w:rPr>
          <w:spacing w:val="-2"/>
        </w:rPr>
        <w:t xml:space="preserve"> </w:t>
      </w:r>
      <w:r>
        <w:t>stelsel</w:t>
      </w:r>
      <w:r>
        <w:rPr>
          <w:spacing w:val="-4"/>
        </w:rPr>
        <w:t xml:space="preserve"> </w:t>
      </w:r>
      <w:r>
        <w:t>voor</w:t>
      </w:r>
      <w:r>
        <w:rPr>
          <w:spacing w:val="-8"/>
        </w:rPr>
        <w:t xml:space="preserve"> </w:t>
      </w:r>
      <w:r>
        <w:t>de</w:t>
      </w:r>
      <w:r>
        <w:rPr>
          <w:spacing w:val="-1"/>
        </w:rPr>
        <w:t xml:space="preserve"> </w:t>
      </w:r>
      <w:r>
        <w:t>implementatie</w:t>
      </w:r>
      <w:r>
        <w:rPr>
          <w:spacing w:val="-6"/>
        </w:rPr>
        <w:t xml:space="preserve"> </w:t>
      </w:r>
      <w:r>
        <w:t>en</w:t>
      </w:r>
      <w:r>
        <w:rPr>
          <w:spacing w:val="-3"/>
        </w:rPr>
        <w:t xml:space="preserve"> </w:t>
      </w:r>
      <w:r>
        <w:t>uitvoering</w:t>
      </w:r>
      <w:r>
        <w:rPr>
          <w:spacing w:val="-1"/>
        </w:rPr>
        <w:t xml:space="preserve"> </w:t>
      </w:r>
      <w:r>
        <w:t>van</w:t>
      </w:r>
      <w:r>
        <w:rPr>
          <w:spacing w:val="-3"/>
        </w:rPr>
        <w:t xml:space="preserve"> </w:t>
      </w:r>
      <w:r>
        <w:t>het</w:t>
      </w:r>
      <w:r>
        <w:rPr>
          <w:spacing w:val="-2"/>
        </w:rPr>
        <w:t xml:space="preserve"> </w:t>
      </w:r>
      <w:r>
        <w:t xml:space="preserve">Verdrag van Aarhus robuust en toekomstbestendig te maken. De Kamer zal op de daarvoor geëigende manier worden geïnformeerd over de aangekondigde </w:t>
      </w:r>
      <w:r>
        <w:rPr>
          <w:spacing w:val="-2"/>
        </w:rPr>
        <w:t>wijzigingen.</w:t>
      </w:r>
    </w:p>
    <w:p w:rsidR="0043411E" w:rsidP="0043411E" w:rsidRDefault="0043411E" w14:paraId="21349C23" w14:textId="77777777">
      <w:pPr>
        <w:pStyle w:val="BodyText"/>
        <w:spacing w:before="21"/>
        <w:ind w:left="30"/>
      </w:pPr>
    </w:p>
    <w:p w:rsidR="006D6F26" w:rsidRDefault="006D6F26" w14:paraId="7CF07B2E" w14:textId="69DD9C75">
      <w:pPr>
        <w:pStyle w:val="WitregelW1bodytekst"/>
      </w:pPr>
    </w:p>
    <w:p w:rsidR="006D6F26" w:rsidRDefault="003C27A5" w14:paraId="30B29530" w14:textId="06E18A19">
      <w:pPr>
        <w:pStyle w:val="Slotzin"/>
      </w:pPr>
      <w:r>
        <w:t>Hoogachtend,</w:t>
      </w:r>
    </w:p>
    <w:p w:rsidR="006D6F26" w:rsidRDefault="003C27A5" w14:paraId="4E12277B" w14:textId="77777777">
      <w:pPr>
        <w:pStyle w:val="OndertekeningArea1"/>
      </w:pPr>
      <w:r>
        <w:t>DE STAATSSECRETARIS VAN INFRASTRUCTUUR EN WATERSTAAT,</w:t>
      </w:r>
    </w:p>
    <w:p w:rsidR="006D6F26" w:rsidRDefault="006D6F26" w14:paraId="298179BE" w14:textId="77777777"/>
    <w:p w:rsidR="006D6F26" w:rsidRDefault="006D6F26" w14:paraId="6728429E" w14:textId="77777777"/>
    <w:p w:rsidR="006D6F26" w:rsidRDefault="006D6F26" w14:paraId="0E908403" w14:textId="77777777"/>
    <w:p w:rsidR="006D6F26" w:rsidRDefault="006D6F26" w14:paraId="59252E0C" w14:textId="77777777"/>
    <w:p w:rsidR="006D6F26" w:rsidRDefault="003C27A5" w14:paraId="02645CBA" w14:textId="77777777">
      <w:r>
        <w:t>Annet Bertram</w:t>
      </w:r>
    </w:p>
    <w:sectPr w:rsidR="006D6F2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EF9F" w14:textId="77777777" w:rsidR="0081031A" w:rsidRDefault="0081031A">
      <w:pPr>
        <w:spacing w:line="240" w:lineRule="auto"/>
      </w:pPr>
      <w:r>
        <w:separator/>
      </w:r>
    </w:p>
  </w:endnote>
  <w:endnote w:type="continuationSeparator" w:id="0">
    <w:p w14:paraId="752CA299" w14:textId="77777777" w:rsidR="0081031A" w:rsidRDefault="00810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F2A3" w14:textId="77777777" w:rsidR="00DB71C6" w:rsidRDefault="00DB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2474" w14:textId="77777777" w:rsidR="00DB71C6" w:rsidRDefault="00DB7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94C9" w14:textId="77777777" w:rsidR="00DB71C6" w:rsidRDefault="00DB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14E8" w14:textId="77777777" w:rsidR="0081031A" w:rsidRDefault="0081031A">
      <w:pPr>
        <w:spacing w:line="240" w:lineRule="auto"/>
      </w:pPr>
      <w:r>
        <w:separator/>
      </w:r>
    </w:p>
  </w:footnote>
  <w:footnote w:type="continuationSeparator" w:id="0">
    <w:p w14:paraId="394117CA" w14:textId="77777777" w:rsidR="0081031A" w:rsidRDefault="0081031A">
      <w:pPr>
        <w:spacing w:line="240" w:lineRule="auto"/>
      </w:pPr>
      <w:r>
        <w:continuationSeparator/>
      </w:r>
    </w:p>
  </w:footnote>
  <w:footnote w:id="1">
    <w:p w14:paraId="43BB841D" w14:textId="73F96215" w:rsidR="0043411E" w:rsidRDefault="0043411E">
      <w:pPr>
        <w:pStyle w:val="FootnoteText"/>
      </w:pPr>
      <w:r w:rsidRPr="0043411E">
        <w:rPr>
          <w:rStyle w:val="FootnoteReference"/>
          <w:sz w:val="16"/>
          <w:szCs w:val="16"/>
        </w:rPr>
        <w:footnoteRef/>
      </w:r>
      <w:r w:rsidRPr="0043411E">
        <w:rPr>
          <w:sz w:val="16"/>
          <w:szCs w:val="16"/>
        </w:rPr>
        <w:t xml:space="preserve"> </w:t>
      </w:r>
      <w:r>
        <w:rPr>
          <w:sz w:val="16"/>
        </w:rPr>
        <w:t>Kamerstukken</w:t>
      </w:r>
      <w:r>
        <w:rPr>
          <w:spacing w:val="-2"/>
          <w:sz w:val="16"/>
        </w:rPr>
        <w:t xml:space="preserve"> </w:t>
      </w:r>
      <w:r>
        <w:rPr>
          <w:sz w:val="16"/>
        </w:rPr>
        <w:t>II,</w:t>
      </w:r>
      <w:r>
        <w:rPr>
          <w:spacing w:val="-2"/>
          <w:sz w:val="16"/>
        </w:rPr>
        <w:t xml:space="preserve"> </w:t>
      </w:r>
      <w:r>
        <w:rPr>
          <w:sz w:val="16"/>
        </w:rPr>
        <w:t>2023/24,</w:t>
      </w:r>
      <w:r>
        <w:rPr>
          <w:spacing w:val="-2"/>
          <w:sz w:val="16"/>
        </w:rPr>
        <w:t xml:space="preserve"> </w:t>
      </w:r>
      <w:r>
        <w:rPr>
          <w:sz w:val="16"/>
        </w:rPr>
        <w:t>28</w:t>
      </w:r>
      <w:r>
        <w:rPr>
          <w:spacing w:val="-2"/>
          <w:sz w:val="16"/>
        </w:rPr>
        <w:t xml:space="preserve"> </w:t>
      </w:r>
      <w:r>
        <w:rPr>
          <w:sz w:val="16"/>
        </w:rPr>
        <w:t>663,</w:t>
      </w:r>
      <w:r>
        <w:rPr>
          <w:spacing w:val="-3"/>
          <w:sz w:val="16"/>
        </w:rPr>
        <w:t xml:space="preserve"> </w:t>
      </w:r>
      <w:r>
        <w:rPr>
          <w:sz w:val="16"/>
        </w:rPr>
        <w:t>nr.</w:t>
      </w:r>
      <w:r>
        <w:rPr>
          <w:spacing w:val="-3"/>
          <w:sz w:val="16"/>
        </w:rPr>
        <w:t xml:space="preserve"> </w:t>
      </w:r>
      <w:r>
        <w:rPr>
          <w:spacing w:val="-5"/>
          <w:sz w:val="16"/>
        </w:rPr>
        <w:t>82.</w:t>
      </w:r>
    </w:p>
  </w:footnote>
  <w:footnote w:id="2">
    <w:p w14:paraId="3A67CFA0" w14:textId="75E256E0" w:rsidR="0043411E" w:rsidRDefault="0043411E">
      <w:pPr>
        <w:pStyle w:val="FootnoteText"/>
      </w:pPr>
      <w:r w:rsidRPr="0043411E">
        <w:rPr>
          <w:rStyle w:val="FootnoteReference"/>
          <w:sz w:val="16"/>
          <w:szCs w:val="16"/>
        </w:rPr>
        <w:footnoteRef/>
      </w:r>
      <w:r w:rsidRPr="0043411E">
        <w:rPr>
          <w:sz w:val="16"/>
          <w:szCs w:val="16"/>
        </w:rPr>
        <w:t xml:space="preserve"> Kamerstukken II, 2024/25, 28 663, nr. 83.</w:t>
      </w:r>
    </w:p>
  </w:footnote>
  <w:footnote w:id="3">
    <w:p w14:paraId="2E292D40" w14:textId="6F32EB53" w:rsidR="0043411E" w:rsidRPr="0043411E" w:rsidRDefault="0043411E">
      <w:pPr>
        <w:pStyle w:val="FootnoteText"/>
        <w:rPr>
          <w:sz w:val="16"/>
          <w:szCs w:val="16"/>
        </w:rPr>
      </w:pPr>
      <w:r w:rsidRPr="0043411E">
        <w:rPr>
          <w:rStyle w:val="FootnoteReference"/>
          <w:sz w:val="16"/>
          <w:szCs w:val="16"/>
        </w:rPr>
        <w:footnoteRef/>
      </w:r>
      <w:r w:rsidRPr="0043411E">
        <w:rPr>
          <w:sz w:val="16"/>
          <w:szCs w:val="16"/>
        </w:rPr>
        <w:t xml:space="preserve"> De nummering en categorisering van de aanbevelingen is gebaseerd op het overzicht van aanbevelingen in de managementsamenvatting van het onderzoek. Enkele aanbevelingen worden in verband met de lengte geparafraseerd opgeschreven in deze Kamerbrief. Voor het volledige overzicht wordt verwezen naar het overzicht van aanbevelingen in de managementsamenvatting.</w:t>
      </w:r>
    </w:p>
  </w:footnote>
  <w:footnote w:id="4">
    <w:p w14:paraId="78B48213" w14:textId="4BCE72BF" w:rsidR="0043411E" w:rsidRDefault="0043411E">
      <w:pPr>
        <w:pStyle w:val="FootnoteText"/>
      </w:pPr>
      <w:r w:rsidRPr="0043411E">
        <w:rPr>
          <w:rStyle w:val="FootnoteReference"/>
          <w:sz w:val="16"/>
          <w:szCs w:val="16"/>
        </w:rPr>
        <w:footnoteRef/>
      </w:r>
      <w:r w:rsidRPr="0043411E">
        <w:rPr>
          <w:sz w:val="16"/>
          <w:szCs w:val="16"/>
        </w:rPr>
        <w:t xml:space="preserve"> De volgende aanbevelingen zijn in de eerste beleidsreactie al aan bod gekomen en volledig beantwoord: 1, 5 t/m 9, 18, 20.</w:t>
      </w:r>
    </w:p>
  </w:footnote>
  <w:footnote w:id="5">
    <w:p w14:paraId="7AAD2913" w14:textId="7851A4F9" w:rsidR="0043411E" w:rsidRDefault="0043411E">
      <w:pPr>
        <w:pStyle w:val="FootnoteText"/>
      </w:pPr>
      <w:r w:rsidRPr="0043411E">
        <w:rPr>
          <w:rStyle w:val="FootnoteReference"/>
          <w:sz w:val="16"/>
          <w:szCs w:val="16"/>
        </w:rPr>
        <w:footnoteRef/>
      </w:r>
      <w:r w:rsidRPr="0043411E">
        <w:rPr>
          <w:sz w:val="16"/>
          <w:szCs w:val="16"/>
        </w:rPr>
        <w:t xml:space="preserve"> Aanbeveling 3 en 11 zijn aan deze categorie toegevoegd vanwege de link met het ‘Varkens in Nood’ reparatiewetsvoorstel.</w:t>
      </w:r>
    </w:p>
  </w:footnote>
  <w:footnote w:id="6">
    <w:p w14:paraId="06C625A6" w14:textId="6F4EF05F" w:rsidR="0043411E" w:rsidRDefault="0043411E">
      <w:pPr>
        <w:pStyle w:val="FootnoteText"/>
      </w:pPr>
      <w:r w:rsidRPr="0043411E">
        <w:rPr>
          <w:rStyle w:val="FootnoteReference"/>
          <w:sz w:val="16"/>
          <w:szCs w:val="16"/>
        </w:rPr>
        <w:footnoteRef/>
      </w:r>
      <w:r w:rsidRPr="0043411E">
        <w:rPr>
          <w:sz w:val="16"/>
          <w:szCs w:val="16"/>
        </w:rPr>
        <w:t xml:space="preserve"> ECLI:EU:C:2021:7.</w:t>
      </w:r>
    </w:p>
  </w:footnote>
  <w:footnote w:id="7">
    <w:p w14:paraId="4A8EACDC" w14:textId="5A195C58" w:rsidR="0043411E" w:rsidRDefault="0043411E">
      <w:pPr>
        <w:pStyle w:val="FootnoteText"/>
      </w:pPr>
      <w:r w:rsidRPr="0043411E">
        <w:rPr>
          <w:rStyle w:val="FootnoteReference"/>
          <w:sz w:val="16"/>
          <w:szCs w:val="16"/>
        </w:rPr>
        <w:footnoteRef/>
      </w:r>
      <w:r w:rsidRPr="0043411E">
        <w:rPr>
          <w:sz w:val="16"/>
          <w:szCs w:val="16"/>
        </w:rPr>
        <w:t xml:space="preserve"> De voorwaarde dat een belanghebbende eerst een zienswijze moet indienen over het ontwerpbesluit voordat hij beroep mag instellen.</w:t>
      </w:r>
    </w:p>
  </w:footnote>
  <w:footnote w:id="8">
    <w:p w14:paraId="25427105" w14:textId="448ED7AE" w:rsidR="00336BDA" w:rsidRPr="00A84D7D" w:rsidRDefault="00336BDA">
      <w:pPr>
        <w:pStyle w:val="FootnoteText"/>
        <w:rPr>
          <w:sz w:val="16"/>
          <w:szCs w:val="16"/>
          <w:lang w:val="en-US"/>
        </w:rPr>
      </w:pPr>
      <w:r w:rsidRPr="00A84D7D">
        <w:rPr>
          <w:rStyle w:val="FootnoteReference"/>
          <w:sz w:val="16"/>
          <w:szCs w:val="16"/>
        </w:rPr>
        <w:footnoteRef/>
      </w:r>
      <w:r w:rsidRPr="00A84D7D">
        <w:rPr>
          <w:sz w:val="16"/>
          <w:szCs w:val="16"/>
        </w:rPr>
        <w:t xml:space="preserve"> </w:t>
      </w:r>
      <w:r w:rsidR="003C27A5" w:rsidRPr="00A84D7D">
        <w:rPr>
          <w:sz w:val="16"/>
          <w:szCs w:val="16"/>
        </w:rPr>
        <w:t xml:space="preserve">W16.25.00197/II.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E3F0" w14:textId="77777777" w:rsidR="00DB71C6" w:rsidRDefault="00DB7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5330" w14:textId="77777777" w:rsidR="006D6F26" w:rsidRDefault="003C27A5">
    <w:r>
      <w:rPr>
        <w:noProof/>
        <w:lang w:val="en-GB" w:eastAsia="en-GB"/>
      </w:rPr>
      <mc:AlternateContent>
        <mc:Choice Requires="wps">
          <w:drawing>
            <wp:anchor distT="0" distB="0" distL="0" distR="0" simplePos="0" relativeHeight="251651584" behindDoc="0" locked="1" layoutInCell="1" allowOverlap="1" wp14:anchorId="3791DB1B" wp14:editId="718F629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E91250" w14:textId="77777777" w:rsidR="006D6F26" w:rsidRDefault="003C27A5">
                          <w:pPr>
                            <w:pStyle w:val="AfzendgegevensKop0"/>
                          </w:pPr>
                          <w:r>
                            <w:t>Ministerie van Infrastructuur en Waterstaat</w:t>
                          </w:r>
                        </w:p>
                        <w:p w14:paraId="2CFA21C6" w14:textId="77777777" w:rsidR="00BB55EA" w:rsidRDefault="00BB55EA" w:rsidP="00BB55EA"/>
                        <w:p w14:paraId="1AC6F89D" w14:textId="77777777" w:rsidR="00BB55EA" w:rsidRPr="00BB55EA" w:rsidRDefault="00BB55EA" w:rsidP="00BB55EA">
                          <w:pPr>
                            <w:pStyle w:val="Referentiegegevenskop"/>
                            <w:spacing w:line="276" w:lineRule="auto"/>
                          </w:pPr>
                          <w:r w:rsidRPr="00BB55EA">
                            <w:t>Ons kenmerk</w:t>
                          </w:r>
                        </w:p>
                        <w:p w14:paraId="5E3C6FBB" w14:textId="77777777" w:rsidR="00BB55EA" w:rsidRPr="00BB55EA" w:rsidRDefault="00BB55EA" w:rsidP="00BB55EA">
                          <w:pPr>
                            <w:pStyle w:val="Referentiegegevenskop"/>
                            <w:spacing w:line="276" w:lineRule="auto"/>
                            <w:rPr>
                              <w:b w:val="0"/>
                              <w:bCs/>
                            </w:rPr>
                          </w:pPr>
                          <w:r w:rsidRPr="00BB55EA">
                            <w:rPr>
                              <w:b w:val="0"/>
                              <w:bCs/>
                            </w:rPr>
                            <w:t>IENW/BSK-2026/79096</w:t>
                          </w:r>
                        </w:p>
                        <w:p w14:paraId="5E95255B" w14:textId="77777777" w:rsidR="00BB55EA" w:rsidRPr="00BB55EA" w:rsidRDefault="00BB55EA" w:rsidP="00BB55EA"/>
                      </w:txbxContent>
                    </wps:txbx>
                    <wps:bodyPr vert="horz" wrap="square" lIns="0" tIns="0" rIns="0" bIns="0" anchor="t" anchorCtr="0"/>
                  </wps:wsp>
                </a:graphicData>
              </a:graphic>
            </wp:anchor>
          </w:drawing>
        </mc:Choice>
        <mc:Fallback>
          <w:pict>
            <v:shapetype w14:anchorId="3791DB1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E91250" w14:textId="77777777" w:rsidR="006D6F26" w:rsidRDefault="003C27A5">
                    <w:pPr>
                      <w:pStyle w:val="AfzendgegevensKop0"/>
                    </w:pPr>
                    <w:r>
                      <w:t>Ministerie van Infrastructuur en Waterstaat</w:t>
                    </w:r>
                  </w:p>
                  <w:p w14:paraId="2CFA21C6" w14:textId="77777777" w:rsidR="00BB55EA" w:rsidRDefault="00BB55EA" w:rsidP="00BB55EA"/>
                  <w:p w14:paraId="1AC6F89D" w14:textId="77777777" w:rsidR="00BB55EA" w:rsidRPr="00BB55EA" w:rsidRDefault="00BB55EA" w:rsidP="00BB55EA">
                    <w:pPr>
                      <w:pStyle w:val="Referentiegegevenskop"/>
                      <w:spacing w:line="276" w:lineRule="auto"/>
                    </w:pPr>
                    <w:r w:rsidRPr="00BB55EA">
                      <w:t>Ons kenmerk</w:t>
                    </w:r>
                  </w:p>
                  <w:p w14:paraId="5E3C6FBB" w14:textId="77777777" w:rsidR="00BB55EA" w:rsidRPr="00BB55EA" w:rsidRDefault="00BB55EA" w:rsidP="00BB55EA">
                    <w:pPr>
                      <w:pStyle w:val="Referentiegegevenskop"/>
                      <w:spacing w:line="276" w:lineRule="auto"/>
                      <w:rPr>
                        <w:b w:val="0"/>
                        <w:bCs/>
                      </w:rPr>
                    </w:pPr>
                    <w:r w:rsidRPr="00BB55EA">
                      <w:rPr>
                        <w:b w:val="0"/>
                        <w:bCs/>
                      </w:rPr>
                      <w:t>IENW/BSK-2026/79096</w:t>
                    </w:r>
                  </w:p>
                  <w:p w14:paraId="5E95255B" w14:textId="77777777" w:rsidR="00BB55EA" w:rsidRPr="00BB55EA" w:rsidRDefault="00BB55EA" w:rsidP="00BB55EA"/>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4C61525" wp14:editId="5E2601A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1AEAF3" w14:textId="4EEF3A1D" w:rsidR="006D6F26" w:rsidRDefault="003C27A5">
                          <w:pPr>
                            <w:pStyle w:val="Referentiegegevens"/>
                          </w:pPr>
                          <w:r>
                            <w:t xml:space="preserve">Page </w:t>
                          </w:r>
                          <w:r>
                            <w:fldChar w:fldCharType="begin"/>
                          </w:r>
                          <w:r>
                            <w:instrText>PAGE</w:instrText>
                          </w:r>
                          <w:r>
                            <w:fldChar w:fldCharType="separate"/>
                          </w:r>
                          <w:r w:rsidR="0043411E">
                            <w:rPr>
                              <w:noProof/>
                            </w:rPr>
                            <w:t>2</w:t>
                          </w:r>
                          <w:r>
                            <w:fldChar w:fldCharType="end"/>
                          </w:r>
                          <w:r>
                            <w:t xml:space="preserve"> of </w:t>
                          </w:r>
                          <w:r>
                            <w:fldChar w:fldCharType="begin"/>
                          </w:r>
                          <w:r>
                            <w:instrText>NUMPAGES</w:instrText>
                          </w:r>
                          <w:r>
                            <w:fldChar w:fldCharType="separate"/>
                          </w:r>
                          <w:r w:rsidR="0043411E">
                            <w:rPr>
                              <w:noProof/>
                            </w:rPr>
                            <w:t>1</w:t>
                          </w:r>
                          <w:r>
                            <w:fldChar w:fldCharType="end"/>
                          </w:r>
                        </w:p>
                      </w:txbxContent>
                    </wps:txbx>
                    <wps:bodyPr vert="horz" wrap="square" lIns="0" tIns="0" rIns="0" bIns="0" anchor="t" anchorCtr="0"/>
                  </wps:wsp>
                </a:graphicData>
              </a:graphic>
            </wp:anchor>
          </w:drawing>
        </mc:Choice>
        <mc:Fallback>
          <w:pict>
            <v:shape w14:anchorId="24C6152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1AEAF3" w14:textId="4EEF3A1D" w:rsidR="006D6F26" w:rsidRDefault="003C27A5">
                    <w:pPr>
                      <w:pStyle w:val="Referentiegegevens"/>
                    </w:pPr>
                    <w:r>
                      <w:t xml:space="preserve">Page </w:t>
                    </w:r>
                    <w:r>
                      <w:fldChar w:fldCharType="begin"/>
                    </w:r>
                    <w:r>
                      <w:instrText>PAGE</w:instrText>
                    </w:r>
                    <w:r>
                      <w:fldChar w:fldCharType="separate"/>
                    </w:r>
                    <w:r w:rsidR="0043411E">
                      <w:rPr>
                        <w:noProof/>
                      </w:rPr>
                      <w:t>2</w:t>
                    </w:r>
                    <w:r>
                      <w:fldChar w:fldCharType="end"/>
                    </w:r>
                    <w:r>
                      <w:t xml:space="preserve"> of </w:t>
                    </w:r>
                    <w:r>
                      <w:fldChar w:fldCharType="begin"/>
                    </w:r>
                    <w:r>
                      <w:instrText>NUMPAGES</w:instrText>
                    </w:r>
                    <w:r>
                      <w:fldChar w:fldCharType="separate"/>
                    </w:r>
                    <w:r w:rsidR="0043411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31991D8" wp14:editId="36FCFE2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A4CB31" w14:textId="77777777" w:rsidR="006D1745" w:rsidRDefault="006D1745"/>
                      </w:txbxContent>
                    </wps:txbx>
                    <wps:bodyPr vert="horz" wrap="square" lIns="0" tIns="0" rIns="0" bIns="0" anchor="t" anchorCtr="0"/>
                  </wps:wsp>
                </a:graphicData>
              </a:graphic>
            </wp:anchor>
          </w:drawing>
        </mc:Choice>
        <mc:Fallback>
          <w:pict>
            <v:shape w14:anchorId="731991D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BA4CB31" w14:textId="77777777" w:rsidR="006D1745" w:rsidRDefault="006D174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B02E83" wp14:editId="5BF51E7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C42CBD" w14:textId="77777777" w:rsidR="006D1745" w:rsidRDefault="006D1745"/>
                      </w:txbxContent>
                    </wps:txbx>
                    <wps:bodyPr vert="horz" wrap="square" lIns="0" tIns="0" rIns="0" bIns="0" anchor="t" anchorCtr="0"/>
                  </wps:wsp>
                </a:graphicData>
              </a:graphic>
            </wp:anchor>
          </w:drawing>
        </mc:Choice>
        <mc:Fallback>
          <w:pict>
            <v:shape w14:anchorId="22B02E8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C42CBD" w14:textId="77777777" w:rsidR="006D1745" w:rsidRDefault="006D174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372D" w14:textId="77777777" w:rsidR="006D6F26" w:rsidRDefault="003C27A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59EDB5A" wp14:editId="1A51EBE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42E02C" w14:textId="77777777" w:rsidR="006D1745" w:rsidRDefault="006D1745"/>
                      </w:txbxContent>
                    </wps:txbx>
                    <wps:bodyPr vert="horz" wrap="square" lIns="0" tIns="0" rIns="0" bIns="0" anchor="t" anchorCtr="0"/>
                  </wps:wsp>
                </a:graphicData>
              </a:graphic>
            </wp:anchor>
          </w:drawing>
        </mc:Choice>
        <mc:Fallback>
          <w:pict>
            <v:shapetype w14:anchorId="659EDB5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42E02C" w14:textId="77777777" w:rsidR="006D1745" w:rsidRDefault="006D174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D3DF73" wp14:editId="0230132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075E4E" w14:textId="02ECCFDE" w:rsidR="006D6F26" w:rsidRDefault="003C27A5">
                          <w:pPr>
                            <w:pStyle w:val="Referentiegegevens"/>
                          </w:pPr>
                          <w:r>
                            <w:t xml:space="preserve">Page </w:t>
                          </w:r>
                          <w:r>
                            <w:fldChar w:fldCharType="begin"/>
                          </w:r>
                          <w:r>
                            <w:instrText>PAGE</w:instrText>
                          </w:r>
                          <w:r>
                            <w:fldChar w:fldCharType="separate"/>
                          </w:r>
                          <w:r w:rsidR="001A5439">
                            <w:rPr>
                              <w:noProof/>
                            </w:rPr>
                            <w:t>1</w:t>
                          </w:r>
                          <w:r>
                            <w:fldChar w:fldCharType="end"/>
                          </w:r>
                          <w:r>
                            <w:t xml:space="preserve"> of </w:t>
                          </w:r>
                          <w:r>
                            <w:fldChar w:fldCharType="begin"/>
                          </w:r>
                          <w:r>
                            <w:instrText>NUMPAGES</w:instrText>
                          </w:r>
                          <w:r>
                            <w:fldChar w:fldCharType="separate"/>
                          </w:r>
                          <w:r w:rsidR="001A5439">
                            <w:rPr>
                              <w:noProof/>
                            </w:rPr>
                            <w:t>1</w:t>
                          </w:r>
                          <w:r>
                            <w:fldChar w:fldCharType="end"/>
                          </w:r>
                        </w:p>
                      </w:txbxContent>
                    </wps:txbx>
                    <wps:bodyPr vert="horz" wrap="square" lIns="0" tIns="0" rIns="0" bIns="0" anchor="t" anchorCtr="0"/>
                  </wps:wsp>
                </a:graphicData>
              </a:graphic>
            </wp:anchor>
          </w:drawing>
        </mc:Choice>
        <mc:Fallback>
          <w:pict>
            <v:shape w14:anchorId="53D3DF7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075E4E" w14:textId="02ECCFDE" w:rsidR="006D6F26" w:rsidRDefault="003C27A5">
                    <w:pPr>
                      <w:pStyle w:val="Referentiegegevens"/>
                    </w:pPr>
                    <w:r>
                      <w:t xml:space="preserve">Page </w:t>
                    </w:r>
                    <w:r>
                      <w:fldChar w:fldCharType="begin"/>
                    </w:r>
                    <w:r>
                      <w:instrText>PAGE</w:instrText>
                    </w:r>
                    <w:r>
                      <w:fldChar w:fldCharType="separate"/>
                    </w:r>
                    <w:r w:rsidR="001A5439">
                      <w:rPr>
                        <w:noProof/>
                      </w:rPr>
                      <w:t>1</w:t>
                    </w:r>
                    <w:r>
                      <w:fldChar w:fldCharType="end"/>
                    </w:r>
                    <w:r>
                      <w:t xml:space="preserve"> of </w:t>
                    </w:r>
                    <w:r>
                      <w:fldChar w:fldCharType="begin"/>
                    </w:r>
                    <w:r>
                      <w:instrText>NUMPAGES</w:instrText>
                    </w:r>
                    <w:r>
                      <w:fldChar w:fldCharType="separate"/>
                    </w:r>
                    <w:r w:rsidR="001A543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5B6084" wp14:editId="119254E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194904" w14:textId="77777777" w:rsidR="006D6F26" w:rsidRDefault="003C27A5">
                          <w:pPr>
                            <w:pStyle w:val="AfzendgegevensKop0"/>
                          </w:pPr>
                          <w:r>
                            <w:t>Ministerie van Infrastructuur en Waterstaat</w:t>
                          </w:r>
                        </w:p>
                        <w:p w14:paraId="7512F9DD" w14:textId="77777777" w:rsidR="006D6F26" w:rsidRDefault="006D6F26">
                          <w:pPr>
                            <w:pStyle w:val="WitregelW1"/>
                          </w:pPr>
                        </w:p>
                        <w:p w14:paraId="74088433" w14:textId="77777777" w:rsidR="006D6F26" w:rsidRDefault="003C27A5">
                          <w:pPr>
                            <w:pStyle w:val="Afzendgegevens"/>
                          </w:pPr>
                          <w:r>
                            <w:t>Rijnstraat 8</w:t>
                          </w:r>
                        </w:p>
                        <w:p w14:paraId="05C48E8B" w14:textId="77777777" w:rsidR="006D6F26" w:rsidRPr="0043411E" w:rsidRDefault="003C27A5">
                          <w:pPr>
                            <w:pStyle w:val="Afzendgegevens"/>
                            <w:rPr>
                              <w:lang w:val="de-DE"/>
                            </w:rPr>
                          </w:pPr>
                          <w:r w:rsidRPr="0043411E">
                            <w:rPr>
                              <w:lang w:val="de-DE"/>
                            </w:rPr>
                            <w:t>2515 XP  Den Haag</w:t>
                          </w:r>
                        </w:p>
                        <w:p w14:paraId="609D2144" w14:textId="77777777" w:rsidR="006D6F26" w:rsidRPr="0043411E" w:rsidRDefault="003C27A5">
                          <w:pPr>
                            <w:pStyle w:val="Afzendgegevens"/>
                            <w:rPr>
                              <w:lang w:val="de-DE"/>
                            </w:rPr>
                          </w:pPr>
                          <w:r w:rsidRPr="0043411E">
                            <w:rPr>
                              <w:lang w:val="de-DE"/>
                            </w:rPr>
                            <w:t>Postbus 20901</w:t>
                          </w:r>
                        </w:p>
                        <w:p w14:paraId="07122571" w14:textId="77777777" w:rsidR="006D6F26" w:rsidRPr="0043411E" w:rsidRDefault="003C27A5">
                          <w:pPr>
                            <w:pStyle w:val="Afzendgegevens"/>
                            <w:rPr>
                              <w:lang w:val="de-DE"/>
                            </w:rPr>
                          </w:pPr>
                          <w:r w:rsidRPr="0043411E">
                            <w:rPr>
                              <w:lang w:val="de-DE"/>
                            </w:rPr>
                            <w:t>2500 EX Den Haag</w:t>
                          </w:r>
                        </w:p>
                        <w:p w14:paraId="5E331D91" w14:textId="77777777" w:rsidR="006D6F26" w:rsidRPr="0043411E" w:rsidRDefault="006D6F26">
                          <w:pPr>
                            <w:pStyle w:val="WitregelW1"/>
                            <w:rPr>
                              <w:lang w:val="de-DE"/>
                            </w:rPr>
                          </w:pPr>
                        </w:p>
                        <w:p w14:paraId="6A022262" w14:textId="77777777" w:rsidR="006D6F26" w:rsidRPr="0043411E" w:rsidRDefault="003C27A5">
                          <w:pPr>
                            <w:pStyle w:val="Afzendgegevens"/>
                            <w:rPr>
                              <w:lang w:val="de-DE"/>
                            </w:rPr>
                          </w:pPr>
                          <w:r w:rsidRPr="0043411E">
                            <w:rPr>
                              <w:lang w:val="de-DE"/>
                            </w:rPr>
                            <w:t>T   070-456 0000</w:t>
                          </w:r>
                        </w:p>
                        <w:p w14:paraId="6EEDFA37" w14:textId="77777777" w:rsidR="006D6F26" w:rsidRDefault="003C27A5">
                          <w:pPr>
                            <w:pStyle w:val="Afzendgegevens"/>
                          </w:pPr>
                          <w:r>
                            <w:t>F   070-456 1111</w:t>
                          </w:r>
                        </w:p>
                        <w:p w14:paraId="3AA51069" w14:textId="77777777" w:rsidR="006D6F26" w:rsidRPr="00BB55EA" w:rsidRDefault="006D6F26" w:rsidP="00BB55EA">
                          <w:pPr>
                            <w:pStyle w:val="WitregelW2"/>
                            <w:spacing w:line="276" w:lineRule="auto"/>
                            <w:rPr>
                              <w:sz w:val="13"/>
                              <w:szCs w:val="13"/>
                            </w:rPr>
                          </w:pPr>
                        </w:p>
                        <w:p w14:paraId="184D55B5" w14:textId="77777777" w:rsidR="00BB55EA" w:rsidRPr="00BB55EA" w:rsidRDefault="00BB55EA" w:rsidP="00BB55EA">
                          <w:pPr>
                            <w:pStyle w:val="Referentiegegevenskop"/>
                            <w:spacing w:line="276" w:lineRule="auto"/>
                          </w:pPr>
                          <w:r w:rsidRPr="00BB55EA">
                            <w:t>Ons kenmerk</w:t>
                          </w:r>
                        </w:p>
                        <w:p w14:paraId="79F625FD" w14:textId="27E8A239" w:rsidR="00BB55EA" w:rsidRPr="00BB55EA" w:rsidRDefault="00BB55EA" w:rsidP="00BB55EA">
                          <w:pPr>
                            <w:pStyle w:val="Referentiegegevenskop"/>
                            <w:spacing w:line="276" w:lineRule="auto"/>
                            <w:rPr>
                              <w:b w:val="0"/>
                              <w:bCs/>
                            </w:rPr>
                          </w:pPr>
                          <w:r w:rsidRPr="00BB55EA">
                            <w:rPr>
                              <w:b w:val="0"/>
                              <w:bCs/>
                            </w:rPr>
                            <w:t>IENW/BSK-2026/79096</w:t>
                          </w:r>
                        </w:p>
                        <w:p w14:paraId="225613E8" w14:textId="77777777" w:rsidR="00BB55EA" w:rsidRPr="00BB55EA" w:rsidRDefault="00BB55EA" w:rsidP="00BB55EA">
                          <w:pPr>
                            <w:pStyle w:val="Referentiegegevenskop"/>
                            <w:spacing w:line="276" w:lineRule="auto"/>
                          </w:pPr>
                        </w:p>
                        <w:p w14:paraId="69734C81" w14:textId="731C5E2F" w:rsidR="006D6F26" w:rsidRPr="00BB55EA" w:rsidRDefault="003C27A5" w:rsidP="00BB55EA">
                          <w:pPr>
                            <w:pStyle w:val="Referentiegegevenskop"/>
                            <w:spacing w:line="276" w:lineRule="auto"/>
                          </w:pPr>
                          <w:r w:rsidRPr="00BB55EA">
                            <w:t>Bijlage(n)</w:t>
                          </w:r>
                        </w:p>
                        <w:p w14:paraId="074AF231" w14:textId="77777777" w:rsidR="006D6F26" w:rsidRPr="00BB55EA" w:rsidRDefault="003C27A5" w:rsidP="00BB55EA">
                          <w:pPr>
                            <w:pStyle w:val="Referentiegegevens"/>
                            <w:spacing w:line="276" w:lineRule="auto"/>
                          </w:pPr>
                          <w:r w:rsidRPr="00BB55EA">
                            <w:t>4</w:t>
                          </w:r>
                        </w:p>
                      </w:txbxContent>
                    </wps:txbx>
                    <wps:bodyPr vert="horz" wrap="square" lIns="0" tIns="0" rIns="0" bIns="0" anchor="t" anchorCtr="0"/>
                  </wps:wsp>
                </a:graphicData>
              </a:graphic>
            </wp:anchor>
          </w:drawing>
        </mc:Choice>
        <mc:Fallback>
          <w:pict>
            <v:shape w14:anchorId="095B608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194904" w14:textId="77777777" w:rsidR="006D6F26" w:rsidRDefault="003C27A5">
                    <w:pPr>
                      <w:pStyle w:val="AfzendgegevensKop0"/>
                    </w:pPr>
                    <w:r>
                      <w:t>Ministerie van Infrastructuur en Waterstaat</w:t>
                    </w:r>
                  </w:p>
                  <w:p w14:paraId="7512F9DD" w14:textId="77777777" w:rsidR="006D6F26" w:rsidRDefault="006D6F26">
                    <w:pPr>
                      <w:pStyle w:val="WitregelW1"/>
                    </w:pPr>
                  </w:p>
                  <w:p w14:paraId="74088433" w14:textId="77777777" w:rsidR="006D6F26" w:rsidRDefault="003C27A5">
                    <w:pPr>
                      <w:pStyle w:val="Afzendgegevens"/>
                    </w:pPr>
                    <w:r>
                      <w:t>Rijnstraat 8</w:t>
                    </w:r>
                  </w:p>
                  <w:p w14:paraId="05C48E8B" w14:textId="77777777" w:rsidR="006D6F26" w:rsidRPr="0043411E" w:rsidRDefault="003C27A5">
                    <w:pPr>
                      <w:pStyle w:val="Afzendgegevens"/>
                      <w:rPr>
                        <w:lang w:val="de-DE"/>
                      </w:rPr>
                    </w:pPr>
                    <w:r w:rsidRPr="0043411E">
                      <w:rPr>
                        <w:lang w:val="de-DE"/>
                      </w:rPr>
                      <w:t>2515 XP  Den Haag</w:t>
                    </w:r>
                  </w:p>
                  <w:p w14:paraId="609D2144" w14:textId="77777777" w:rsidR="006D6F26" w:rsidRPr="0043411E" w:rsidRDefault="003C27A5">
                    <w:pPr>
                      <w:pStyle w:val="Afzendgegevens"/>
                      <w:rPr>
                        <w:lang w:val="de-DE"/>
                      </w:rPr>
                    </w:pPr>
                    <w:r w:rsidRPr="0043411E">
                      <w:rPr>
                        <w:lang w:val="de-DE"/>
                      </w:rPr>
                      <w:t>Postbus 20901</w:t>
                    </w:r>
                  </w:p>
                  <w:p w14:paraId="07122571" w14:textId="77777777" w:rsidR="006D6F26" w:rsidRPr="0043411E" w:rsidRDefault="003C27A5">
                    <w:pPr>
                      <w:pStyle w:val="Afzendgegevens"/>
                      <w:rPr>
                        <w:lang w:val="de-DE"/>
                      </w:rPr>
                    </w:pPr>
                    <w:r w:rsidRPr="0043411E">
                      <w:rPr>
                        <w:lang w:val="de-DE"/>
                      </w:rPr>
                      <w:t>2500 EX Den Haag</w:t>
                    </w:r>
                  </w:p>
                  <w:p w14:paraId="5E331D91" w14:textId="77777777" w:rsidR="006D6F26" w:rsidRPr="0043411E" w:rsidRDefault="006D6F26">
                    <w:pPr>
                      <w:pStyle w:val="WitregelW1"/>
                      <w:rPr>
                        <w:lang w:val="de-DE"/>
                      </w:rPr>
                    </w:pPr>
                  </w:p>
                  <w:p w14:paraId="6A022262" w14:textId="77777777" w:rsidR="006D6F26" w:rsidRPr="0043411E" w:rsidRDefault="003C27A5">
                    <w:pPr>
                      <w:pStyle w:val="Afzendgegevens"/>
                      <w:rPr>
                        <w:lang w:val="de-DE"/>
                      </w:rPr>
                    </w:pPr>
                    <w:r w:rsidRPr="0043411E">
                      <w:rPr>
                        <w:lang w:val="de-DE"/>
                      </w:rPr>
                      <w:t>T   070-456 0000</w:t>
                    </w:r>
                  </w:p>
                  <w:p w14:paraId="6EEDFA37" w14:textId="77777777" w:rsidR="006D6F26" w:rsidRDefault="003C27A5">
                    <w:pPr>
                      <w:pStyle w:val="Afzendgegevens"/>
                    </w:pPr>
                    <w:r>
                      <w:t>F   070-456 1111</w:t>
                    </w:r>
                  </w:p>
                  <w:p w14:paraId="3AA51069" w14:textId="77777777" w:rsidR="006D6F26" w:rsidRPr="00BB55EA" w:rsidRDefault="006D6F26" w:rsidP="00BB55EA">
                    <w:pPr>
                      <w:pStyle w:val="WitregelW2"/>
                      <w:spacing w:line="276" w:lineRule="auto"/>
                      <w:rPr>
                        <w:sz w:val="13"/>
                        <w:szCs w:val="13"/>
                      </w:rPr>
                    </w:pPr>
                  </w:p>
                  <w:p w14:paraId="184D55B5" w14:textId="77777777" w:rsidR="00BB55EA" w:rsidRPr="00BB55EA" w:rsidRDefault="00BB55EA" w:rsidP="00BB55EA">
                    <w:pPr>
                      <w:pStyle w:val="Referentiegegevenskop"/>
                      <w:spacing w:line="276" w:lineRule="auto"/>
                    </w:pPr>
                    <w:r w:rsidRPr="00BB55EA">
                      <w:t>Ons kenmerk</w:t>
                    </w:r>
                  </w:p>
                  <w:p w14:paraId="79F625FD" w14:textId="27E8A239" w:rsidR="00BB55EA" w:rsidRPr="00BB55EA" w:rsidRDefault="00BB55EA" w:rsidP="00BB55EA">
                    <w:pPr>
                      <w:pStyle w:val="Referentiegegevenskop"/>
                      <w:spacing w:line="276" w:lineRule="auto"/>
                      <w:rPr>
                        <w:b w:val="0"/>
                        <w:bCs/>
                      </w:rPr>
                    </w:pPr>
                    <w:r w:rsidRPr="00BB55EA">
                      <w:rPr>
                        <w:b w:val="0"/>
                        <w:bCs/>
                      </w:rPr>
                      <w:t>IENW/BSK-2026/79096</w:t>
                    </w:r>
                  </w:p>
                  <w:p w14:paraId="225613E8" w14:textId="77777777" w:rsidR="00BB55EA" w:rsidRPr="00BB55EA" w:rsidRDefault="00BB55EA" w:rsidP="00BB55EA">
                    <w:pPr>
                      <w:pStyle w:val="Referentiegegevenskop"/>
                      <w:spacing w:line="276" w:lineRule="auto"/>
                    </w:pPr>
                  </w:p>
                  <w:p w14:paraId="69734C81" w14:textId="731C5E2F" w:rsidR="006D6F26" w:rsidRPr="00BB55EA" w:rsidRDefault="003C27A5" w:rsidP="00BB55EA">
                    <w:pPr>
                      <w:pStyle w:val="Referentiegegevenskop"/>
                      <w:spacing w:line="276" w:lineRule="auto"/>
                    </w:pPr>
                    <w:r w:rsidRPr="00BB55EA">
                      <w:t>Bijlage(n)</w:t>
                    </w:r>
                  </w:p>
                  <w:p w14:paraId="074AF231" w14:textId="77777777" w:rsidR="006D6F26" w:rsidRPr="00BB55EA" w:rsidRDefault="003C27A5" w:rsidP="00BB55EA">
                    <w:pPr>
                      <w:pStyle w:val="Referentiegegevens"/>
                      <w:spacing w:line="276" w:lineRule="auto"/>
                    </w:pPr>
                    <w:r w:rsidRPr="00BB55EA">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D05EE1" wp14:editId="15D4AC1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749496" w14:textId="77777777" w:rsidR="006D6F26" w:rsidRDefault="003C27A5">
                          <w:pPr>
                            <w:spacing w:line="240" w:lineRule="auto"/>
                          </w:pPr>
                          <w:r>
                            <w:rPr>
                              <w:noProof/>
                              <w:lang w:val="en-GB" w:eastAsia="en-GB"/>
                            </w:rPr>
                            <w:drawing>
                              <wp:inline distT="0" distB="0" distL="0" distR="0" wp14:anchorId="6CA4E957" wp14:editId="0D98ACB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D05EE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749496" w14:textId="77777777" w:rsidR="006D6F26" w:rsidRDefault="003C27A5">
                    <w:pPr>
                      <w:spacing w:line="240" w:lineRule="auto"/>
                    </w:pPr>
                    <w:r>
                      <w:rPr>
                        <w:noProof/>
                        <w:lang w:val="en-GB" w:eastAsia="en-GB"/>
                      </w:rPr>
                      <w:drawing>
                        <wp:inline distT="0" distB="0" distL="0" distR="0" wp14:anchorId="6CA4E957" wp14:editId="0D98ACB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DA3E41" wp14:editId="419305E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8D931C" w14:textId="77777777" w:rsidR="006D6F26" w:rsidRDefault="003C27A5">
                          <w:pPr>
                            <w:spacing w:line="240" w:lineRule="auto"/>
                          </w:pPr>
                          <w:r>
                            <w:rPr>
                              <w:noProof/>
                              <w:lang w:val="en-GB" w:eastAsia="en-GB"/>
                            </w:rPr>
                            <w:drawing>
                              <wp:inline distT="0" distB="0" distL="0" distR="0" wp14:anchorId="35269091" wp14:editId="2384EB5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DA3E4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8D931C" w14:textId="77777777" w:rsidR="006D6F26" w:rsidRDefault="003C27A5">
                    <w:pPr>
                      <w:spacing w:line="240" w:lineRule="auto"/>
                    </w:pPr>
                    <w:r>
                      <w:rPr>
                        <w:noProof/>
                        <w:lang w:val="en-GB" w:eastAsia="en-GB"/>
                      </w:rPr>
                      <w:drawing>
                        <wp:inline distT="0" distB="0" distL="0" distR="0" wp14:anchorId="35269091" wp14:editId="2384EB5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057256C" wp14:editId="6A436F4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60EA539" w14:textId="77777777" w:rsidR="006D6F26" w:rsidRDefault="003C27A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5725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60EA539" w14:textId="77777777" w:rsidR="006D6F26" w:rsidRDefault="003C27A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110F33" wp14:editId="0180DC8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ED2F16" w14:textId="77777777" w:rsidR="006D6F26" w:rsidRDefault="003C27A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8110F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ED2F16" w14:textId="77777777" w:rsidR="006D6F26" w:rsidRDefault="003C27A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79958C6" wp14:editId="02DBE7D4">
              <wp:simplePos x="0" y="0"/>
              <wp:positionH relativeFrom="page">
                <wp:posOffset>1005840</wp:posOffset>
              </wp:positionH>
              <wp:positionV relativeFrom="paragraph">
                <wp:posOffset>3634740</wp:posOffset>
              </wp:positionV>
              <wp:extent cx="4105275" cy="9906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906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D6F26" w14:paraId="1ADBD4BD" w14:textId="77777777">
                            <w:trPr>
                              <w:trHeight w:val="200"/>
                            </w:trPr>
                            <w:tc>
                              <w:tcPr>
                                <w:tcW w:w="1140" w:type="dxa"/>
                              </w:tcPr>
                              <w:p w14:paraId="124D84E8" w14:textId="77777777" w:rsidR="006D6F26" w:rsidRDefault="006D6F26"/>
                            </w:tc>
                            <w:tc>
                              <w:tcPr>
                                <w:tcW w:w="5400" w:type="dxa"/>
                              </w:tcPr>
                              <w:p w14:paraId="42F06191" w14:textId="77777777" w:rsidR="006D6F26" w:rsidRDefault="006D6F26"/>
                            </w:tc>
                          </w:tr>
                          <w:tr w:rsidR="006D6F26" w14:paraId="05C4EBE7" w14:textId="77777777">
                            <w:trPr>
                              <w:trHeight w:val="240"/>
                            </w:trPr>
                            <w:tc>
                              <w:tcPr>
                                <w:tcW w:w="1140" w:type="dxa"/>
                              </w:tcPr>
                              <w:p w14:paraId="7E7D210F" w14:textId="77777777" w:rsidR="006D6F26" w:rsidRDefault="003C27A5">
                                <w:r>
                                  <w:t>Datum</w:t>
                                </w:r>
                              </w:p>
                            </w:tc>
                            <w:tc>
                              <w:tcPr>
                                <w:tcW w:w="5400" w:type="dxa"/>
                              </w:tcPr>
                              <w:p w14:paraId="216A4AD1" w14:textId="45E035C3" w:rsidR="006D6F26" w:rsidRDefault="0043411E">
                                <w:r>
                                  <w:t>2</w:t>
                                </w:r>
                                <w:r w:rsidR="00BB55EA">
                                  <w:t xml:space="preserve"> juni</w:t>
                                </w:r>
                                <w:r>
                                  <w:t xml:space="preserve"> 2026</w:t>
                                </w:r>
                              </w:p>
                            </w:tc>
                          </w:tr>
                          <w:tr w:rsidR="006D6F26" w14:paraId="1B9604DB" w14:textId="77777777">
                            <w:trPr>
                              <w:trHeight w:val="240"/>
                            </w:trPr>
                            <w:tc>
                              <w:tcPr>
                                <w:tcW w:w="1140" w:type="dxa"/>
                              </w:tcPr>
                              <w:p w14:paraId="6E9AA454" w14:textId="77777777" w:rsidR="006D6F26" w:rsidRDefault="003C27A5">
                                <w:r>
                                  <w:t>Betreft</w:t>
                                </w:r>
                              </w:p>
                            </w:tc>
                            <w:tc>
                              <w:tcPr>
                                <w:tcW w:w="5400" w:type="dxa"/>
                              </w:tcPr>
                              <w:p w14:paraId="3D9F192F" w14:textId="75FA6F2E" w:rsidR="006D6F26" w:rsidRDefault="003C27A5">
                                <w:r>
                                  <w:t>Tweede beleidsreactie op onderzoek Universiteit Utrecht ‘Naar een robuuste implementatie van het Verdrag van Aarhus?</w:t>
                                </w:r>
                                <w:r w:rsidR="00DB71C6">
                                  <w:t>’</w:t>
                                </w:r>
                              </w:p>
                            </w:tc>
                          </w:tr>
                          <w:tr w:rsidR="006D6F26" w14:paraId="60BDAAC6" w14:textId="77777777">
                            <w:trPr>
                              <w:trHeight w:val="200"/>
                            </w:trPr>
                            <w:tc>
                              <w:tcPr>
                                <w:tcW w:w="1140" w:type="dxa"/>
                              </w:tcPr>
                              <w:p w14:paraId="654504CC" w14:textId="77777777" w:rsidR="006D6F26" w:rsidRDefault="006D6F26"/>
                            </w:tc>
                            <w:tc>
                              <w:tcPr>
                                <w:tcW w:w="5400" w:type="dxa"/>
                              </w:tcPr>
                              <w:p w14:paraId="23D5EBA4" w14:textId="77777777" w:rsidR="006D6F26" w:rsidRDefault="006D6F26"/>
                            </w:tc>
                          </w:tr>
                        </w:tbl>
                        <w:p w14:paraId="674D509C" w14:textId="77777777" w:rsidR="006D1745" w:rsidRDefault="006D17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9958C6" id="7266255e-823c-11ee-8554-0242ac120003" o:spid="_x0000_s1037" type="#_x0000_t202" style="position:absolute;margin-left:79.2pt;margin-top:286.2pt;width:323.25pt;height:78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6D6F26" w14:paraId="1ADBD4BD" w14:textId="77777777">
                      <w:trPr>
                        <w:trHeight w:val="200"/>
                      </w:trPr>
                      <w:tc>
                        <w:tcPr>
                          <w:tcW w:w="1140" w:type="dxa"/>
                        </w:tcPr>
                        <w:p w14:paraId="124D84E8" w14:textId="77777777" w:rsidR="006D6F26" w:rsidRDefault="006D6F26"/>
                      </w:tc>
                      <w:tc>
                        <w:tcPr>
                          <w:tcW w:w="5400" w:type="dxa"/>
                        </w:tcPr>
                        <w:p w14:paraId="42F06191" w14:textId="77777777" w:rsidR="006D6F26" w:rsidRDefault="006D6F26"/>
                      </w:tc>
                    </w:tr>
                    <w:tr w:rsidR="006D6F26" w14:paraId="05C4EBE7" w14:textId="77777777">
                      <w:trPr>
                        <w:trHeight w:val="240"/>
                      </w:trPr>
                      <w:tc>
                        <w:tcPr>
                          <w:tcW w:w="1140" w:type="dxa"/>
                        </w:tcPr>
                        <w:p w14:paraId="7E7D210F" w14:textId="77777777" w:rsidR="006D6F26" w:rsidRDefault="003C27A5">
                          <w:r>
                            <w:t>Datum</w:t>
                          </w:r>
                        </w:p>
                      </w:tc>
                      <w:tc>
                        <w:tcPr>
                          <w:tcW w:w="5400" w:type="dxa"/>
                        </w:tcPr>
                        <w:p w14:paraId="216A4AD1" w14:textId="45E035C3" w:rsidR="006D6F26" w:rsidRDefault="0043411E">
                          <w:r>
                            <w:t>2</w:t>
                          </w:r>
                          <w:r w:rsidR="00BB55EA">
                            <w:t xml:space="preserve"> juni</w:t>
                          </w:r>
                          <w:r>
                            <w:t xml:space="preserve"> 2026</w:t>
                          </w:r>
                        </w:p>
                      </w:tc>
                    </w:tr>
                    <w:tr w:rsidR="006D6F26" w14:paraId="1B9604DB" w14:textId="77777777">
                      <w:trPr>
                        <w:trHeight w:val="240"/>
                      </w:trPr>
                      <w:tc>
                        <w:tcPr>
                          <w:tcW w:w="1140" w:type="dxa"/>
                        </w:tcPr>
                        <w:p w14:paraId="6E9AA454" w14:textId="77777777" w:rsidR="006D6F26" w:rsidRDefault="003C27A5">
                          <w:r>
                            <w:t>Betreft</w:t>
                          </w:r>
                        </w:p>
                      </w:tc>
                      <w:tc>
                        <w:tcPr>
                          <w:tcW w:w="5400" w:type="dxa"/>
                        </w:tcPr>
                        <w:p w14:paraId="3D9F192F" w14:textId="75FA6F2E" w:rsidR="006D6F26" w:rsidRDefault="003C27A5">
                          <w:r>
                            <w:t>Tweede beleidsreactie op onderzoek Universiteit Utrecht ‘Naar een robuuste implementatie van het Verdrag van Aarhus?</w:t>
                          </w:r>
                          <w:r w:rsidR="00DB71C6">
                            <w:t>’</w:t>
                          </w:r>
                        </w:p>
                      </w:tc>
                    </w:tr>
                    <w:tr w:rsidR="006D6F26" w14:paraId="60BDAAC6" w14:textId="77777777">
                      <w:trPr>
                        <w:trHeight w:val="200"/>
                      </w:trPr>
                      <w:tc>
                        <w:tcPr>
                          <w:tcW w:w="1140" w:type="dxa"/>
                        </w:tcPr>
                        <w:p w14:paraId="654504CC" w14:textId="77777777" w:rsidR="006D6F26" w:rsidRDefault="006D6F26"/>
                      </w:tc>
                      <w:tc>
                        <w:tcPr>
                          <w:tcW w:w="5400" w:type="dxa"/>
                        </w:tcPr>
                        <w:p w14:paraId="23D5EBA4" w14:textId="77777777" w:rsidR="006D6F26" w:rsidRDefault="006D6F26"/>
                      </w:tc>
                    </w:tr>
                  </w:tbl>
                  <w:p w14:paraId="674D509C" w14:textId="77777777" w:rsidR="006D1745" w:rsidRDefault="006D174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DDE5588" wp14:editId="35841A1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EE26A6" w14:textId="77777777" w:rsidR="006D1745" w:rsidRDefault="006D1745"/>
                      </w:txbxContent>
                    </wps:txbx>
                    <wps:bodyPr vert="horz" wrap="square" lIns="0" tIns="0" rIns="0" bIns="0" anchor="t" anchorCtr="0"/>
                  </wps:wsp>
                </a:graphicData>
              </a:graphic>
            </wp:anchor>
          </w:drawing>
        </mc:Choice>
        <mc:Fallback>
          <w:pict>
            <v:shape w14:anchorId="5DDE558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EE26A6" w14:textId="77777777" w:rsidR="006D1745" w:rsidRDefault="006D174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90BF5B"/>
    <w:multiLevelType w:val="multilevel"/>
    <w:tmpl w:val="0DF43E4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42122F"/>
    <w:multiLevelType w:val="multilevel"/>
    <w:tmpl w:val="4ECB9D9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930DBA"/>
    <w:multiLevelType w:val="multilevel"/>
    <w:tmpl w:val="99D01B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01B917"/>
    <w:multiLevelType w:val="multilevel"/>
    <w:tmpl w:val="299B10B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50C681"/>
    <w:multiLevelType w:val="multilevel"/>
    <w:tmpl w:val="AB850B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98D335"/>
    <w:multiLevelType w:val="multilevel"/>
    <w:tmpl w:val="10117C6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A1089B"/>
    <w:multiLevelType w:val="multilevel"/>
    <w:tmpl w:val="CB51261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287844"/>
    <w:multiLevelType w:val="multilevel"/>
    <w:tmpl w:val="1211C19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E94BEB"/>
    <w:multiLevelType w:val="multilevel"/>
    <w:tmpl w:val="DB84FFF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F37B4A"/>
    <w:multiLevelType w:val="multilevel"/>
    <w:tmpl w:val="B2ACA2B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6988DA"/>
    <w:multiLevelType w:val="multilevel"/>
    <w:tmpl w:val="37B8B77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C5AC1D"/>
    <w:multiLevelType w:val="multilevel"/>
    <w:tmpl w:val="23B37F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2F499C4"/>
    <w:multiLevelType w:val="multilevel"/>
    <w:tmpl w:val="59955E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A78C38"/>
    <w:multiLevelType w:val="multilevel"/>
    <w:tmpl w:val="3870CF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E7245DC"/>
    <w:multiLevelType w:val="hybridMultilevel"/>
    <w:tmpl w:val="932EEEAE"/>
    <w:lvl w:ilvl="0" w:tplc="2ED89FA8">
      <w:start w:val="1"/>
      <w:numFmt w:val="decimal"/>
      <w:lvlText w:val="%1."/>
      <w:lvlJc w:val="left"/>
      <w:pPr>
        <w:ind w:left="750" w:hanging="361"/>
      </w:pPr>
      <w:rPr>
        <w:rFonts w:ascii="Verdana" w:eastAsia="Verdana" w:hAnsi="Verdana" w:cs="Verdana" w:hint="default"/>
        <w:b w:val="0"/>
        <w:bCs w:val="0"/>
        <w:i w:val="0"/>
        <w:iCs w:val="0"/>
        <w:spacing w:val="-1"/>
        <w:w w:val="101"/>
        <w:sz w:val="18"/>
        <w:szCs w:val="18"/>
        <w:lang w:val="nl-NL" w:eastAsia="en-US" w:bidi="ar-SA"/>
      </w:rPr>
    </w:lvl>
    <w:lvl w:ilvl="1" w:tplc="60CAA688">
      <w:numFmt w:val="bullet"/>
      <w:lvlText w:val="•"/>
      <w:lvlJc w:val="left"/>
      <w:pPr>
        <w:ind w:left="1436" w:hanging="361"/>
      </w:pPr>
      <w:rPr>
        <w:rFonts w:hint="default"/>
        <w:lang w:val="nl-NL" w:eastAsia="en-US" w:bidi="ar-SA"/>
      </w:rPr>
    </w:lvl>
    <w:lvl w:ilvl="2" w:tplc="47749CA8">
      <w:numFmt w:val="bullet"/>
      <w:lvlText w:val="•"/>
      <w:lvlJc w:val="left"/>
      <w:pPr>
        <w:ind w:left="2113" w:hanging="361"/>
      </w:pPr>
      <w:rPr>
        <w:rFonts w:hint="default"/>
        <w:lang w:val="nl-NL" w:eastAsia="en-US" w:bidi="ar-SA"/>
      </w:rPr>
    </w:lvl>
    <w:lvl w:ilvl="3" w:tplc="79FE7E12">
      <w:numFmt w:val="bullet"/>
      <w:lvlText w:val="•"/>
      <w:lvlJc w:val="left"/>
      <w:pPr>
        <w:ind w:left="2790" w:hanging="361"/>
      </w:pPr>
      <w:rPr>
        <w:rFonts w:hint="default"/>
        <w:lang w:val="nl-NL" w:eastAsia="en-US" w:bidi="ar-SA"/>
      </w:rPr>
    </w:lvl>
    <w:lvl w:ilvl="4" w:tplc="DAA225F4">
      <w:numFmt w:val="bullet"/>
      <w:lvlText w:val="•"/>
      <w:lvlJc w:val="left"/>
      <w:pPr>
        <w:ind w:left="3466" w:hanging="361"/>
      </w:pPr>
      <w:rPr>
        <w:rFonts w:hint="default"/>
        <w:lang w:val="nl-NL" w:eastAsia="en-US" w:bidi="ar-SA"/>
      </w:rPr>
    </w:lvl>
    <w:lvl w:ilvl="5" w:tplc="497C6B40">
      <w:numFmt w:val="bullet"/>
      <w:lvlText w:val="•"/>
      <w:lvlJc w:val="left"/>
      <w:pPr>
        <w:ind w:left="4143" w:hanging="361"/>
      </w:pPr>
      <w:rPr>
        <w:rFonts w:hint="default"/>
        <w:lang w:val="nl-NL" w:eastAsia="en-US" w:bidi="ar-SA"/>
      </w:rPr>
    </w:lvl>
    <w:lvl w:ilvl="6" w:tplc="0D9C7BAA">
      <w:numFmt w:val="bullet"/>
      <w:lvlText w:val="•"/>
      <w:lvlJc w:val="left"/>
      <w:pPr>
        <w:ind w:left="4820" w:hanging="361"/>
      </w:pPr>
      <w:rPr>
        <w:rFonts w:hint="default"/>
        <w:lang w:val="nl-NL" w:eastAsia="en-US" w:bidi="ar-SA"/>
      </w:rPr>
    </w:lvl>
    <w:lvl w:ilvl="7" w:tplc="CED8AA02">
      <w:numFmt w:val="bullet"/>
      <w:lvlText w:val="•"/>
      <w:lvlJc w:val="left"/>
      <w:pPr>
        <w:ind w:left="5496" w:hanging="361"/>
      </w:pPr>
      <w:rPr>
        <w:rFonts w:hint="default"/>
        <w:lang w:val="nl-NL" w:eastAsia="en-US" w:bidi="ar-SA"/>
      </w:rPr>
    </w:lvl>
    <w:lvl w:ilvl="8" w:tplc="A62A3FD6">
      <w:numFmt w:val="bullet"/>
      <w:lvlText w:val="•"/>
      <w:lvlJc w:val="left"/>
      <w:pPr>
        <w:ind w:left="6173" w:hanging="361"/>
      </w:pPr>
      <w:rPr>
        <w:rFonts w:hint="default"/>
        <w:lang w:val="nl-NL" w:eastAsia="en-US" w:bidi="ar-SA"/>
      </w:rPr>
    </w:lvl>
  </w:abstractNum>
  <w:abstractNum w:abstractNumId="15" w15:restartNumberingAfterBreak="0">
    <w:nsid w:val="3EA9BDB5"/>
    <w:multiLevelType w:val="multilevel"/>
    <w:tmpl w:val="C88D0A9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3053C6"/>
    <w:multiLevelType w:val="multilevel"/>
    <w:tmpl w:val="F15D134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5FD246"/>
    <w:multiLevelType w:val="multilevel"/>
    <w:tmpl w:val="2E3B437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6C5548"/>
    <w:multiLevelType w:val="multilevel"/>
    <w:tmpl w:val="69747DA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0D38A3"/>
    <w:multiLevelType w:val="multilevel"/>
    <w:tmpl w:val="2CC7DFA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C5BE9A"/>
    <w:multiLevelType w:val="multilevel"/>
    <w:tmpl w:val="BDA09B9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E48814"/>
    <w:multiLevelType w:val="multilevel"/>
    <w:tmpl w:val="54FA568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536697"/>
    <w:multiLevelType w:val="multilevel"/>
    <w:tmpl w:val="2BD7F82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E65592"/>
    <w:multiLevelType w:val="multilevel"/>
    <w:tmpl w:val="CF08E31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1"/>
  </w:num>
  <w:num w:numId="3">
    <w:abstractNumId w:val="3"/>
  </w:num>
  <w:num w:numId="4">
    <w:abstractNumId w:val="5"/>
  </w:num>
  <w:num w:numId="5">
    <w:abstractNumId w:val="13"/>
  </w:num>
  <w:num w:numId="6">
    <w:abstractNumId w:val="22"/>
  </w:num>
  <w:num w:numId="7">
    <w:abstractNumId w:val="4"/>
  </w:num>
  <w:num w:numId="8">
    <w:abstractNumId w:val="17"/>
  </w:num>
  <w:num w:numId="9">
    <w:abstractNumId w:val="20"/>
  </w:num>
  <w:num w:numId="10">
    <w:abstractNumId w:val="8"/>
  </w:num>
  <w:num w:numId="11">
    <w:abstractNumId w:val="7"/>
  </w:num>
  <w:num w:numId="12">
    <w:abstractNumId w:val="11"/>
  </w:num>
  <w:num w:numId="13">
    <w:abstractNumId w:val="1"/>
  </w:num>
  <w:num w:numId="14">
    <w:abstractNumId w:val="19"/>
  </w:num>
  <w:num w:numId="15">
    <w:abstractNumId w:val="9"/>
  </w:num>
  <w:num w:numId="16">
    <w:abstractNumId w:val="6"/>
  </w:num>
  <w:num w:numId="17">
    <w:abstractNumId w:val="16"/>
  </w:num>
  <w:num w:numId="18">
    <w:abstractNumId w:val="18"/>
  </w:num>
  <w:num w:numId="19">
    <w:abstractNumId w:val="23"/>
  </w:num>
  <w:num w:numId="20">
    <w:abstractNumId w:val="10"/>
  </w:num>
  <w:num w:numId="21">
    <w:abstractNumId w:val="0"/>
  </w:num>
  <w:num w:numId="22">
    <w:abstractNumId w:val="2"/>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1E"/>
    <w:rsid w:val="000B2307"/>
    <w:rsid w:val="001A5439"/>
    <w:rsid w:val="001D430C"/>
    <w:rsid w:val="0026440B"/>
    <w:rsid w:val="003024A5"/>
    <w:rsid w:val="00336BDA"/>
    <w:rsid w:val="00391DE4"/>
    <w:rsid w:val="003C27A5"/>
    <w:rsid w:val="0043411E"/>
    <w:rsid w:val="0046765E"/>
    <w:rsid w:val="004B6D3B"/>
    <w:rsid w:val="004C0624"/>
    <w:rsid w:val="005062E4"/>
    <w:rsid w:val="0051547F"/>
    <w:rsid w:val="00555E32"/>
    <w:rsid w:val="00590A44"/>
    <w:rsid w:val="006D1745"/>
    <w:rsid w:val="006D6F26"/>
    <w:rsid w:val="006E7F3A"/>
    <w:rsid w:val="007573EC"/>
    <w:rsid w:val="0081031A"/>
    <w:rsid w:val="00813236"/>
    <w:rsid w:val="00821FB8"/>
    <w:rsid w:val="00823878"/>
    <w:rsid w:val="008E22F2"/>
    <w:rsid w:val="00942568"/>
    <w:rsid w:val="00946E7E"/>
    <w:rsid w:val="009F6BD4"/>
    <w:rsid w:val="00A84D7D"/>
    <w:rsid w:val="00AB7701"/>
    <w:rsid w:val="00B92207"/>
    <w:rsid w:val="00BB55EA"/>
    <w:rsid w:val="00BE6545"/>
    <w:rsid w:val="00BF45ED"/>
    <w:rsid w:val="00C50A2C"/>
    <w:rsid w:val="00C8735F"/>
    <w:rsid w:val="00CF3E48"/>
    <w:rsid w:val="00DB71C6"/>
    <w:rsid w:val="00DE12E6"/>
    <w:rsid w:val="00E16C7E"/>
    <w:rsid w:val="00E478A1"/>
    <w:rsid w:val="00E83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link w:val="Heading1Char"/>
    <w:uiPriority w:val="9"/>
    <w:qFormat/>
    <w:rsid w:val="0043411E"/>
    <w:pPr>
      <w:widowControl w:val="0"/>
      <w:autoSpaceDE w:val="0"/>
      <w:spacing w:line="240" w:lineRule="auto"/>
      <w:ind w:left="30"/>
      <w:textAlignment w:val="auto"/>
      <w:outlineLvl w:val="0"/>
    </w:pPr>
    <w:rPr>
      <w:rFonts w:eastAsia="Verdana" w:cs="Verdana"/>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3411E"/>
    <w:pPr>
      <w:tabs>
        <w:tab w:val="center" w:pos="4536"/>
        <w:tab w:val="right" w:pos="9072"/>
      </w:tabs>
      <w:spacing w:line="240" w:lineRule="auto"/>
    </w:pPr>
  </w:style>
  <w:style w:type="character" w:customStyle="1" w:styleId="HeaderChar">
    <w:name w:val="Header Char"/>
    <w:basedOn w:val="DefaultParagraphFont"/>
    <w:link w:val="Header"/>
    <w:uiPriority w:val="99"/>
    <w:rsid w:val="0043411E"/>
    <w:rPr>
      <w:rFonts w:ascii="Verdana" w:hAnsi="Verdana"/>
      <w:color w:val="000000"/>
      <w:sz w:val="18"/>
      <w:szCs w:val="18"/>
    </w:rPr>
  </w:style>
  <w:style w:type="paragraph" w:styleId="Footer">
    <w:name w:val="footer"/>
    <w:basedOn w:val="Normal"/>
    <w:link w:val="FooterChar"/>
    <w:uiPriority w:val="99"/>
    <w:unhideWhenUsed/>
    <w:rsid w:val="0043411E"/>
    <w:pPr>
      <w:tabs>
        <w:tab w:val="center" w:pos="4536"/>
        <w:tab w:val="right" w:pos="9072"/>
      </w:tabs>
      <w:spacing w:line="240" w:lineRule="auto"/>
    </w:pPr>
  </w:style>
  <w:style w:type="character" w:customStyle="1" w:styleId="FooterChar">
    <w:name w:val="Footer Char"/>
    <w:basedOn w:val="DefaultParagraphFont"/>
    <w:link w:val="Footer"/>
    <w:uiPriority w:val="99"/>
    <w:rsid w:val="0043411E"/>
    <w:rPr>
      <w:rFonts w:ascii="Verdana" w:hAnsi="Verdana"/>
      <w:color w:val="000000"/>
      <w:sz w:val="18"/>
      <w:szCs w:val="18"/>
    </w:rPr>
  </w:style>
  <w:style w:type="paragraph" w:styleId="BodyText">
    <w:name w:val="Body Text"/>
    <w:basedOn w:val="Normal"/>
    <w:link w:val="BodyTextChar"/>
    <w:uiPriority w:val="1"/>
    <w:qFormat/>
    <w:rsid w:val="0043411E"/>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43411E"/>
    <w:rPr>
      <w:rFonts w:ascii="Verdana" w:eastAsia="Verdana" w:hAnsi="Verdana" w:cs="Verdana"/>
      <w:sz w:val="18"/>
      <w:szCs w:val="18"/>
      <w:lang w:eastAsia="en-US"/>
    </w:rPr>
  </w:style>
  <w:style w:type="paragraph" w:styleId="ListParagraph">
    <w:name w:val="List Paragraph"/>
    <w:basedOn w:val="Normal"/>
    <w:uiPriority w:val="1"/>
    <w:qFormat/>
    <w:rsid w:val="0043411E"/>
    <w:pPr>
      <w:widowControl w:val="0"/>
      <w:autoSpaceDE w:val="0"/>
      <w:spacing w:line="240" w:lineRule="auto"/>
      <w:ind w:left="750" w:right="200" w:hanging="361"/>
      <w:textAlignment w:val="auto"/>
    </w:pPr>
    <w:rPr>
      <w:rFonts w:eastAsia="Verdana" w:cs="Verdana"/>
      <w:color w:val="auto"/>
      <w:sz w:val="22"/>
      <w:szCs w:val="22"/>
      <w:lang w:eastAsia="en-US"/>
    </w:rPr>
  </w:style>
  <w:style w:type="character" w:customStyle="1" w:styleId="Heading1Char">
    <w:name w:val="Heading 1 Char"/>
    <w:basedOn w:val="DefaultParagraphFont"/>
    <w:link w:val="Heading1"/>
    <w:uiPriority w:val="9"/>
    <w:rsid w:val="0043411E"/>
    <w:rPr>
      <w:rFonts w:ascii="Verdana" w:eastAsia="Verdana" w:hAnsi="Verdana" w:cs="Verdana"/>
      <w:b/>
      <w:bCs/>
      <w:sz w:val="18"/>
      <w:szCs w:val="18"/>
      <w:lang w:eastAsia="en-US"/>
    </w:rPr>
  </w:style>
  <w:style w:type="paragraph" w:styleId="FootnoteText">
    <w:name w:val="footnote text"/>
    <w:basedOn w:val="Normal"/>
    <w:link w:val="FootnoteTextChar"/>
    <w:uiPriority w:val="99"/>
    <w:semiHidden/>
    <w:unhideWhenUsed/>
    <w:rsid w:val="0043411E"/>
    <w:pPr>
      <w:spacing w:line="240" w:lineRule="auto"/>
    </w:pPr>
    <w:rPr>
      <w:sz w:val="20"/>
      <w:szCs w:val="20"/>
    </w:rPr>
  </w:style>
  <w:style w:type="character" w:customStyle="1" w:styleId="FootnoteTextChar">
    <w:name w:val="Footnote Text Char"/>
    <w:basedOn w:val="DefaultParagraphFont"/>
    <w:link w:val="FootnoteText"/>
    <w:uiPriority w:val="99"/>
    <w:semiHidden/>
    <w:rsid w:val="0043411E"/>
    <w:rPr>
      <w:rFonts w:ascii="Verdana" w:hAnsi="Verdana"/>
      <w:color w:val="000000"/>
    </w:rPr>
  </w:style>
  <w:style w:type="character" w:styleId="FootnoteReference">
    <w:name w:val="footnote reference"/>
    <w:basedOn w:val="DefaultParagraphFont"/>
    <w:uiPriority w:val="99"/>
    <w:semiHidden/>
    <w:unhideWhenUsed/>
    <w:rsid w:val="0043411E"/>
    <w:rPr>
      <w:vertAlign w:val="superscript"/>
    </w:rPr>
  </w:style>
  <w:style w:type="paragraph" w:styleId="Revision">
    <w:name w:val="Revision"/>
    <w:hidden/>
    <w:uiPriority w:val="99"/>
    <w:semiHidden/>
    <w:rsid w:val="00391DE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E22F2"/>
    <w:rPr>
      <w:sz w:val="16"/>
      <w:szCs w:val="16"/>
    </w:rPr>
  </w:style>
  <w:style w:type="paragraph" w:styleId="CommentText">
    <w:name w:val="annotation text"/>
    <w:basedOn w:val="Normal"/>
    <w:link w:val="CommentTextChar"/>
    <w:uiPriority w:val="99"/>
    <w:unhideWhenUsed/>
    <w:rsid w:val="008E22F2"/>
    <w:pPr>
      <w:spacing w:line="240" w:lineRule="auto"/>
    </w:pPr>
    <w:rPr>
      <w:sz w:val="20"/>
      <w:szCs w:val="20"/>
    </w:rPr>
  </w:style>
  <w:style w:type="character" w:customStyle="1" w:styleId="CommentTextChar">
    <w:name w:val="Comment Text Char"/>
    <w:basedOn w:val="DefaultParagraphFont"/>
    <w:link w:val="CommentText"/>
    <w:uiPriority w:val="99"/>
    <w:rsid w:val="008E22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E22F2"/>
    <w:rPr>
      <w:b/>
      <w:bCs/>
    </w:rPr>
  </w:style>
  <w:style w:type="character" w:customStyle="1" w:styleId="CommentSubjectChar">
    <w:name w:val="Comment Subject Char"/>
    <w:basedOn w:val="CommentTextChar"/>
    <w:link w:val="CommentSubject"/>
    <w:uiPriority w:val="99"/>
    <w:semiHidden/>
    <w:rsid w:val="008E22F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991</ap:Words>
  <ap:Characters>5651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Tweede beleidsreactie op onderzoek Universiteit Utrecht ‘Naar een robuuste implementatie van het Verdrag van Aarhus?</vt:lpstr>
    </vt:vector>
  </ap:TitlesOfParts>
  <ap:LinksUpToDate>false</ap:LinksUpToDate>
  <ap:CharactersWithSpaces>6629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2026-06-02T12:56:00.0000000Z</dcterms:created>
  <dcterms:modified xsi:type="dcterms:W3CDTF">2026-06-02T12:56:00.0000000Z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Tweede beleidsreactie op onderzoek Universiteit Utrecht ‘Naar een robuuste implementatie van het Verdrag van Aarhus?</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de Maat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