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15693" w:rsidRDefault="00340ECA" w14:paraId="12B6E67A" w14:textId="77777777"/>
    <w:p w:rsidR="00962C44" w:rsidP="00215693" w:rsidRDefault="00215693" w14:paraId="0DB4878D" w14:textId="4CA78890">
      <w:r>
        <w:t>Geachte Voorzitter,</w:t>
      </w:r>
    </w:p>
    <w:p w:rsidR="00263155" w:rsidP="00215693" w:rsidRDefault="00263155" w14:paraId="61C0ECA9" w14:textId="77777777"/>
    <w:p w:rsidRPr="007558B3" w:rsidR="00AE63FF" w:rsidP="00215693" w:rsidRDefault="00AE63FF" w14:paraId="7514F0FD" w14:textId="3DD1ECE9">
      <w:pPr>
        <w:rPr>
          <w:b/>
          <w:bCs/>
        </w:rPr>
      </w:pPr>
      <w:r w:rsidRPr="00AE63FF">
        <w:t xml:space="preserve">Hierbij bieden wij u de antwoorden aan op de schriftelijke vragen die zijn gesteld door de leden </w:t>
      </w:r>
      <w:proofErr w:type="spellStart"/>
      <w:r w:rsidRPr="007558B3">
        <w:t>Bamenga</w:t>
      </w:r>
      <w:proofErr w:type="spellEnd"/>
      <w:r w:rsidRPr="007558B3">
        <w:t xml:space="preserve">, El </w:t>
      </w:r>
      <w:proofErr w:type="spellStart"/>
      <w:r w:rsidRPr="007558B3">
        <w:t>Boujdaini</w:t>
      </w:r>
      <w:proofErr w:type="spellEnd"/>
      <w:r w:rsidRPr="007558B3">
        <w:t xml:space="preserve"> en </w:t>
      </w:r>
      <w:proofErr w:type="spellStart"/>
      <w:r w:rsidRPr="007558B3">
        <w:t>Podt</w:t>
      </w:r>
      <w:proofErr w:type="spellEnd"/>
      <w:r w:rsidRPr="007558B3">
        <w:t xml:space="preserve"> (allen D66) </w:t>
      </w:r>
      <w:r w:rsidRPr="007558B3" w:rsidR="007558B3">
        <w:t>over het bericht 'Nog veel meer Instagramaccounts van LHBTI+’</w:t>
      </w:r>
      <w:proofErr w:type="spellStart"/>
      <w:r w:rsidRPr="007558B3" w:rsidR="007558B3">
        <w:t>ers</w:t>
      </w:r>
      <w:proofErr w:type="spellEnd"/>
      <w:r w:rsidRPr="007558B3" w:rsidR="007558B3">
        <w:t xml:space="preserve"> op zwart, veel meldingen uit Nederland’.</w:t>
      </w:r>
      <w:r w:rsidR="007558B3">
        <w:rPr>
          <w:b/>
          <w:bCs/>
        </w:rPr>
        <w:t xml:space="preserve"> </w:t>
      </w:r>
      <w:r w:rsidRPr="00AE63FF">
        <w:t xml:space="preserve">Deze vragen werden ingezonden op 4 mei 2026 met </w:t>
      </w:r>
      <w:r w:rsidR="007558B3">
        <w:t>kenmerk</w:t>
      </w:r>
      <w:r w:rsidRPr="00AE63FF">
        <w:t xml:space="preserve"> 2026Z09273</w:t>
      </w:r>
      <w:r w:rsidR="007558B3">
        <w:t>.</w:t>
      </w:r>
    </w:p>
    <w:p w:rsidR="00AE63FF" w:rsidP="00215693" w:rsidRDefault="00AE63FF" w14:paraId="5B15EB78" w14:textId="77777777"/>
    <w:p w:rsidR="00AE63FF" w:rsidP="00215693" w:rsidRDefault="00AE63FF" w14:paraId="704E2B82" w14:textId="77777777"/>
    <w:p w:rsidR="00AE63FF" w:rsidP="00215693" w:rsidRDefault="00AE63FF" w14:paraId="5714623C" w14:textId="77777777"/>
    <w:p w:rsidR="00AE63FF" w:rsidP="00215693" w:rsidRDefault="00AE63FF" w14:paraId="01FAAA70" w14:textId="77777777"/>
    <w:p w:rsidR="00AE63FF" w:rsidP="00215693" w:rsidRDefault="00AE63FF" w14:paraId="54C21A69" w14:textId="78D44226">
      <w:r>
        <w:t>W.J.M.</w:t>
      </w:r>
      <w:r w:rsidRPr="00AE63FF">
        <w:t xml:space="preserve"> Aerdts </w:t>
      </w:r>
    </w:p>
    <w:p w:rsidRPr="00C323B9" w:rsidR="00AE63FF" w:rsidP="00215693" w:rsidRDefault="00AE63FF" w14:paraId="25262651" w14:textId="40C6E093">
      <w:r w:rsidRPr="00C323B9">
        <w:t>Staatssecretaris Digitale Economie en Soevereiniteit</w:t>
      </w:r>
    </w:p>
    <w:p w:rsidR="00AE63FF" w:rsidP="00215693" w:rsidRDefault="00AE63FF" w14:paraId="3B02581C" w14:textId="77777777">
      <w:pPr>
        <w:rPr>
          <w:i/>
          <w:iCs/>
        </w:rPr>
      </w:pPr>
    </w:p>
    <w:p w:rsidR="00AE63FF" w:rsidP="00215693" w:rsidRDefault="00AE63FF" w14:paraId="5C565954" w14:textId="77777777">
      <w:pPr>
        <w:rPr>
          <w:i/>
          <w:iCs/>
        </w:rPr>
      </w:pPr>
    </w:p>
    <w:p w:rsidR="00AE63FF" w:rsidP="00215693" w:rsidRDefault="00AE63FF" w14:paraId="224BF638" w14:textId="77777777">
      <w:pPr>
        <w:rPr>
          <w:i/>
          <w:iCs/>
        </w:rPr>
      </w:pPr>
    </w:p>
    <w:p w:rsidR="00AE63FF" w:rsidP="00215693" w:rsidRDefault="00AE63FF" w14:paraId="02141E40" w14:textId="77777777">
      <w:pPr>
        <w:rPr>
          <w:i/>
          <w:iCs/>
        </w:rPr>
      </w:pPr>
    </w:p>
    <w:p w:rsidR="00AE63FF" w:rsidP="00215693" w:rsidRDefault="00AE63FF" w14:paraId="5C8D60EB" w14:textId="77777777">
      <w:r w:rsidRPr="00AE63FF">
        <w:t xml:space="preserve">Judith </w:t>
      </w:r>
      <w:proofErr w:type="spellStart"/>
      <w:r w:rsidRPr="00AE63FF">
        <w:t>Zs.C.M</w:t>
      </w:r>
      <w:proofErr w:type="spellEnd"/>
      <w:r w:rsidRPr="00AE63FF">
        <w:t xml:space="preserve">. Tielen </w:t>
      </w:r>
    </w:p>
    <w:p w:rsidRPr="00C323B9" w:rsidR="00263155" w:rsidP="00215693" w:rsidRDefault="00AE63FF" w14:paraId="4143F153" w14:textId="05A9C23D">
      <w:r w:rsidRPr="00C323B9">
        <w:t>Staatssecretaris van Onderwijs en Emancipatie</w:t>
      </w:r>
    </w:p>
    <w:p w:rsidR="00263155" w:rsidP="00215693" w:rsidRDefault="00263155" w14:paraId="668DE680" w14:textId="77777777"/>
    <w:p w:rsidR="00721AE1" w:rsidP="00215693" w:rsidRDefault="00721AE1" w14:paraId="6CD0A52C" w14:textId="77777777"/>
    <w:p w:rsidR="00A50CF6" w:rsidP="00215693" w:rsidRDefault="00A50CF6" w14:paraId="1B5D7FAC" w14:textId="77777777"/>
    <w:p w:rsidR="00D22441" w:rsidP="00215693" w:rsidRDefault="00D22441" w14:paraId="6CF7B888" w14:textId="77777777"/>
    <w:p w:rsidR="00215693" w:rsidRDefault="00215693" w14:paraId="3FF6525B" w14:textId="77777777">
      <w:pPr>
        <w:spacing w:line="240" w:lineRule="auto"/>
      </w:pPr>
      <w:r>
        <w:br w:type="page"/>
      </w:r>
    </w:p>
    <w:p w:rsidRPr="00EF4B67" w:rsidR="00A57734" w:rsidP="00A57734" w:rsidRDefault="00A57734" w14:paraId="4EF2101C" w14:textId="77777777">
      <w:pPr>
        <w:rPr>
          <w:b/>
          <w:bCs/>
        </w:rPr>
      </w:pPr>
      <w:r w:rsidRPr="00EF4B67">
        <w:rPr>
          <w:b/>
          <w:bCs/>
        </w:rPr>
        <w:lastRenderedPageBreak/>
        <w:t>2026Z09273</w:t>
      </w:r>
    </w:p>
    <w:p w:rsidRPr="00EF4B67" w:rsidR="00A57734" w:rsidP="00A57734" w:rsidRDefault="00A57734" w14:paraId="3760DE42" w14:textId="77777777">
      <w:pPr>
        <w:rPr>
          <w:b/>
          <w:bCs/>
        </w:rPr>
      </w:pPr>
    </w:p>
    <w:p w:rsidR="002A1888" w:rsidP="00A57734" w:rsidRDefault="00A57734" w14:paraId="551C3E18" w14:textId="77777777">
      <w:r w:rsidRPr="002A1888">
        <w:t>1</w:t>
      </w:r>
    </w:p>
    <w:p w:rsidRPr="002A1888" w:rsidR="00A57734" w:rsidP="00A57734" w:rsidRDefault="00A57734" w14:paraId="0CA56ECC" w14:textId="2C084A6F">
      <w:r w:rsidRPr="002A1888">
        <w:t>Bent u bekend met het bericht 'Nog veel meer Instagramaccounts van LHBTIQ+’</w:t>
      </w:r>
      <w:proofErr w:type="spellStart"/>
      <w:r w:rsidRPr="002A1888">
        <w:t>ers</w:t>
      </w:r>
      <w:proofErr w:type="spellEnd"/>
      <w:r w:rsidRPr="002A1888">
        <w:t xml:space="preserve"> op zwart, veel meldingen uit Nederland' waaruit blijkt dat opnieuw meerdere Instagramaccounts van LHBTIQ+-organisaties, activisten en gemeenschappen, waaronder accounts uit Nederland, offline zijn gehaald of ontoegankelijk zijn gemaakt?</w:t>
      </w:r>
      <w:r w:rsidRPr="002A1888">
        <w:rPr>
          <w:rStyle w:val="Voetnootmarkering"/>
        </w:rPr>
        <w:footnoteReference w:id="1"/>
      </w:r>
      <w:r w:rsidRPr="002A1888">
        <w:t xml:space="preserve"> </w:t>
      </w:r>
    </w:p>
    <w:p w:rsidR="002A1888" w:rsidP="00A57734" w:rsidRDefault="002A1888" w14:paraId="49603041" w14:textId="77777777"/>
    <w:p w:rsidR="002A1888" w:rsidP="00A57734" w:rsidRDefault="002A1888" w14:paraId="1E75E9FD" w14:textId="77777777">
      <w:r>
        <w:t>Antwoord</w:t>
      </w:r>
    </w:p>
    <w:p w:rsidRPr="002A1888" w:rsidR="00A57734" w:rsidP="00A57734" w:rsidRDefault="00A57734" w14:paraId="41982CD3" w14:textId="0DDE2674">
      <w:r w:rsidRPr="002A1888">
        <w:t>Ja, daar zijn we bekend mee.</w:t>
      </w:r>
    </w:p>
    <w:p w:rsidRPr="002A1888" w:rsidR="00A57734" w:rsidP="00A57734" w:rsidRDefault="00A57734" w14:paraId="05FC74A5" w14:textId="77777777"/>
    <w:p w:rsidR="002A1888" w:rsidP="00A57734" w:rsidRDefault="00A57734" w14:paraId="47786E08" w14:textId="77777777">
      <w:r w:rsidRPr="002A1888">
        <w:t>2</w:t>
      </w:r>
    </w:p>
    <w:p w:rsidRPr="002A1888" w:rsidR="00A57734" w:rsidP="00A57734" w:rsidRDefault="00A57734" w14:paraId="41139730" w14:textId="0396B3B2">
      <w:r w:rsidRPr="002A1888">
        <w:t>Bent u eens met de stelling dat het blokkeren van specifieke LHBTIQ+ accounts en content onrechtmatig, discriminerend en onacceptabel is? Bent u het ook eens met de stelling dat het optreden hiervan, meermaals en herhaald in vrij korte tijd, niet steeds door Meta afgedaan kan worden als een incident maar dat het onderdeel lijkt te zijn van hun beleid?</w:t>
      </w:r>
    </w:p>
    <w:p w:rsidR="002A1888" w:rsidP="00A57734" w:rsidRDefault="002A1888" w14:paraId="680EFC17" w14:textId="77777777"/>
    <w:p w:rsidR="002A1888" w:rsidP="00A57734" w:rsidRDefault="002A1888" w14:paraId="7DE40ABD" w14:textId="77777777">
      <w:r>
        <w:t>Antwoord</w:t>
      </w:r>
    </w:p>
    <w:p w:rsidRPr="002A1888" w:rsidR="00A57734" w:rsidP="00A57734" w:rsidRDefault="00A57734" w14:paraId="279BDD96" w14:textId="5228AF90">
      <w:r w:rsidRPr="002A1888">
        <w:t xml:space="preserve">Het zonder motivering blokkeren van </w:t>
      </w:r>
      <w:proofErr w:type="spellStart"/>
      <w:r w:rsidRPr="002A1888">
        <w:t>lhbtiq</w:t>
      </w:r>
      <w:proofErr w:type="spellEnd"/>
      <w:r w:rsidRPr="002A1888">
        <w:t xml:space="preserve">+-accounts lijkt in strijd met de verplichtingen die voortvloeien uit de </w:t>
      </w:r>
      <w:proofErr w:type="spellStart"/>
      <w:r w:rsidRPr="002A1888">
        <w:t>digitaledienstenverordening</w:t>
      </w:r>
      <w:proofErr w:type="spellEnd"/>
      <w:r w:rsidRPr="002A1888">
        <w:t xml:space="preserve"> (Digital Services Act, DSA), zeker als dit herhaaldelijk gebeurt. Wanneer een platform besluit een account te schorsen of te beëindigen, moet dat gebeuren binnen de kaders van de DSA. De DSA verplicht online platforms om, bij het toepassen van inhoudsmoderatie (zoals het schorsen of verwijderen van een account), op zorgvuldige, objectieve en evenredige wijze te handelen met gepaste aandacht voor de rechten, belangen en grondrechten van alle betrokkenen. Het is aan de bevoegde toezichthouder of rechter om daar uiteindelijk een oordeel over te vellen. </w:t>
      </w:r>
    </w:p>
    <w:p w:rsidRPr="002A1888" w:rsidR="00A57734" w:rsidP="00A57734" w:rsidRDefault="00A57734" w14:paraId="21909278" w14:textId="77777777"/>
    <w:p w:rsidR="002A1888" w:rsidP="00A57734" w:rsidRDefault="00A57734" w14:paraId="7624FEEF" w14:textId="77777777">
      <w:r w:rsidRPr="002A1888">
        <w:t>3</w:t>
      </w:r>
    </w:p>
    <w:p w:rsidRPr="002A1888" w:rsidR="00A57734" w:rsidP="00A57734" w:rsidRDefault="00A57734" w14:paraId="424FCA4E" w14:textId="06AEACBA">
      <w:r w:rsidRPr="002A1888">
        <w:t>Deelt u de ernstige zorgen dat het blokkeren van LHBTIQ+ personen en LHBTIQ+ organisaties, zonder geldige reden, discriminerend is, de vrijheid van meningsuiting aantast en de acceptatie en het veiligheidsgevoel van LHBTIQ+-gemeenschap onder druk zet? Zo ja, waarom en welke acties onderneemt u om deze ernstige zorgen te adresseren?</w:t>
      </w:r>
    </w:p>
    <w:p w:rsidR="002A1888" w:rsidP="00A57734" w:rsidRDefault="002A1888" w14:paraId="2ACE357D" w14:textId="77777777"/>
    <w:p w:rsidR="002A1888" w:rsidP="00A57734" w:rsidRDefault="002A1888" w14:paraId="258AD947" w14:textId="77777777">
      <w:r>
        <w:t>Antwoord</w:t>
      </w:r>
    </w:p>
    <w:p w:rsidRPr="002A1888" w:rsidR="00A57734" w:rsidP="00A57734" w:rsidRDefault="00A57734" w14:paraId="0A10DB78" w14:textId="4A6526B5">
      <w:r w:rsidRPr="002A1888">
        <w:t xml:space="preserve">Die zorgen delen we. Het zonder geldige reden blokkeren van </w:t>
      </w:r>
      <w:proofErr w:type="spellStart"/>
      <w:r w:rsidRPr="002A1888">
        <w:t>lhbtiq+</w:t>
      </w:r>
      <w:proofErr w:type="spellEnd"/>
      <w:r w:rsidRPr="002A1888">
        <w:t xml:space="preserve"> personen en </w:t>
      </w:r>
      <w:proofErr w:type="spellStart"/>
      <w:r w:rsidRPr="002A1888">
        <w:t>lhbtiq</w:t>
      </w:r>
      <w:proofErr w:type="spellEnd"/>
      <w:r w:rsidRPr="002A1888">
        <w:t xml:space="preserve">+-organisaties kan ervoor zorgen dat deze organisaties en personen, uit angst voor repercussies, niet meer het gevoel hebben dat ze zich vrij kunnen uiten en deel kunnen nemen aan het publieke debat. Dat druist in tegen het recht op vrijheid van meningsuiting. Dit is niet alleen pijnlijk en schadelijk voor de organisaties en personen die dit overkomt, maar ook voor de gemeenschappen </w:t>
      </w:r>
      <w:r w:rsidRPr="002A1888">
        <w:lastRenderedPageBreak/>
        <w:t xml:space="preserve">waartoe zij behoren of voor wie zij opkomen. De effecten beperken zich niet slechts tot de getroffenen, maar iedereen die zich met die persoon of organisatie identificeert. En daarmee treft het onze hele vrije democratische samenleving. </w:t>
      </w:r>
    </w:p>
    <w:p w:rsidRPr="002A1888" w:rsidR="00A57734" w:rsidP="00A57734" w:rsidRDefault="00A57734" w14:paraId="43C048DC" w14:textId="77777777"/>
    <w:p w:rsidRPr="002A1888" w:rsidR="00A57734" w:rsidP="00A57734" w:rsidRDefault="00A57734" w14:paraId="42B7F797" w14:textId="77777777">
      <w:r w:rsidRPr="002A1888">
        <w:t xml:space="preserve">Het kabinet is van oordeel dat iedereen een verantwoordelijkheid heeft voor het creëren van een sociaal veilige omgeving voor iedereen. Dat geldt zeker voor grote </w:t>
      </w:r>
      <w:proofErr w:type="spellStart"/>
      <w:r w:rsidRPr="002A1888">
        <w:t>socialemediaplatforms</w:t>
      </w:r>
      <w:proofErr w:type="spellEnd"/>
      <w:r w:rsidRPr="002A1888">
        <w:t xml:space="preserve"> zoals Meta, maar ook voor bedrijven, maatschappelijke organisaties, burgers en de overheid zelf. </w:t>
      </w:r>
      <w:bookmarkStart w:name="_Hlk231286411" w:id="0"/>
      <w:r w:rsidRPr="002A1888">
        <w:t xml:space="preserve">Dit uitgangspunt heeft de staatssecretaris van Digitale Economie en Soevereiniteit recentelijk aan de orde gebracht in een gesprek met Meta. Het uitgangspunt staat ook centraal </w:t>
      </w:r>
      <w:bookmarkEnd w:id="0"/>
      <w:r w:rsidRPr="002A1888">
        <w:t>in ons interdepartementale Plan van aanpak tegen online discriminatie.</w:t>
      </w:r>
      <w:r w:rsidRPr="002A1888">
        <w:rPr>
          <w:rStyle w:val="Voetnootmarkering"/>
        </w:rPr>
        <w:footnoteReference w:id="2"/>
      </w:r>
      <w:r w:rsidRPr="002A1888">
        <w:t xml:space="preserve"> Binnen dit plan werken we nauw samen met de ministeries van Justitie en Veiligheid, en Sociale Zaken en Werkgelegenheid. </w:t>
      </w:r>
    </w:p>
    <w:p w:rsidRPr="002A1888" w:rsidR="00A57734" w:rsidP="00A57734" w:rsidRDefault="00A57734" w14:paraId="26A22344" w14:textId="77777777"/>
    <w:p w:rsidRPr="002A1888" w:rsidR="00A57734" w:rsidP="00A57734" w:rsidRDefault="00A57734" w14:paraId="352F9F27" w14:textId="77777777">
      <w:r w:rsidRPr="002A1888">
        <w:t xml:space="preserve">Ook is er aandacht voor de veiligheid van </w:t>
      </w:r>
      <w:proofErr w:type="spellStart"/>
      <w:r w:rsidRPr="002A1888">
        <w:t>lhbtiq+</w:t>
      </w:r>
      <w:proofErr w:type="spellEnd"/>
      <w:r w:rsidRPr="002A1888">
        <w:t xml:space="preserve"> personen online in de Versterkte aanpak </w:t>
      </w:r>
      <w:proofErr w:type="spellStart"/>
      <w:r w:rsidRPr="002A1888">
        <w:t>lhbtiq</w:t>
      </w:r>
      <w:proofErr w:type="spellEnd"/>
      <w:r w:rsidRPr="002A1888">
        <w:t>+-veiligheid.</w:t>
      </w:r>
      <w:r w:rsidRPr="002A1888">
        <w:rPr>
          <w:rStyle w:val="Voetnootmarkering"/>
        </w:rPr>
        <w:footnoteReference w:id="3"/>
      </w:r>
      <w:r w:rsidRPr="002A1888">
        <w:t xml:space="preserve"> Een van de doelstellingen is dat verschillende organisaties op dit thema elkaar versterken. </w:t>
      </w:r>
    </w:p>
    <w:p w:rsidRPr="002A1888" w:rsidR="00A57734" w:rsidP="00A57734" w:rsidRDefault="00A57734" w14:paraId="7EF95E86" w14:textId="77777777"/>
    <w:p w:rsidRPr="002A1888" w:rsidR="00A57734" w:rsidP="00A57734" w:rsidRDefault="00A57734" w14:paraId="3FAC4632" w14:textId="77777777">
      <w:r w:rsidRPr="002A1888">
        <w:t xml:space="preserve">We zullen de Kamer informeren over de voortgang van beide plannen voor het einde van 2026. Ook kan de Kamer in september de Emancipatienota van dit kabinet verwachten, met daarin de inzet van het kabinet voor het bevorderen gelijkwaardigheid voor iedereen. </w:t>
      </w:r>
    </w:p>
    <w:p w:rsidRPr="002A1888" w:rsidR="00A57734" w:rsidP="00A57734" w:rsidRDefault="00A57734" w14:paraId="4F0DCE65" w14:textId="77777777"/>
    <w:p w:rsidRPr="002A1888" w:rsidR="00A57734" w:rsidP="00A57734" w:rsidRDefault="00A57734" w14:paraId="5FB3D78D" w14:textId="77777777">
      <w:r w:rsidRPr="002A1888">
        <w:t xml:space="preserve">Aanvullend gaan we naar aanleiding van deze berichtgeving samen verkennen of, en zo ja, welke aanvullende maatregelen mogelijk zijn om de positie van </w:t>
      </w:r>
      <w:proofErr w:type="spellStart"/>
      <w:r w:rsidRPr="002A1888">
        <w:t>lhbtiq+</w:t>
      </w:r>
      <w:proofErr w:type="spellEnd"/>
      <w:r w:rsidRPr="002A1888">
        <w:t xml:space="preserve"> personen online te versterken. </w:t>
      </w:r>
    </w:p>
    <w:p w:rsidRPr="002A1888" w:rsidR="00A57734" w:rsidP="00A57734" w:rsidRDefault="00A57734" w14:paraId="1161146B" w14:textId="77777777"/>
    <w:p w:rsidR="002A1888" w:rsidP="00A57734" w:rsidRDefault="00A57734" w14:paraId="731E5E1F" w14:textId="77777777">
      <w:r w:rsidRPr="002A1888">
        <w:t>4</w:t>
      </w:r>
    </w:p>
    <w:p w:rsidRPr="002A1888" w:rsidR="00A57734" w:rsidP="00A57734" w:rsidRDefault="00A57734" w14:paraId="5458F854" w14:textId="2B764413">
      <w:r w:rsidRPr="002A1888">
        <w:t>Is het bij u bekend in hoeverre andere minderheidsgroepen dan LHBTIQ+ ook te maken hebben met structurele discriminatie en aantasting van hun vrijheid van meningsuiting door sociale media platforms?</w:t>
      </w:r>
    </w:p>
    <w:p w:rsidR="002A1888" w:rsidP="00A57734" w:rsidRDefault="002A1888" w14:paraId="4D4879D8" w14:textId="77777777"/>
    <w:p w:rsidR="002A1888" w:rsidP="00A57734" w:rsidRDefault="002A1888" w14:paraId="6FB3D971" w14:textId="77777777">
      <w:r>
        <w:t>Antwoord</w:t>
      </w:r>
    </w:p>
    <w:p w:rsidRPr="002A1888" w:rsidR="00A57734" w:rsidP="00A57734" w:rsidRDefault="00A57734" w14:paraId="743B95D7" w14:textId="3445AABD">
      <w:r w:rsidRPr="002A1888">
        <w:t xml:space="preserve">Voor zover eventuele aantasting van de vrijheid van meningsuiting door </w:t>
      </w:r>
      <w:proofErr w:type="spellStart"/>
      <w:r w:rsidRPr="002A1888">
        <w:t>socialemediaplatforms</w:t>
      </w:r>
      <w:proofErr w:type="spellEnd"/>
      <w:r w:rsidRPr="002A1888">
        <w:t xml:space="preserve"> zelf plaatsvindt, zijn hierover geen cijfers bij ons bekend. Het recente rapport ‘Discriminatiecijfers in 2025’ laat zien dat veel mensen regelmatig online discriminerende uitingen tegenkomen of zelf ervaren.</w:t>
      </w:r>
      <w:r w:rsidRPr="002A1888">
        <w:rPr>
          <w:rStyle w:val="Voetnootmarkering"/>
        </w:rPr>
        <w:footnoteReference w:id="4"/>
      </w:r>
      <w:r w:rsidRPr="002A1888">
        <w:t xml:space="preserve"> Daarbij gaat het ook om andere minderheidsgroepen dan </w:t>
      </w:r>
      <w:proofErr w:type="spellStart"/>
      <w:r w:rsidRPr="002A1888">
        <w:t>lhbtiq+</w:t>
      </w:r>
      <w:proofErr w:type="spellEnd"/>
      <w:r w:rsidRPr="002A1888">
        <w:t xml:space="preserve"> personen. De European </w:t>
      </w:r>
      <w:proofErr w:type="spellStart"/>
      <w:r w:rsidRPr="002A1888">
        <w:t>Observatory</w:t>
      </w:r>
      <w:proofErr w:type="spellEnd"/>
      <w:r w:rsidRPr="002A1888">
        <w:t xml:space="preserve"> of Online </w:t>
      </w:r>
      <w:proofErr w:type="spellStart"/>
      <w:r w:rsidRPr="002A1888">
        <w:t>Hate</w:t>
      </w:r>
      <w:proofErr w:type="spellEnd"/>
      <w:r w:rsidRPr="002A1888">
        <w:t xml:space="preserve"> laat eveneens zien dat er sprake is van online haat op </w:t>
      </w:r>
      <w:proofErr w:type="spellStart"/>
      <w:r w:rsidRPr="002A1888">
        <w:t>socialemediaplatforms</w:t>
      </w:r>
      <w:proofErr w:type="spellEnd"/>
      <w:r w:rsidRPr="002A1888">
        <w:t>.</w:t>
      </w:r>
      <w:r w:rsidRPr="002A1888">
        <w:rPr>
          <w:rStyle w:val="Voetnootmarkering"/>
        </w:rPr>
        <w:footnoteReference w:id="5"/>
      </w:r>
      <w:r w:rsidRPr="002A1888">
        <w:t xml:space="preserve"> Tegelijk weten we dat slechts een klein deel van deze ervaringen uiteindelijk wordt gemeld bij de bevoegde instanties. Online discriminatie is complex en wordt niet eenduidig geregistreerd. De aanwezigheid van online haat en discriminatie op platforms kan negatieve effecten hebben op de mate waarin minderheidsgroepen gebruik (kunnen) maken van hun recht op vrijheid van meningsuiting. </w:t>
      </w:r>
    </w:p>
    <w:p w:rsidRPr="002A1888" w:rsidR="00A57734" w:rsidP="00A57734" w:rsidRDefault="00A57734" w14:paraId="2CF04574" w14:textId="77777777"/>
    <w:p w:rsidR="002A1888" w:rsidP="00A57734" w:rsidRDefault="00A57734" w14:paraId="70DFBCD0" w14:textId="77777777">
      <w:r w:rsidRPr="002A1888">
        <w:t>5</w:t>
      </w:r>
    </w:p>
    <w:p w:rsidRPr="002A1888" w:rsidR="00A57734" w:rsidP="00A57734" w:rsidRDefault="00A57734" w14:paraId="18A53FCC" w14:textId="78E1289B">
      <w:r w:rsidRPr="002A1888">
        <w:t>Kunt u toelichten in hoeverre het blokkeren van deze LHBTIQ+ accounts en content zonder duidelijke uitleg in lijn is met de verplichtingen uit de Digital Services Act, met name ten aanzien van transparantie, motivering en effectieve bezwaarprocedures en welke stappen het kabinet en de Europese Commissie zetten om hier actief op te handhaven?</w:t>
      </w:r>
    </w:p>
    <w:p w:rsidR="002A1888" w:rsidP="00A57734" w:rsidRDefault="002A1888" w14:paraId="352FCA24" w14:textId="77777777"/>
    <w:p w:rsidR="002A1888" w:rsidP="00A57734" w:rsidRDefault="002A1888" w14:paraId="076FED63" w14:textId="77777777">
      <w:r>
        <w:t>Antwoord</w:t>
      </w:r>
    </w:p>
    <w:p w:rsidRPr="002A1888" w:rsidR="00A57734" w:rsidP="00A57734" w:rsidRDefault="00A57734" w14:paraId="168D219F" w14:textId="19FC8466">
      <w:r w:rsidRPr="002A1888">
        <w:t xml:space="preserve">Het blokkeren van accounts en content zonder duidelijke uitleg is in strijd met de verplichtingen uit de DSA. Op grond van de DSA moeten aanbieders van </w:t>
      </w:r>
      <w:proofErr w:type="spellStart"/>
      <w:r w:rsidRPr="002A1888">
        <w:t>tussenhandeldiensten</w:t>
      </w:r>
      <w:proofErr w:type="spellEnd"/>
      <w:r w:rsidRPr="002A1888">
        <w:t xml:space="preserve">, waaronder (zeer grote) online platforms, in hun algemene voorwaarden informatie opnemen over eventuele beperkingen die zij aan het gebruik van hun dienst opleggen met betrekking tot door de afnemers van de dienst verstrekte informatie. Zij zijn verplicht om, bij het toepassen van dergelijke beperkingen, op zorgvuldige, objectieve en evenredige wijze te handelen met gepaste aandacht voor de rechten, belangen en grondrechten van alle betrokkenen. Ook moeten zij een duidelijke en specifieke motivering geven wanneer zij een dergelijk besluit nemen. In dat geval moeten zij ook de gebruiker in staat stellen gratis en elektronisch een klacht in te dienen tegen dat besluit. Wanneer online platforms zich niet aan deze verplichtingen houden, dan is sprake van een overtreding van de DSA en kan de bevoegde toezichthouder daartegen optreden. </w:t>
      </w:r>
    </w:p>
    <w:p w:rsidRPr="002A1888" w:rsidR="00A57734" w:rsidP="00A57734" w:rsidRDefault="00A57734" w14:paraId="3F4F8031" w14:textId="77777777"/>
    <w:p w:rsidRPr="002A1888" w:rsidR="00A57734" w:rsidP="00A57734" w:rsidRDefault="00A57734" w14:paraId="67F5B0D0" w14:textId="77777777">
      <w:r w:rsidRPr="002A1888">
        <w:t>Afnemers kunnen op grond van de DSA ook geschillen met een online platform over inhoudsmoderatie voorleggen aan gecertificeerde buitengerechtelijke geschillenbeslechtingsorganen. Dit kan onverminderd hun recht om hetzelfde geschil aan de rechter voor te leggen.</w:t>
      </w:r>
      <w:r w:rsidRPr="002A1888">
        <w:rPr>
          <w:rStyle w:val="Voetnootmarkering"/>
        </w:rPr>
        <w:footnoteReference w:id="6"/>
      </w:r>
      <w:r w:rsidRPr="002A1888">
        <w:t xml:space="preserve"> </w:t>
      </w:r>
    </w:p>
    <w:p w:rsidRPr="002A1888" w:rsidR="00A57734" w:rsidP="00A57734" w:rsidRDefault="00A57734" w14:paraId="578D13AC" w14:textId="77777777"/>
    <w:p w:rsidR="002A1888" w:rsidP="00A57734" w:rsidRDefault="00A57734" w14:paraId="0F949526" w14:textId="77777777">
      <w:r w:rsidRPr="002A1888">
        <w:t>6</w:t>
      </w:r>
    </w:p>
    <w:p w:rsidRPr="002A1888" w:rsidR="00A57734" w:rsidP="00A57734" w:rsidRDefault="00A57734" w14:paraId="5A388DD7" w14:textId="5842A3D9">
      <w:r w:rsidRPr="002A1888">
        <w:t>Welke acties zijn sinds de vorige blokkades (in december 2025) ondernomen door het kabinet of bevoegde toezichthouders naar aanleiding van deze signalen?</w:t>
      </w:r>
    </w:p>
    <w:p w:rsidR="002A1888" w:rsidP="00A57734" w:rsidRDefault="002A1888" w14:paraId="733EF435" w14:textId="77777777"/>
    <w:p w:rsidR="002A1888" w:rsidP="00A57734" w:rsidRDefault="002A1888" w14:paraId="5B14EC5F" w14:textId="77777777">
      <w:r>
        <w:t>Antwoord</w:t>
      </w:r>
    </w:p>
    <w:p w:rsidRPr="002A1888" w:rsidR="00A57734" w:rsidP="00A57734" w:rsidRDefault="00A57734" w14:paraId="46A66193" w14:textId="594C3187">
      <w:r w:rsidRPr="002A1888">
        <w:t xml:space="preserve">De staatssecretaris van Digitale Economie en Soevereiniteit heeft de signalen aan de orde gebracht in een gesprek met Meta. In aanvulling daarop is ook op ambtelijk niveau navraag gedaan bij Meta over de blokkades om meer informatie te krijgen. Daarnaast is het signaal met de Europese Commissie gedeeld. De Europese Commissie kan naar aanleiding van deze signalen besluiten om nader onderzoek in te stellen naar de naleving van de DSA door Meta en, indien nodig, handhavend optreden. </w:t>
      </w:r>
    </w:p>
    <w:p w:rsidRPr="002A1888" w:rsidR="00A57734" w:rsidP="00A57734" w:rsidRDefault="00A57734" w14:paraId="77FA1087" w14:textId="77777777"/>
    <w:p w:rsidR="002A1888" w:rsidP="00A57734" w:rsidRDefault="002A1888" w14:paraId="107006C7" w14:textId="77777777"/>
    <w:p w:rsidR="002A1888" w:rsidP="00A57734" w:rsidRDefault="00A57734" w14:paraId="22AE3614" w14:textId="1DB05315">
      <w:r w:rsidRPr="002A1888">
        <w:t>7</w:t>
      </w:r>
    </w:p>
    <w:p w:rsidRPr="002A1888" w:rsidR="00A57734" w:rsidP="00A57734" w:rsidRDefault="00A57734" w14:paraId="4F58F9DC" w14:textId="2CB479B7">
      <w:r w:rsidRPr="002A1888">
        <w:t>Is er tevens contact geweest met belangenorganisaties van LHBTIQ+ personen om te vragen welke signalen er nog meer zijn en waar behoefte aan is?</w:t>
      </w:r>
    </w:p>
    <w:p w:rsidR="002A1888" w:rsidP="00A57734" w:rsidRDefault="002A1888" w14:paraId="120DE008" w14:textId="77777777"/>
    <w:p w:rsidR="002A1888" w:rsidP="00A57734" w:rsidRDefault="002A1888" w14:paraId="5A4778B8" w14:textId="77777777">
      <w:r>
        <w:t>Antwoord</w:t>
      </w:r>
    </w:p>
    <w:p w:rsidRPr="002A1888" w:rsidR="00A57734" w:rsidP="00A57734" w:rsidRDefault="00A57734" w14:paraId="23765FA4" w14:textId="741B66E6">
      <w:r w:rsidRPr="002A1888">
        <w:t xml:space="preserve">De staatssecretaris van Onderwijs en Emancipatie staat in goed contact met strategische samenwerkingspartners die de belangen van de </w:t>
      </w:r>
      <w:proofErr w:type="spellStart"/>
      <w:r w:rsidRPr="002A1888">
        <w:t>lhbtiq</w:t>
      </w:r>
      <w:proofErr w:type="spellEnd"/>
      <w:r w:rsidRPr="002A1888">
        <w:t>+-gemeenschap behartigen. De strategische partners zijn zelf niet getroffen door ongemotiveerde schorsingen of verwijderingen. Zij staan wel in contact met de getroffen organisaties. Met hen bespreken we wat de getroffen organisaties hebben ervaren en ook gaan we in gesprek met een aantal van de getroffen organisaties om te horen wat hun ervaringen zijn en waar behoefte aan is.</w:t>
      </w:r>
    </w:p>
    <w:p w:rsidRPr="002A1888" w:rsidR="00A57734" w:rsidP="00A57734" w:rsidRDefault="00A57734" w14:paraId="0F3FCD94" w14:textId="77777777"/>
    <w:p w:rsidR="002A1888" w:rsidP="00A57734" w:rsidRDefault="00A57734" w14:paraId="4097FF75" w14:textId="77777777">
      <w:r w:rsidRPr="002A1888">
        <w:t>8</w:t>
      </w:r>
    </w:p>
    <w:p w:rsidRPr="002A1888" w:rsidR="00A57734" w:rsidP="00A57734" w:rsidRDefault="00A57734" w14:paraId="1DBE66AF" w14:textId="124372CE">
      <w:r w:rsidRPr="002A1888">
        <w:t>Welke mogelijkheden ziet u voor zich om bij sociale media platformen de transparantie over het blokkeren van accounts af te dwingen zodat voor gebruikers duidelijk is op welke gronden een blokkade is ingesteld en waar ze terecht kunnen met klachten of vragen?</w:t>
      </w:r>
    </w:p>
    <w:p w:rsidR="002A1888" w:rsidP="00A57734" w:rsidRDefault="002A1888" w14:paraId="7379E169" w14:textId="77777777"/>
    <w:p w:rsidR="002A1888" w:rsidP="00A57734" w:rsidRDefault="002A1888" w14:paraId="681ACCB6" w14:textId="77777777">
      <w:r>
        <w:t>Antwoord</w:t>
      </w:r>
    </w:p>
    <w:p w:rsidRPr="002A1888" w:rsidR="00A57734" w:rsidP="00A57734" w:rsidRDefault="00A57734" w14:paraId="2C75F8BB" w14:textId="302A76C2">
      <w:r w:rsidRPr="002A1888">
        <w:t>Zie het antwoord op vraag 5.</w:t>
      </w:r>
    </w:p>
    <w:p w:rsidRPr="002A1888" w:rsidR="00A57734" w:rsidP="00A57734" w:rsidRDefault="00A57734" w14:paraId="44D3D767" w14:textId="77777777"/>
    <w:p w:rsidR="002A1888" w:rsidP="00A57734" w:rsidRDefault="00A57734" w14:paraId="5794D105" w14:textId="77777777">
      <w:r w:rsidRPr="002A1888">
        <w:t>9</w:t>
      </w:r>
    </w:p>
    <w:p w:rsidRPr="002A1888" w:rsidR="00A57734" w:rsidP="00A57734" w:rsidRDefault="00A57734" w14:paraId="0DFB7079" w14:textId="6F70DB2A">
      <w:r w:rsidRPr="002A1888">
        <w:t>Welke mogelijkheden heeft u om platforms ertoe te bewegen geblokkeerde accounts te herstellen en/of gedupeerden te ondersteunen bij het herstellen van hun account?</w:t>
      </w:r>
    </w:p>
    <w:p w:rsidR="002A1888" w:rsidP="00A57734" w:rsidRDefault="002A1888" w14:paraId="4C9DB25C" w14:textId="77777777"/>
    <w:p w:rsidR="002A1888" w:rsidP="00A57734" w:rsidRDefault="002A1888" w14:paraId="741479EA" w14:textId="77777777">
      <w:r>
        <w:t>Antwoord</w:t>
      </w:r>
    </w:p>
    <w:p w:rsidRPr="002A1888" w:rsidR="00A57734" w:rsidP="00A57734" w:rsidRDefault="00A57734" w14:paraId="02169493" w14:textId="3EA8FD91">
      <w:r w:rsidRPr="002A1888">
        <w:t>Op het moment van beantwoording van deze vragen is een aantal geblokkeerde en/of verwijderde accounts van Nederlandse personen en organisaties hersteld. Niet alle problemen zijn echter verholpen. Het is niet een taak van de overheid om in individuele geschillen te treden. Inmiddels is bekend geworden dat een aantal organisaties Meta heeft gesommeerd om aan de verplichtingen op grond van de DSA te voldoen.</w:t>
      </w:r>
      <w:r w:rsidRPr="002A1888">
        <w:rPr>
          <w:rStyle w:val="Voetnootmarkering"/>
        </w:rPr>
        <w:footnoteReference w:id="7"/>
      </w:r>
      <w:r w:rsidRPr="002A1888">
        <w:t xml:space="preserve"> Het kabinet staat voor strikte naleving van de DSA en (bestuursrechtelijke en civielrechtelijke) handhaving daarvan. Daarnaast zet het kabinet, vanuit het plan van aanpak tegen online discriminatie, in op het makkelijker maken voor gebruikers om hun rechten ten opzichte van de platforms uit te oefenen.</w:t>
      </w:r>
    </w:p>
    <w:p w:rsidRPr="002A1888" w:rsidR="00A57734" w:rsidP="00A57734" w:rsidRDefault="00A57734" w14:paraId="374E6AE0" w14:textId="77777777"/>
    <w:p w:rsidR="002A1888" w:rsidP="00A57734" w:rsidRDefault="00A57734" w14:paraId="67772AF0" w14:textId="77777777">
      <w:r w:rsidRPr="002A1888">
        <w:t>10</w:t>
      </w:r>
    </w:p>
    <w:p w:rsidRPr="002A1888" w:rsidR="00A57734" w:rsidP="00A57734" w:rsidRDefault="00A57734" w14:paraId="5666D1F1" w14:textId="15DA0179">
      <w:r w:rsidRPr="002A1888">
        <w:t xml:space="preserve">Welke maatregelen gaat u nemen tegen sociale media platforms die LHBTIQ+ personen en organisaties discrimineren? En welke aanvullende maatregelen overweegt u om het digitaal </w:t>
      </w:r>
      <w:proofErr w:type="spellStart"/>
      <w:r w:rsidRPr="002A1888">
        <w:t>targetten</w:t>
      </w:r>
      <w:proofErr w:type="spellEnd"/>
      <w:r w:rsidRPr="002A1888">
        <w:t xml:space="preserve"> van LHBTIQ+ gemeenschappen via sociale media platforms tegen te gaan en de LHBITQ+ gemeenschap beter te beschermen?</w:t>
      </w:r>
    </w:p>
    <w:p w:rsidR="002A1888" w:rsidP="00A57734" w:rsidRDefault="002A1888" w14:paraId="03BB4BB8" w14:textId="77777777"/>
    <w:p w:rsidR="002A1888" w:rsidP="00A57734" w:rsidRDefault="002A1888" w14:paraId="11B6B930" w14:textId="77777777">
      <w:r>
        <w:t>Antwoord</w:t>
      </w:r>
    </w:p>
    <w:p w:rsidRPr="002A1888" w:rsidR="00A57734" w:rsidP="00A57734" w:rsidRDefault="00A57734" w14:paraId="4190EEBB" w14:textId="0AB9B739">
      <w:r w:rsidRPr="002A1888">
        <w:t xml:space="preserve">Discriminatie is in Nederland en de EU verboden. Platforms als Meta moeten bij het toepassen van hun inhoudsmoderatie rekening houden met grondrechten in het Handvest van de Grondrechten van de Europese Unie, waaronder het recht op non-discriminatie. In het algemeen moeten zij de toepasselijke Europese wetgeving, waaronder de DSA, naleven. Het is aan de bevoegde toezichthouder, in dit geval de Europese Commissie, om deze regelgeving te handhaven. De lopende onderzoeken en procedures naar Meta tonen aan dat de Commissie dit doet. Voor de aanvullende kabinetsinzet op het gebied van het tegengaan van online discriminatie en het bevorderen van gender- en </w:t>
      </w:r>
      <w:proofErr w:type="spellStart"/>
      <w:r w:rsidRPr="002A1888">
        <w:t>lhbtiq</w:t>
      </w:r>
      <w:proofErr w:type="spellEnd"/>
      <w:r w:rsidRPr="002A1888">
        <w:t>+-gelijkheid verwijzen we u naar antwoorden 3 en 7.</w:t>
      </w:r>
    </w:p>
    <w:p w:rsidRPr="002A1888" w:rsidR="00A57734" w:rsidP="00A57734" w:rsidRDefault="00A57734" w14:paraId="70235026" w14:textId="77777777"/>
    <w:p w:rsidR="002A1888" w:rsidP="00A57734" w:rsidRDefault="00A57734" w14:paraId="13C07CC8" w14:textId="77777777">
      <w:r w:rsidRPr="002A1888">
        <w:t>11</w:t>
      </w:r>
    </w:p>
    <w:p w:rsidRPr="002A1888" w:rsidR="00A57734" w:rsidP="00A57734" w:rsidRDefault="00A57734" w14:paraId="15C6C84E" w14:textId="424CB4CA">
      <w:r w:rsidRPr="002A1888">
        <w:t>Kunt u de vragen afzonderlijk beantwoorden?</w:t>
      </w:r>
    </w:p>
    <w:p w:rsidR="002A1888" w:rsidP="00A57734" w:rsidRDefault="002A1888" w14:paraId="3E49E917" w14:textId="77777777"/>
    <w:p w:rsidR="002A1888" w:rsidP="00A57734" w:rsidRDefault="002A1888" w14:paraId="12D1A735" w14:textId="77777777">
      <w:r>
        <w:t>Antwoord</w:t>
      </w:r>
    </w:p>
    <w:p w:rsidRPr="002A1888" w:rsidR="00A57734" w:rsidP="00A57734" w:rsidRDefault="00A57734" w14:paraId="05FF0D9D" w14:textId="122439FF">
      <w:r w:rsidRPr="002A1888">
        <w:t>Ja.</w:t>
      </w:r>
    </w:p>
    <w:p w:rsidRPr="002A1888" w:rsidR="005212BE" w:rsidP="00215693" w:rsidRDefault="005212BE" w14:paraId="4633A62C" w14:textId="3974B707"/>
    <w:sectPr w:rsidRPr="002A1888" w:rsidR="005212B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98AB" w14:textId="77777777" w:rsidR="001D7C50" w:rsidRDefault="001D7C50">
      <w:r>
        <w:separator/>
      </w:r>
    </w:p>
    <w:p w14:paraId="42AB9C02" w14:textId="77777777" w:rsidR="001D7C50" w:rsidRDefault="001D7C50"/>
  </w:endnote>
  <w:endnote w:type="continuationSeparator" w:id="0">
    <w:p w14:paraId="4EF8B30F" w14:textId="77777777" w:rsidR="001D7C50" w:rsidRDefault="001D7C50">
      <w:r>
        <w:continuationSeparator/>
      </w:r>
    </w:p>
    <w:p w14:paraId="35FA19FF" w14:textId="77777777" w:rsidR="001D7C50" w:rsidRDefault="001D7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52DD29EE" w:rsidR="00527BD4" w:rsidRPr="00645414" w:rsidRDefault="001C394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C4317A">
            <w:t>6</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5FA5597C" w:rsidR="00527BD4" w:rsidRPr="00ED539E" w:rsidRDefault="001C394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C4317A">
            <w:t>6</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5295" w14:textId="77777777" w:rsidR="001D7C50" w:rsidRDefault="001D7C50">
      <w:r>
        <w:separator/>
      </w:r>
    </w:p>
    <w:p w14:paraId="41472394" w14:textId="77777777" w:rsidR="001D7C50" w:rsidRDefault="001D7C50"/>
  </w:footnote>
  <w:footnote w:type="continuationSeparator" w:id="0">
    <w:p w14:paraId="09BEF2D5" w14:textId="77777777" w:rsidR="001D7C50" w:rsidRDefault="001D7C50">
      <w:r>
        <w:continuationSeparator/>
      </w:r>
    </w:p>
    <w:p w14:paraId="7D769357" w14:textId="77777777" w:rsidR="001D7C50" w:rsidRDefault="001D7C50"/>
  </w:footnote>
  <w:footnote w:id="1">
    <w:p w14:paraId="24B9F922" w14:textId="77777777" w:rsidR="00A57734" w:rsidRPr="002A1888" w:rsidRDefault="00A57734" w:rsidP="00A57734">
      <w:pPr>
        <w:pStyle w:val="Voetnoottekst"/>
        <w:rPr>
          <w:szCs w:val="13"/>
        </w:rPr>
      </w:pPr>
      <w:r w:rsidRPr="002A1888">
        <w:rPr>
          <w:rStyle w:val="Voetnootmarkering"/>
          <w:szCs w:val="13"/>
        </w:rPr>
        <w:footnoteRef/>
      </w:r>
      <w:r w:rsidRPr="002A1888">
        <w:rPr>
          <w:szCs w:val="13"/>
        </w:rPr>
        <w:t xml:space="preserve"> AD, 22 april 2026, Nog veel meer Instagramaccounts van </w:t>
      </w:r>
      <w:proofErr w:type="spellStart"/>
      <w:r w:rsidRPr="002A1888">
        <w:rPr>
          <w:szCs w:val="13"/>
        </w:rPr>
        <w:t>lhbti</w:t>
      </w:r>
      <w:r w:rsidRPr="002A1888">
        <w:rPr>
          <w:rFonts w:hint="eastAsia"/>
          <w:szCs w:val="13"/>
        </w:rPr>
        <w:t>’</w:t>
      </w:r>
      <w:r w:rsidRPr="002A1888">
        <w:rPr>
          <w:szCs w:val="13"/>
        </w:rPr>
        <w:t>ers</w:t>
      </w:r>
      <w:proofErr w:type="spellEnd"/>
      <w:r w:rsidRPr="002A1888">
        <w:rPr>
          <w:szCs w:val="13"/>
        </w:rPr>
        <w:t xml:space="preserve"> op zwart, veel meldingen uit Nederland (</w:t>
      </w:r>
      <w:hyperlink r:id="rId1" w:history="1">
        <w:r w:rsidRPr="002A1888">
          <w:rPr>
            <w:rStyle w:val="Hyperlink"/>
            <w:szCs w:val="13"/>
          </w:rPr>
          <w:t>www.ad.nl/binnenland/nog-veel-meer-instagramaccounts-van-lhbtiers-op-zwart-veel-meldingen-uitnederland~af9198a6/</w:t>
        </w:r>
      </w:hyperlink>
      <w:r w:rsidRPr="002A1888">
        <w:rPr>
          <w:szCs w:val="13"/>
        </w:rPr>
        <w:t xml:space="preserve">). </w:t>
      </w:r>
    </w:p>
  </w:footnote>
  <w:footnote w:id="2">
    <w:p w14:paraId="0D975091" w14:textId="77777777" w:rsidR="00A57734" w:rsidRPr="002A1888" w:rsidRDefault="00A57734" w:rsidP="00A57734">
      <w:pPr>
        <w:pStyle w:val="Voetnoottekst"/>
        <w:rPr>
          <w:szCs w:val="13"/>
        </w:rPr>
      </w:pPr>
      <w:r w:rsidRPr="002A1888">
        <w:rPr>
          <w:rStyle w:val="Voetnootmarkering"/>
          <w:szCs w:val="13"/>
        </w:rPr>
        <w:footnoteRef/>
      </w:r>
      <w:r w:rsidRPr="002A1888">
        <w:rPr>
          <w:szCs w:val="13"/>
        </w:rPr>
        <w:t xml:space="preserve"> Kamerstuk 30950-461.</w:t>
      </w:r>
    </w:p>
  </w:footnote>
  <w:footnote w:id="3">
    <w:p w14:paraId="00FA7B89" w14:textId="77777777" w:rsidR="00A57734" w:rsidRPr="002A1888" w:rsidRDefault="00A57734" w:rsidP="00A57734">
      <w:pPr>
        <w:pStyle w:val="Voetnoottekst"/>
        <w:rPr>
          <w:szCs w:val="13"/>
        </w:rPr>
      </w:pPr>
      <w:r w:rsidRPr="002A1888">
        <w:rPr>
          <w:rStyle w:val="Voetnootmarkering"/>
          <w:szCs w:val="13"/>
        </w:rPr>
        <w:footnoteRef/>
      </w:r>
      <w:r w:rsidRPr="002A1888">
        <w:rPr>
          <w:szCs w:val="13"/>
        </w:rPr>
        <w:t xml:space="preserve"> Kamerstuk 30420-437. </w:t>
      </w:r>
    </w:p>
  </w:footnote>
  <w:footnote w:id="4">
    <w:p w14:paraId="2461D45E" w14:textId="77777777" w:rsidR="00A57734" w:rsidRPr="002A1888" w:rsidRDefault="00A57734" w:rsidP="00A57734">
      <w:pPr>
        <w:pStyle w:val="Voetnoottekst"/>
        <w:rPr>
          <w:szCs w:val="13"/>
        </w:rPr>
      </w:pPr>
      <w:r w:rsidRPr="002A1888">
        <w:rPr>
          <w:rStyle w:val="Voetnootmarkering"/>
          <w:szCs w:val="13"/>
        </w:rPr>
        <w:footnoteRef/>
      </w:r>
      <w:r w:rsidRPr="002A1888">
        <w:rPr>
          <w:szCs w:val="13"/>
        </w:rPr>
        <w:t xml:space="preserve"> Kamerstuk 30950-516. </w:t>
      </w:r>
    </w:p>
  </w:footnote>
  <w:footnote w:id="5">
    <w:p w14:paraId="581CEA52" w14:textId="77777777" w:rsidR="00A57734" w:rsidRPr="002A1888" w:rsidRDefault="00A57734" w:rsidP="00A57734">
      <w:pPr>
        <w:pStyle w:val="Voetnoottekst"/>
        <w:rPr>
          <w:szCs w:val="13"/>
        </w:rPr>
      </w:pPr>
      <w:r w:rsidRPr="002A1888">
        <w:rPr>
          <w:rStyle w:val="Voetnootmarkering"/>
          <w:szCs w:val="13"/>
        </w:rPr>
        <w:footnoteRef/>
      </w:r>
      <w:r w:rsidRPr="002A1888">
        <w:rPr>
          <w:szCs w:val="13"/>
        </w:rPr>
        <w:t xml:space="preserve"> European </w:t>
      </w:r>
      <w:proofErr w:type="spellStart"/>
      <w:r w:rsidRPr="002A1888">
        <w:rPr>
          <w:szCs w:val="13"/>
        </w:rPr>
        <w:t>Observatory</w:t>
      </w:r>
      <w:proofErr w:type="spellEnd"/>
      <w:r w:rsidRPr="002A1888">
        <w:rPr>
          <w:szCs w:val="13"/>
        </w:rPr>
        <w:t xml:space="preserve"> of Online </w:t>
      </w:r>
      <w:proofErr w:type="spellStart"/>
      <w:r w:rsidRPr="002A1888">
        <w:rPr>
          <w:szCs w:val="13"/>
        </w:rPr>
        <w:t>hate</w:t>
      </w:r>
      <w:proofErr w:type="spellEnd"/>
      <w:r w:rsidRPr="002A1888">
        <w:rPr>
          <w:szCs w:val="13"/>
        </w:rPr>
        <w:t xml:space="preserve"> via </w:t>
      </w:r>
      <w:hyperlink r:id="rId2" w:history="1">
        <w:r w:rsidRPr="002A1888">
          <w:rPr>
            <w:rStyle w:val="Hyperlink"/>
            <w:szCs w:val="13"/>
          </w:rPr>
          <w:t>https://eooh.eu/</w:t>
        </w:r>
      </w:hyperlink>
      <w:r w:rsidRPr="002A1888">
        <w:rPr>
          <w:szCs w:val="13"/>
        </w:rPr>
        <w:t xml:space="preserve">.  </w:t>
      </w:r>
    </w:p>
  </w:footnote>
  <w:footnote w:id="6">
    <w:p w14:paraId="68563EC4" w14:textId="77777777" w:rsidR="00A57734" w:rsidRPr="002A1888" w:rsidRDefault="00A57734" w:rsidP="00A57734">
      <w:pPr>
        <w:pStyle w:val="Voetnoottekst"/>
        <w:rPr>
          <w:szCs w:val="13"/>
        </w:rPr>
      </w:pPr>
      <w:r w:rsidRPr="002A1888">
        <w:rPr>
          <w:rStyle w:val="Voetnootmarkering"/>
          <w:szCs w:val="13"/>
        </w:rPr>
        <w:footnoteRef/>
      </w:r>
      <w:r w:rsidRPr="002A1888">
        <w:rPr>
          <w:szCs w:val="13"/>
        </w:rPr>
        <w:t xml:space="preserve"> Zie voor een overzicht van gecertificeerde buitengerechtelijk geschilbeslechtingscommissies: </w:t>
      </w:r>
      <w:hyperlink r:id="rId3" w:history="1">
        <w:r w:rsidRPr="002A1888">
          <w:rPr>
            <w:rStyle w:val="Hyperlink"/>
            <w:szCs w:val="13"/>
          </w:rPr>
          <w:t>https://digital-strategy.ec.europa.eu/en/policies/dsa-out-court-dispute-settlement</w:t>
        </w:r>
      </w:hyperlink>
      <w:r w:rsidRPr="002A1888">
        <w:rPr>
          <w:szCs w:val="13"/>
        </w:rPr>
        <w:t xml:space="preserve">. </w:t>
      </w:r>
    </w:p>
  </w:footnote>
  <w:footnote w:id="7">
    <w:p w14:paraId="4FB2C7CF" w14:textId="77777777" w:rsidR="00A57734" w:rsidRPr="002A1888" w:rsidRDefault="00A57734" w:rsidP="00A57734">
      <w:pPr>
        <w:pStyle w:val="Voetnoottekst"/>
        <w:rPr>
          <w:szCs w:val="13"/>
        </w:rPr>
      </w:pPr>
      <w:r w:rsidRPr="002A1888">
        <w:rPr>
          <w:rStyle w:val="Voetnootmarkering"/>
          <w:szCs w:val="13"/>
        </w:rPr>
        <w:footnoteRef/>
      </w:r>
      <w:r w:rsidRPr="002A1888">
        <w:rPr>
          <w:szCs w:val="13"/>
        </w:rPr>
        <w:t xml:space="preserve"> NOS, Organisaties eisen dat Meta stopt met verwijderen queer accounts, 20 mei 2025, via </w:t>
      </w:r>
      <w:hyperlink r:id="rId4" w:history="1">
        <w:r w:rsidRPr="002A1888">
          <w:rPr>
            <w:rStyle w:val="Hyperlink"/>
            <w:szCs w:val="13"/>
          </w:rPr>
          <w:t>Organisaties eisen dat Meta stopt met verwijderen queer accounts</w:t>
        </w:r>
      </w:hyperlink>
      <w:r w:rsidRPr="002A1888">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77777777" w:rsidR="00527BD4" w:rsidRPr="005819CE" w:rsidRDefault="001C3942" w:rsidP="00A50CF6">
          <w:pPr>
            <w:pStyle w:val="Huisstijl-Adres"/>
            <w:rPr>
              <w:b/>
            </w:rPr>
          </w:pPr>
          <w:r>
            <w:rPr>
              <w:b/>
            </w:rPr>
            <w:t>Directie Bestuurlijke en Politieke Zaken</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1C3942" w:rsidP="003A5290">
          <w:pPr>
            <w:pStyle w:val="Huisstijl-Kopje"/>
          </w:pPr>
          <w:r>
            <w:t>Ons kenmerk</w:t>
          </w:r>
        </w:p>
        <w:p w14:paraId="68A7CC2B" w14:textId="61E44FE3" w:rsidR="00502512" w:rsidRPr="00502512" w:rsidRDefault="001C3942" w:rsidP="003A5290">
          <w:pPr>
            <w:pStyle w:val="Huisstijl-Kopje"/>
            <w:rPr>
              <w:b w:val="0"/>
            </w:rPr>
          </w:pPr>
          <w:r>
            <w:rPr>
              <w:b w:val="0"/>
            </w:rPr>
            <w:t>BPZ</w:t>
          </w:r>
          <w:r w:rsidRPr="00502512">
            <w:rPr>
              <w:b w:val="0"/>
            </w:rPr>
            <w:t xml:space="preserve"> / </w:t>
          </w:r>
          <w:sdt>
            <w:sdtPr>
              <w:rPr>
                <w:b w:val="0"/>
              </w:rPr>
              <w:alias w:val="documentId"/>
              <w:id w:val="762191242"/>
              <w:placeholder>
                <w:docPart w:val="DefaultPlaceholder_-1854013440"/>
              </w:placeholder>
            </w:sdtPr>
            <w:sdtEndPr/>
            <w:sdtContent>
              <w:r w:rsidR="00215693" w:rsidRPr="00215693">
                <w:rPr>
                  <w:b w:val="0"/>
                </w:rPr>
                <w:t>106704748</w:t>
              </w:r>
            </w:sdtContent>
          </w:sdt>
        </w:p>
        <w:p w14:paraId="0850843C" w14:textId="77777777" w:rsidR="00527BD4" w:rsidRPr="005819CE" w:rsidRDefault="00527BD4" w:rsidP="00361A56">
          <w:pPr>
            <w:pStyle w:val="Huisstijl-Kopje"/>
          </w:pP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1C394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14:paraId="56D9DFBB" w14:textId="77777777" w:rsidTr="00A50CF6">
      <w:tc>
        <w:tcPr>
          <w:tcW w:w="2160" w:type="dxa"/>
        </w:tcPr>
        <w:p w14:paraId="4E5E0695" w14:textId="77777777" w:rsidR="00527BD4" w:rsidRPr="005819CE" w:rsidRDefault="001C3942" w:rsidP="00A50CF6">
          <w:pPr>
            <w:pStyle w:val="Huisstijl-Adres"/>
            <w:rPr>
              <w:b/>
            </w:rPr>
          </w:pPr>
          <w:r>
            <w:rPr>
              <w:b/>
            </w:rPr>
            <w:t>Directie Bestuurlijke en Politieke Zaken</w:t>
          </w:r>
          <w:r w:rsidRPr="005819CE">
            <w:rPr>
              <w:b/>
            </w:rPr>
            <w:br/>
          </w:r>
        </w:p>
        <w:p w14:paraId="082F69AF" w14:textId="77777777" w:rsidR="00527BD4" w:rsidRPr="00BE5ED9" w:rsidRDefault="001C3942" w:rsidP="00A50CF6">
          <w:pPr>
            <w:pStyle w:val="Huisstijl-Adres"/>
          </w:pPr>
          <w:r>
            <w:rPr>
              <w:b/>
            </w:rPr>
            <w:t>Bezoekadres</w:t>
          </w:r>
          <w:r>
            <w:rPr>
              <w:b/>
            </w:rPr>
            <w:br/>
          </w:r>
          <w:r>
            <w:t>Bezuidenhoutseweg 73</w:t>
          </w:r>
          <w:r w:rsidRPr="005819CE">
            <w:br/>
          </w:r>
          <w:r>
            <w:t>2594 AC Den Haag</w:t>
          </w:r>
        </w:p>
        <w:p w14:paraId="1DF6131A" w14:textId="77777777" w:rsidR="00EF495B" w:rsidRDefault="001C3942" w:rsidP="0098788A">
          <w:pPr>
            <w:pStyle w:val="Huisstijl-Adres"/>
          </w:pPr>
          <w:r>
            <w:rPr>
              <w:b/>
            </w:rPr>
            <w:t>Postadres</w:t>
          </w:r>
          <w:r>
            <w:rPr>
              <w:b/>
            </w:rPr>
            <w:br/>
          </w:r>
          <w:r>
            <w:t>Postbus 20401</w:t>
          </w:r>
          <w:r w:rsidRPr="005819CE">
            <w:br/>
            <w:t>2500 E</w:t>
          </w:r>
          <w:r>
            <w:t>K</w:t>
          </w:r>
          <w:r w:rsidRPr="005819CE">
            <w:t xml:space="preserve"> Den Haag</w:t>
          </w:r>
        </w:p>
        <w:p w14:paraId="04478C97" w14:textId="77777777" w:rsidR="00EF495B" w:rsidRPr="005B3814" w:rsidRDefault="001C3942" w:rsidP="0098788A">
          <w:pPr>
            <w:pStyle w:val="Huisstijl-Adres"/>
          </w:pPr>
          <w:r>
            <w:rPr>
              <w:b/>
            </w:rPr>
            <w:t>Overheidsidentificatienr</w:t>
          </w:r>
          <w:r>
            <w:rPr>
              <w:b/>
            </w:rPr>
            <w:br/>
          </w:r>
          <w:r w:rsidRPr="005B3814">
            <w:t>00000001003214369000</w:t>
          </w:r>
        </w:p>
        <w:p w14:paraId="74680D79" w14:textId="0FCA0E35" w:rsidR="00527BD4" w:rsidRPr="00215693" w:rsidRDefault="001C3942" w:rsidP="00AE63FF">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B509BC" w14:paraId="750D2065" w14:textId="77777777" w:rsidTr="00A50CF6">
      <w:trPr>
        <w:trHeight w:hRule="exact" w:val="200"/>
      </w:trPr>
      <w:tc>
        <w:tcPr>
          <w:tcW w:w="2160" w:type="dxa"/>
        </w:tcPr>
        <w:p w14:paraId="7F68DDAD" w14:textId="77777777" w:rsidR="00527BD4" w:rsidRPr="005819CE" w:rsidRDefault="00527BD4" w:rsidP="00A50CF6"/>
      </w:tc>
    </w:tr>
    <w:tr w:rsidR="00B509BC" w14:paraId="25112BEA" w14:textId="77777777" w:rsidTr="00A50CF6">
      <w:tc>
        <w:tcPr>
          <w:tcW w:w="2160" w:type="dxa"/>
        </w:tcPr>
        <w:p w14:paraId="13A0A7EC" w14:textId="77777777" w:rsidR="000C0163" w:rsidRPr="005819CE" w:rsidRDefault="001C3942" w:rsidP="000C0163">
          <w:pPr>
            <w:pStyle w:val="Huisstijl-Kopje"/>
          </w:pPr>
          <w:r>
            <w:t>Ons kenmerk</w:t>
          </w:r>
          <w:r w:rsidRPr="005819CE">
            <w:t xml:space="preserve"> </w:t>
          </w:r>
        </w:p>
        <w:p w14:paraId="5ACF21AA" w14:textId="77777777" w:rsidR="00215693" w:rsidRPr="00215693" w:rsidRDefault="00215693" w:rsidP="00215693">
          <w:pPr>
            <w:pStyle w:val="Huisstijl-Gegeven"/>
          </w:pPr>
          <w:r>
            <w:t xml:space="preserve">BPZ / </w:t>
          </w:r>
          <w:r w:rsidRPr="00215693">
            <w:t>106704748</w:t>
          </w:r>
        </w:p>
        <w:p w14:paraId="6BC9500E" w14:textId="77777777" w:rsidR="00527BD4" w:rsidRPr="005819CE" w:rsidRDefault="00527BD4" w:rsidP="00215693">
          <w:pPr>
            <w:pStyle w:val="Huisstijl-Kopje"/>
          </w:pP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1C3942"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14:paraId="402FB03C" w14:textId="77777777" w:rsidTr="007610AA">
      <w:trPr>
        <w:trHeight w:hRule="exact" w:val="2440"/>
      </w:trPr>
      <w:tc>
        <w:tcPr>
          <w:tcW w:w="7520" w:type="dxa"/>
          <w:gridSpan w:val="2"/>
        </w:tcPr>
        <w:p w14:paraId="7A676594" w14:textId="77777777" w:rsidR="00527BD4" w:rsidRDefault="001C3942" w:rsidP="00A50CF6">
          <w:pPr>
            <w:pStyle w:val="Huisstijl-NAW"/>
          </w:pPr>
          <w:r>
            <w:t xml:space="preserve">De Voorzitter van de Tweede Kamer </w:t>
          </w:r>
        </w:p>
        <w:p w14:paraId="6BB0DB4B" w14:textId="77777777" w:rsidR="00D87195" w:rsidRDefault="001C3942" w:rsidP="00D87195">
          <w:pPr>
            <w:pStyle w:val="Huisstijl-NAW"/>
          </w:pPr>
          <w:r>
            <w:t>der Staten-Generaal</w:t>
          </w:r>
        </w:p>
        <w:p w14:paraId="7AD9C840" w14:textId="77777777" w:rsidR="00EA0F13" w:rsidRDefault="001C3942" w:rsidP="00EA0F13">
          <w:pPr>
            <w:rPr>
              <w:szCs w:val="18"/>
            </w:rPr>
          </w:pPr>
          <w:r>
            <w:rPr>
              <w:szCs w:val="18"/>
            </w:rPr>
            <w:t>Prinses Irenestraat 6</w:t>
          </w:r>
        </w:p>
        <w:p w14:paraId="0FE430C5" w14:textId="77777777" w:rsidR="00985E56" w:rsidRDefault="001C3942" w:rsidP="00EA0F13">
          <w:r>
            <w:rPr>
              <w:szCs w:val="18"/>
            </w:rPr>
            <w:t>2595 BD  DEN HAAG</w:t>
          </w:r>
        </w:p>
      </w:tc>
    </w:tr>
    <w:tr w:rsidR="00B509BC" w14:paraId="1BAA1B04" w14:textId="77777777" w:rsidTr="007610AA">
      <w:trPr>
        <w:trHeight w:hRule="exact" w:val="400"/>
      </w:trPr>
      <w:tc>
        <w:tcPr>
          <w:tcW w:w="7520"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7610AA">
      <w:trPr>
        <w:trHeight w:val="240"/>
      </w:trPr>
      <w:tc>
        <w:tcPr>
          <w:tcW w:w="900" w:type="dxa"/>
        </w:tcPr>
        <w:p w14:paraId="67DB3448" w14:textId="77777777" w:rsidR="00527BD4" w:rsidRPr="007709EF" w:rsidRDefault="001C3942" w:rsidP="00A50CF6">
          <w:pPr>
            <w:rPr>
              <w:szCs w:val="18"/>
            </w:rPr>
          </w:pPr>
          <w:r>
            <w:rPr>
              <w:szCs w:val="18"/>
            </w:rPr>
            <w:t>Datum</w:t>
          </w:r>
        </w:p>
      </w:tc>
      <w:tc>
        <w:tcPr>
          <w:tcW w:w="6620" w:type="dxa"/>
        </w:tcPr>
        <w:p w14:paraId="5F718C9A" w14:textId="491CF66A" w:rsidR="00527BD4" w:rsidRPr="007709EF" w:rsidRDefault="002A1888" w:rsidP="00A50CF6">
          <w:r>
            <w:t>2 juni 2026</w:t>
          </w:r>
        </w:p>
      </w:tc>
    </w:tr>
    <w:tr w:rsidR="00B509BC" w14:paraId="7A65D42C" w14:textId="77777777" w:rsidTr="007610AA">
      <w:trPr>
        <w:trHeight w:val="240"/>
      </w:trPr>
      <w:tc>
        <w:tcPr>
          <w:tcW w:w="900" w:type="dxa"/>
        </w:tcPr>
        <w:p w14:paraId="078C774E" w14:textId="77777777" w:rsidR="00527BD4" w:rsidRPr="007709EF" w:rsidRDefault="001C3942" w:rsidP="00A50CF6">
          <w:pPr>
            <w:rPr>
              <w:szCs w:val="18"/>
            </w:rPr>
          </w:pPr>
          <w:r>
            <w:rPr>
              <w:szCs w:val="18"/>
            </w:rPr>
            <w:t>Betreft</w:t>
          </w:r>
        </w:p>
      </w:tc>
      <w:tc>
        <w:tcPr>
          <w:tcW w:w="6620" w:type="dxa"/>
        </w:tcPr>
        <w:p w14:paraId="32C994FF" w14:textId="2552D7DE" w:rsidR="00527BD4" w:rsidRPr="007709EF" w:rsidRDefault="00AE63FF" w:rsidP="00A50CF6">
          <w:r w:rsidRPr="008C58AC">
            <w:t xml:space="preserve">Beantwoording Kamervragen </w:t>
          </w:r>
          <w:r w:rsidR="007558B3" w:rsidRPr="007558B3">
            <w:t>over het bericht 'Nog veel meer Instagramaccounts van LHBTI+’</w:t>
          </w:r>
          <w:proofErr w:type="spellStart"/>
          <w:r w:rsidR="007558B3" w:rsidRPr="007558B3">
            <w:t>ers</w:t>
          </w:r>
          <w:proofErr w:type="spellEnd"/>
          <w:r w:rsidR="007558B3" w:rsidRPr="007558B3">
            <w:t xml:space="preserve"> op zwart, veel meldingen uit Nederland'</w:t>
          </w:r>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9717500">
    <w:abstractNumId w:val="10"/>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9"/>
  </w:num>
  <w:num w:numId="12" w16cid:durableId="2044401096">
    <w:abstractNumId w:val="11"/>
  </w:num>
  <w:num w:numId="13" w16cid:durableId="1518695390">
    <w:abstractNumId w:val="13"/>
  </w:num>
  <w:num w:numId="14" w16cid:durableId="15341520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0199"/>
    <w:rsid w:val="001C32EC"/>
    <w:rsid w:val="001C38BD"/>
    <w:rsid w:val="001C3942"/>
    <w:rsid w:val="001C4D5A"/>
    <w:rsid w:val="001D7C50"/>
    <w:rsid w:val="001E34C6"/>
    <w:rsid w:val="001E5581"/>
    <w:rsid w:val="001F3C70"/>
    <w:rsid w:val="00200D88"/>
    <w:rsid w:val="002012D4"/>
    <w:rsid w:val="00201F68"/>
    <w:rsid w:val="00212F2A"/>
    <w:rsid w:val="00214F2B"/>
    <w:rsid w:val="00215693"/>
    <w:rsid w:val="00217880"/>
    <w:rsid w:val="00222D66"/>
    <w:rsid w:val="00224A8A"/>
    <w:rsid w:val="0023006F"/>
    <w:rsid w:val="002309A8"/>
    <w:rsid w:val="00236CFE"/>
    <w:rsid w:val="002428E3"/>
    <w:rsid w:val="00243031"/>
    <w:rsid w:val="00260BAF"/>
    <w:rsid w:val="00263155"/>
    <w:rsid w:val="002650F7"/>
    <w:rsid w:val="00273F3B"/>
    <w:rsid w:val="00274DB7"/>
    <w:rsid w:val="00275984"/>
    <w:rsid w:val="00280F74"/>
    <w:rsid w:val="002822CA"/>
    <w:rsid w:val="00286998"/>
    <w:rsid w:val="00291AB7"/>
    <w:rsid w:val="00292EB2"/>
    <w:rsid w:val="0029422B"/>
    <w:rsid w:val="002A0938"/>
    <w:rsid w:val="002A188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02FA"/>
    <w:rsid w:val="003216FA"/>
    <w:rsid w:val="00327BA5"/>
    <w:rsid w:val="00332B02"/>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42D2"/>
    <w:rsid w:val="003B7EE7"/>
    <w:rsid w:val="003C2377"/>
    <w:rsid w:val="003C2CCB"/>
    <w:rsid w:val="003D39EC"/>
    <w:rsid w:val="003D5DED"/>
    <w:rsid w:val="003E3DD5"/>
    <w:rsid w:val="003F07C6"/>
    <w:rsid w:val="003F1F6B"/>
    <w:rsid w:val="003F3757"/>
    <w:rsid w:val="003F38BD"/>
    <w:rsid w:val="003F44B7"/>
    <w:rsid w:val="004008E9"/>
    <w:rsid w:val="00405C2A"/>
    <w:rsid w:val="00413D48"/>
    <w:rsid w:val="00441AC2"/>
    <w:rsid w:val="0044249B"/>
    <w:rsid w:val="0045023C"/>
    <w:rsid w:val="00451A5B"/>
    <w:rsid w:val="00452BCD"/>
    <w:rsid w:val="00452CEA"/>
    <w:rsid w:val="00465B52"/>
    <w:rsid w:val="0046708E"/>
    <w:rsid w:val="00472A65"/>
    <w:rsid w:val="00474463"/>
    <w:rsid w:val="00474B75"/>
    <w:rsid w:val="00483F0B"/>
    <w:rsid w:val="00485764"/>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2BE"/>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D66"/>
    <w:rsid w:val="006A2100"/>
    <w:rsid w:val="006A5C3B"/>
    <w:rsid w:val="006A72E0"/>
    <w:rsid w:val="006B0BF3"/>
    <w:rsid w:val="006B775E"/>
    <w:rsid w:val="006B7B33"/>
    <w:rsid w:val="006B7BC7"/>
    <w:rsid w:val="006C2535"/>
    <w:rsid w:val="006C441E"/>
    <w:rsid w:val="006C4B90"/>
    <w:rsid w:val="006D1016"/>
    <w:rsid w:val="006D17F2"/>
    <w:rsid w:val="006E3546"/>
    <w:rsid w:val="006E3FA9"/>
    <w:rsid w:val="006E7D82"/>
    <w:rsid w:val="006F038F"/>
    <w:rsid w:val="006F0F93"/>
    <w:rsid w:val="006F31F2"/>
    <w:rsid w:val="006F53E0"/>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558B3"/>
    <w:rsid w:val="007610AA"/>
    <w:rsid w:val="007709EF"/>
    <w:rsid w:val="00782701"/>
    <w:rsid w:val="00783559"/>
    <w:rsid w:val="00784049"/>
    <w:rsid w:val="0079551B"/>
    <w:rsid w:val="00797AA5"/>
    <w:rsid w:val="007A26BD"/>
    <w:rsid w:val="007A4105"/>
    <w:rsid w:val="007B4503"/>
    <w:rsid w:val="007C406E"/>
    <w:rsid w:val="007C5183"/>
    <w:rsid w:val="007C7573"/>
    <w:rsid w:val="007E2B20"/>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76A9"/>
    <w:rsid w:val="00872271"/>
    <w:rsid w:val="00883137"/>
    <w:rsid w:val="0088562F"/>
    <w:rsid w:val="00894A3B"/>
    <w:rsid w:val="008A1F5D"/>
    <w:rsid w:val="008A28F5"/>
    <w:rsid w:val="008A3271"/>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62FCC"/>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57734"/>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63FF"/>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09BC"/>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3DAA"/>
    <w:rsid w:val="00BC4AE3"/>
    <w:rsid w:val="00BC5B28"/>
    <w:rsid w:val="00BD1FB2"/>
    <w:rsid w:val="00BD2370"/>
    <w:rsid w:val="00BE3F88"/>
    <w:rsid w:val="00BE4756"/>
    <w:rsid w:val="00BE5ED9"/>
    <w:rsid w:val="00BE7B41"/>
    <w:rsid w:val="00C15A91"/>
    <w:rsid w:val="00C206F1"/>
    <w:rsid w:val="00C217E1"/>
    <w:rsid w:val="00C219B1"/>
    <w:rsid w:val="00C323B9"/>
    <w:rsid w:val="00C4015B"/>
    <w:rsid w:val="00C40C60"/>
    <w:rsid w:val="00C4317A"/>
    <w:rsid w:val="00C435ED"/>
    <w:rsid w:val="00C437CA"/>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67A"/>
    <w:rsid w:val="00CE1814"/>
    <w:rsid w:val="00CE1A95"/>
    <w:rsid w:val="00CE1C84"/>
    <w:rsid w:val="00CE5055"/>
    <w:rsid w:val="00CF053F"/>
    <w:rsid w:val="00CF1A17"/>
    <w:rsid w:val="00CF2D64"/>
    <w:rsid w:val="00D0375A"/>
    <w:rsid w:val="00D0609E"/>
    <w:rsid w:val="00D078E1"/>
    <w:rsid w:val="00D100E9"/>
    <w:rsid w:val="00D17942"/>
    <w:rsid w:val="00D21E4B"/>
    <w:rsid w:val="00D22441"/>
    <w:rsid w:val="00D23522"/>
    <w:rsid w:val="00D264D6"/>
    <w:rsid w:val="00D26DD9"/>
    <w:rsid w:val="00D33BF0"/>
    <w:rsid w:val="00D33DE0"/>
    <w:rsid w:val="00D36447"/>
    <w:rsid w:val="00D516BE"/>
    <w:rsid w:val="00D5423B"/>
    <w:rsid w:val="00D54E6A"/>
    <w:rsid w:val="00D54F4E"/>
    <w:rsid w:val="00D57A56"/>
    <w:rsid w:val="00D604B3"/>
    <w:rsid w:val="00D60BA4"/>
    <w:rsid w:val="00D62419"/>
    <w:rsid w:val="00D76393"/>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26DC"/>
    <w:rsid w:val="00E3731D"/>
    <w:rsid w:val="00E51469"/>
    <w:rsid w:val="00E576A8"/>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3EC1"/>
    <w:rsid w:val="00EC4D0E"/>
    <w:rsid w:val="00EC4E2B"/>
    <w:rsid w:val="00ED069D"/>
    <w:rsid w:val="00ED072A"/>
    <w:rsid w:val="00ED539E"/>
    <w:rsid w:val="00ED7804"/>
    <w:rsid w:val="00EE4A1F"/>
    <w:rsid w:val="00EE4C2D"/>
    <w:rsid w:val="00EF1B5A"/>
    <w:rsid w:val="00EF24FB"/>
    <w:rsid w:val="00EF2CCA"/>
    <w:rsid w:val="00EF495B"/>
    <w:rsid w:val="00EF60DC"/>
    <w:rsid w:val="00F00F54"/>
    <w:rsid w:val="00F03963"/>
    <w:rsid w:val="00F11068"/>
    <w:rsid w:val="00F1256D"/>
    <w:rsid w:val="00F13A4E"/>
    <w:rsid w:val="00F14A8A"/>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2D5"/>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AE63FF"/>
    <w:rPr>
      <w:vertAlign w:val="superscript"/>
    </w:rPr>
  </w:style>
  <w:style w:type="character" w:styleId="Onopgelostemelding">
    <w:name w:val="Unresolved Mention"/>
    <w:basedOn w:val="Standaardalinea-lettertype"/>
    <w:uiPriority w:val="99"/>
    <w:semiHidden/>
    <w:unhideWhenUsed/>
    <w:rsid w:val="00AE63FF"/>
    <w:rPr>
      <w:color w:val="605E5C"/>
      <w:shd w:val="clear" w:color="auto" w:fill="E1DFDD"/>
    </w:rPr>
  </w:style>
  <w:style w:type="paragraph" w:styleId="Revisie">
    <w:name w:val="Revision"/>
    <w:hidden/>
    <w:uiPriority w:val="99"/>
    <w:semiHidden/>
    <w:rsid w:val="0088562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91499">
      <w:bodyDiv w:val="1"/>
      <w:marLeft w:val="0"/>
      <w:marRight w:val="0"/>
      <w:marTop w:val="0"/>
      <w:marBottom w:val="0"/>
      <w:divBdr>
        <w:top w:val="none" w:sz="0" w:space="0" w:color="auto"/>
        <w:left w:val="none" w:sz="0" w:space="0" w:color="auto"/>
        <w:bottom w:val="none" w:sz="0" w:space="0" w:color="auto"/>
        <w:right w:val="none" w:sz="0" w:space="0" w:color="auto"/>
      </w:divBdr>
    </w:div>
    <w:div w:id="140838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igital-strategy.ec.europa.eu/en/policies/dsa-out-court-dispute-settlement" TargetMode="External"/><Relationship Id="rId2" Type="http://schemas.openxmlformats.org/officeDocument/2006/relationships/hyperlink" Target="https://eooh.eu/" TargetMode="External"/><Relationship Id="rId1" Type="http://schemas.openxmlformats.org/officeDocument/2006/relationships/hyperlink" Target="http://www.ad.nl/binnenland/nog-veel-meer-instagramaccounts-van-lhbtiers-op-zwart-veel-meldingen-uitnederland~af9198a6/" TargetMode="External"/><Relationship Id="rId4" Type="http://schemas.openxmlformats.org/officeDocument/2006/relationships/hyperlink" Target="https://nos.nl/artikel/2615097-organisaties-eisen-dat-meta-stopt-met-verwijderen-queer-accounts"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31B44">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3202FA"/>
    <w:rsid w:val="005624F2"/>
    <w:rsid w:val="0060071F"/>
    <w:rsid w:val="006A1D66"/>
    <w:rsid w:val="00784049"/>
    <w:rsid w:val="008676A9"/>
    <w:rsid w:val="008C7118"/>
    <w:rsid w:val="008E2A21"/>
    <w:rsid w:val="0092316D"/>
    <w:rsid w:val="009549F1"/>
    <w:rsid w:val="00A164D0"/>
    <w:rsid w:val="00A22FC5"/>
    <w:rsid w:val="00B31B44"/>
    <w:rsid w:val="00C7756A"/>
    <w:rsid w:val="00CB1898"/>
    <w:rsid w:val="00D76393"/>
    <w:rsid w:val="00D82AFD"/>
    <w:rsid w:val="00DA6D30"/>
    <w:rsid w:val="00E326DC"/>
    <w:rsid w:val="00E476A9"/>
    <w:rsid w:val="00E576A8"/>
    <w:rsid w:val="00E8727D"/>
    <w:rsid w:val="00EC3EC1"/>
    <w:rsid w:val="00ED7804"/>
    <w:rsid w:val="00F14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1573</ap:Words>
  <ap:Characters>9067</ap:Characters>
  <ap:DocSecurity>0</ap:DocSecurity>
  <ap:Lines>75</ap:Lines>
  <ap:Paragraphs>21</ap:Paragraphs>
  <ap:ScaleCrop>false</ap:ScaleCrop>
  <ap:LinksUpToDate>false</ap:LinksUpToDate>
  <ap:CharactersWithSpaces>10619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2026-06-02T12:46:00.0000000Z</dcterms:created>
  <dcterms:modified xsi:type="dcterms:W3CDTF">2026-06-02T12:47:00.0000000Z</dcterms:modified>
  <dc:description>------------------------</dc:description>
  <dc:subject/>
  <keywords/>
  <version/>
  <category/>
</coreProperties>
</file>