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2026Z11664</w:t>
        <w:br/>
      </w:r>
      <w:proofErr w:type="spellEnd"/>
    </w:p>
    <w:p>
      <w:pPr>
        <w:pStyle w:val="Normal"/>
        <w:rPr>
          <w:b w:val="1"/>
          <w:bCs w:val="1"/>
        </w:rPr>
      </w:pPr>
      <w:r w:rsidR="250AE766">
        <w:rPr>
          <w:b w:val="0"/>
          <w:bCs w:val="0"/>
        </w:rPr>
        <w:t>(ingezonden 2 juni 2026)</w:t>
        <w:br/>
      </w:r>
    </w:p>
    <w:p>
      <w:r>
        <w:t xml:space="preserve">Vragen van het lid Vermeer (BBB) aan de staatssecretaris van Financiën over de fiscale behandeling van kampeervoertuigen</w:t>
      </w:r>
      <w:r>
        <w:br/>
      </w:r>
    </w:p>
    <w:p>
      <w:r>
        <w:t xml:space="preserve"> </w:t>
      </w:r>
      <w:r>
        <w:br/>
      </w:r>
    </w:p>
    <w:p>
      <w:r>
        <w:t xml:space="preserve">Vraag 1</w:t>
      </w:r>
      <w:r>
        <w:br/>
      </w:r>
    </w:p>
    <w:p>
      <w:r>
        <w:t xml:space="preserve">Wat zijn de exacte totale opbrengsten uit de MRB voor kampeerauto's (campers) in het eerste kwartaal (Q1) van 2026, vergeleken met de eerste kwartalen (Q1) van 2025,2024,2023 en 2022 nu het kwarttarief per 1 januari 2026 is omgezet in een halftarief?</w:t>
      </w:r>
      <w:r>
        <w:br/>
      </w:r>
    </w:p>
    <w:p>
      <w:r>
        <w:t xml:space="preserve">Vraag 2</w:t>
      </w:r>
      <w:r>
        <w:br/>
      </w:r>
    </w:p>
    <w:p>
      <w:r>
        <w:t xml:space="preserve">Klopt het dat een burger, die zijn voertuig schorst en deze schorsing binnen één maand weer opheft, met terugwerkende kracht alsnog het volle MRB-tarief over die periode moet betalen (bovenop het betaalde schorsingstarief van de RDW)?</w:t>
      </w:r>
      <w:r>
        <w:br/>
      </w:r>
    </w:p>
    <w:p>
      <w:r>
        <w:t xml:space="preserve">Vraag 3</w:t>
      </w:r>
      <w:r>
        <w:br/>
      </w:r>
    </w:p>
    <w:p>
      <w:r>
        <w:t xml:space="preserve">Zo ja, op welk artikel in de wet is dit gebaseerd?</w:t>
      </w:r>
      <w:r>
        <w:br/>
      </w:r>
    </w:p>
    <w:p>
      <w:r>
        <w:t xml:space="preserve">Vraag 4</w:t>
      </w:r>
      <w:r>
        <w:br/>
      </w:r>
    </w:p>
    <w:p>
      <w:r>
        <w:t xml:space="preserve">Hoe beoordeelt u de juridische en morele houdbaarheid van deze 'één-maand-regel' bij schorsing, aangezien de burger gedurende de schorsingsperiode aantoonbaar geen gebruik heeft gemaakt (en mocht maken) van de openbare weg en de MRB feitelijk fungeert als betaling voor een niet-geleverde overheidsdienst?</w:t>
      </w:r>
      <w:r>
        <w:br/>
      </w:r>
    </w:p>
    <w:p>
      <w:r>
        <w:t xml:space="preserve">Vraag 5</w:t>
      </w:r>
      <w:r>
        <w:br/>
      </w:r>
    </w:p>
    <w:p>
      <w:r>
        <w:t xml:space="preserve">Bent u bereid om, mede in het licht van de verdubbeling van de MRB voor campers per 2026, het schorsingssysteem te moderniseren en flexibeler te maken (bijvoorbeeld door schorsen per dag of week mogelijk te maken zonder fiscale naheffing), zodat seizoensgebruikers niet onnodig financieel worden gestraft?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3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300">
    <w:abstractNumId w:val="1005093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