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4778" w:type="dxa"/>
        <w:tblLook w:val="04A0" w:firstRow="1" w:lastRow="0" w:firstColumn="1" w:lastColumn="0" w:noHBand="0" w:noVBand="1"/>
      </w:tblPr>
      <w:tblGrid>
        <w:gridCol w:w="4778"/>
      </w:tblGrid>
      <w:tr w:rsidR="00A96E66" w:rsidTr="0009098B" w14:paraId="55158CB1" w14:textId="77777777">
        <w:trPr>
          <w:trHeight w:val="1454"/>
        </w:trPr>
        <w:tc>
          <w:tcPr>
            <w:tcW w:w="4778" w:type="dxa"/>
            <w:tcBorders>
              <w:top w:val="nil"/>
              <w:left w:val="nil"/>
              <w:bottom w:val="nil"/>
              <w:right w:val="nil"/>
            </w:tcBorders>
            <w:tcMar>
              <w:left w:w="0" w:type="dxa"/>
              <w:right w:w="0" w:type="dxa"/>
            </w:tcMar>
          </w:tcPr>
          <w:p w:rsidR="00DF551C" w:rsidP="00C01392" w:rsidRDefault="004E01C8" w14:paraId="190F1BEE" w14:textId="77777777">
            <w:pPr>
              <w:spacing w:line="240" w:lineRule="auto"/>
            </w:pPr>
            <w:r>
              <w:t>Raad voor Cultuur</w:t>
            </w:r>
          </w:p>
          <w:p w:rsidRPr="00650C9D" w:rsidR="001475E9" w:rsidP="00C01392" w:rsidRDefault="004E01C8" w14:paraId="250DA5D3" w14:textId="0BCA3EB6">
            <w:pPr>
              <w:spacing w:line="240" w:lineRule="auto"/>
            </w:pPr>
            <w:r>
              <w:t>Prins Willem Alexanderhof 20</w:t>
            </w:r>
          </w:p>
          <w:p w:rsidRPr="007F7207" w:rsidR="007F7207" w:rsidP="00C01392" w:rsidRDefault="004E01C8" w14:paraId="179F4B39" w14:textId="13BB4035">
            <w:pPr>
              <w:spacing w:line="240" w:lineRule="auto"/>
            </w:pPr>
            <w:r>
              <w:t>2595 BE</w:t>
            </w:r>
            <w:r w:rsidR="003F573F">
              <w:t xml:space="preserve"> </w:t>
            </w:r>
            <w:r>
              <w:t xml:space="preserve"> DEN HAAG</w:t>
            </w:r>
            <w:r w:rsidR="00BE15AC">
              <w:t xml:space="preserve"> </w:t>
            </w:r>
            <w:r w:rsidDel="00230338" w:rsidR="00230338">
              <w:rPr>
                <w:noProof/>
              </w:rPr>
              <w:t xml:space="preserve"> </w:t>
            </w:r>
          </w:p>
        </w:tc>
      </w:tr>
    </w:tbl>
    <w:p w:rsidR="003911F5" w:rsidP="00C01392" w:rsidRDefault="00D76408" w14:paraId="32281076" w14:textId="77777777">
      <w:pPr>
        <w:spacing w:line="240" w:lineRule="auto"/>
      </w:pPr>
      <w:r>
        <w:t xml:space="preserve">Geachte Raad,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911F5" w:rsidTr="005C03DA" w14:paraId="34E8CA0B" w14:textId="77777777">
        <w:tc>
          <w:tcPr>
            <w:tcW w:w="2160" w:type="dxa"/>
          </w:tcPr>
          <w:p w:rsidRPr="00A273D8" w:rsidR="003911F5" w:rsidP="005C03DA" w:rsidRDefault="003911F5" w14:paraId="460C5183" w14:textId="77777777">
            <w:pPr>
              <w:spacing w:after="92" w:line="180" w:lineRule="exact"/>
              <w:rPr>
                <w:b/>
                <w:sz w:val="13"/>
                <w:szCs w:val="13"/>
              </w:rPr>
            </w:pPr>
            <w:r>
              <w:rPr>
                <w:b/>
                <w:sz w:val="13"/>
                <w:szCs w:val="13"/>
              </w:rPr>
              <w:t>Erfgoed en Kunsten</w:t>
            </w:r>
          </w:p>
          <w:p w:rsidR="003911F5" w:rsidP="005C03DA" w:rsidRDefault="003911F5" w14:paraId="33592A55" w14:textId="540112F3">
            <w:pPr>
              <w:spacing w:after="92" w:line="180" w:lineRule="exact"/>
              <w:rPr>
                <w:sz w:val="13"/>
                <w:szCs w:val="13"/>
              </w:rPr>
            </w:pPr>
            <w:r>
              <w:rPr>
                <w:sz w:val="13"/>
                <w:szCs w:val="13"/>
              </w:rPr>
              <w:t>Rijnstraat 50</w:t>
            </w:r>
          </w:p>
          <w:p w:rsidR="003911F5" w:rsidP="005C03DA" w:rsidRDefault="003911F5" w14:paraId="33ECEDD0" w14:textId="77777777">
            <w:pPr>
              <w:spacing w:after="92" w:line="180" w:lineRule="exact"/>
              <w:rPr>
                <w:sz w:val="13"/>
                <w:szCs w:val="13"/>
              </w:rPr>
            </w:pPr>
            <w:r>
              <w:rPr>
                <w:sz w:val="13"/>
                <w:szCs w:val="13"/>
              </w:rPr>
              <w:t>Den Haag</w:t>
            </w:r>
          </w:p>
          <w:p w:rsidR="003911F5" w:rsidP="005C03DA" w:rsidRDefault="003911F5" w14:paraId="52B65B03" w14:textId="77777777">
            <w:pPr>
              <w:spacing w:after="92" w:line="180" w:lineRule="exact"/>
              <w:rPr>
                <w:sz w:val="13"/>
                <w:szCs w:val="13"/>
              </w:rPr>
            </w:pPr>
            <w:r>
              <w:rPr>
                <w:sz w:val="13"/>
                <w:szCs w:val="13"/>
              </w:rPr>
              <w:t>Postbus 16375</w:t>
            </w:r>
          </w:p>
          <w:p w:rsidR="003911F5" w:rsidP="005C03DA" w:rsidRDefault="003911F5" w14:paraId="16AE4375" w14:textId="77777777">
            <w:pPr>
              <w:spacing w:after="92" w:line="180" w:lineRule="exact"/>
              <w:rPr>
                <w:sz w:val="13"/>
                <w:szCs w:val="13"/>
              </w:rPr>
            </w:pPr>
            <w:r>
              <w:rPr>
                <w:sz w:val="13"/>
                <w:szCs w:val="13"/>
              </w:rPr>
              <w:t>2500 BJ Den Haag</w:t>
            </w:r>
          </w:p>
          <w:p w:rsidR="003911F5" w:rsidP="005C03DA" w:rsidRDefault="003911F5" w14:paraId="4D78C94E" w14:textId="7EB363B2">
            <w:pPr>
              <w:spacing w:after="92" w:line="180" w:lineRule="exact"/>
              <w:rPr>
                <w:sz w:val="13"/>
                <w:szCs w:val="13"/>
              </w:rPr>
            </w:pPr>
            <w:hyperlink w:history="1" r:id="rId8">
              <w:r w:rsidRPr="00D25FB0">
                <w:rPr>
                  <w:rStyle w:val="Hyperlink"/>
                  <w:sz w:val="13"/>
                  <w:szCs w:val="13"/>
                </w:rPr>
                <w:t>www.rijksoverheid.nl</w:t>
              </w:r>
            </w:hyperlink>
          </w:p>
          <w:p w:rsidRPr="00A273D8" w:rsidR="003911F5" w:rsidP="005C03DA" w:rsidRDefault="003911F5" w14:paraId="36494BAC" w14:textId="177C90F2">
            <w:pPr>
              <w:spacing w:after="92" w:line="180" w:lineRule="exact"/>
              <w:rPr>
                <w:sz w:val="13"/>
                <w:szCs w:val="13"/>
              </w:rPr>
            </w:pPr>
          </w:p>
        </w:tc>
      </w:tr>
      <w:tr w:rsidR="003911F5" w:rsidTr="005C03DA" w14:paraId="68EB6F6A" w14:textId="77777777">
        <w:trPr>
          <w:trHeight w:val="450"/>
        </w:trPr>
        <w:tc>
          <w:tcPr>
            <w:tcW w:w="2160" w:type="dxa"/>
          </w:tcPr>
          <w:p w:rsidR="003911F5" w:rsidP="005C03DA" w:rsidRDefault="003911F5" w14:paraId="19F276A3" w14:textId="265D687E">
            <w:pPr>
              <w:spacing w:line="180" w:lineRule="exact"/>
              <w:rPr>
                <w:b/>
                <w:sz w:val="13"/>
                <w:szCs w:val="13"/>
              </w:rPr>
            </w:pPr>
            <w:r>
              <w:rPr>
                <w:b/>
                <w:sz w:val="13"/>
                <w:szCs w:val="13"/>
              </w:rPr>
              <w:t>Onze r</w:t>
            </w:r>
            <w:r w:rsidRPr="00A273D8">
              <w:rPr>
                <w:b/>
                <w:sz w:val="13"/>
                <w:szCs w:val="13"/>
              </w:rPr>
              <w:t>e</w:t>
            </w:r>
            <w:r>
              <w:rPr>
                <w:b/>
                <w:sz w:val="13"/>
                <w:szCs w:val="13"/>
              </w:rPr>
              <w:t>ferentie</w:t>
            </w:r>
          </w:p>
          <w:p w:rsidRPr="00F06766" w:rsidR="003911F5" w:rsidP="005C03DA" w:rsidRDefault="003911F5" w14:paraId="05BE19AB" w14:textId="2CEB5C38">
            <w:pPr>
              <w:spacing w:after="92" w:line="180" w:lineRule="exact"/>
              <w:rPr>
                <w:sz w:val="13"/>
                <w:szCs w:val="13"/>
              </w:rPr>
            </w:pPr>
            <w:r w:rsidRPr="003911F5">
              <w:rPr>
                <w:sz w:val="13"/>
                <w:szCs w:val="13"/>
              </w:rPr>
              <w:t>63478429</w:t>
            </w:r>
          </w:p>
        </w:tc>
      </w:tr>
      <w:tr w:rsidR="003911F5" w:rsidTr="005C03DA" w14:paraId="1266D131" w14:textId="77777777">
        <w:trPr>
          <w:trHeight w:val="225"/>
        </w:trPr>
        <w:tc>
          <w:tcPr>
            <w:tcW w:w="2160" w:type="dxa"/>
          </w:tcPr>
          <w:p w:rsidR="003911F5" w:rsidP="005C03DA" w:rsidRDefault="003911F5" w14:paraId="2B1E1B7D" w14:textId="77777777">
            <w:pPr>
              <w:spacing w:line="180" w:lineRule="exact"/>
              <w:rPr>
                <w:b/>
                <w:sz w:val="13"/>
                <w:szCs w:val="13"/>
              </w:rPr>
            </w:pPr>
            <w:r w:rsidRPr="00F06766">
              <w:rPr>
                <w:b/>
                <w:sz w:val="13"/>
                <w:szCs w:val="13"/>
              </w:rPr>
              <w:t>Bijlagen</w:t>
            </w:r>
          </w:p>
          <w:p w:rsidR="003911F5" w:rsidP="005C03DA" w:rsidRDefault="003911F5" w14:paraId="3D11460E" w14:textId="3A73A244">
            <w:pPr>
              <w:spacing w:after="92" w:line="180" w:lineRule="exact"/>
              <w:rPr>
                <w:sz w:val="13"/>
                <w:szCs w:val="13"/>
              </w:rPr>
            </w:pPr>
            <w:r>
              <w:rPr>
                <w:sz w:val="13"/>
                <w:szCs w:val="13"/>
              </w:rPr>
              <w:t>1</w:t>
            </w:r>
          </w:p>
          <w:p w:rsidRPr="008B6F54" w:rsidR="003911F5" w:rsidP="005C03DA" w:rsidRDefault="003911F5" w14:paraId="5AB9510A" w14:textId="77777777">
            <w:pPr>
              <w:spacing w:line="92" w:lineRule="exact"/>
              <w:rPr>
                <w:sz w:val="2"/>
                <w:szCs w:val="2"/>
              </w:rPr>
            </w:pPr>
          </w:p>
        </w:tc>
      </w:tr>
      <w:tr w:rsidR="003911F5" w:rsidTr="005C03DA" w14:paraId="42931026" w14:textId="77777777">
        <w:trPr>
          <w:trHeight w:val="225"/>
        </w:trPr>
        <w:tc>
          <w:tcPr>
            <w:tcW w:w="2160" w:type="dxa"/>
          </w:tcPr>
          <w:p w:rsidRPr="00893CD5" w:rsidR="003911F5" w:rsidP="005C03DA" w:rsidRDefault="003911F5" w14:paraId="709FEEA4" w14:textId="5F4632DF">
            <w:pPr>
              <w:spacing w:line="180" w:lineRule="exact"/>
              <w:rPr>
                <w:sz w:val="13"/>
                <w:szCs w:val="13"/>
              </w:rPr>
            </w:pPr>
          </w:p>
        </w:tc>
      </w:tr>
      <w:tr w:rsidR="003911F5" w:rsidTr="005C03DA" w14:paraId="7B190B9C" w14:textId="77777777">
        <w:trPr>
          <w:trHeight w:val="225"/>
        </w:trPr>
        <w:tc>
          <w:tcPr>
            <w:tcW w:w="2160" w:type="dxa"/>
          </w:tcPr>
          <w:p w:rsidRPr="00FC3557" w:rsidR="003911F5" w:rsidP="005C03DA" w:rsidRDefault="003911F5" w14:paraId="1EDF6456" w14:textId="77777777">
            <w:pPr>
              <w:spacing w:line="180" w:lineRule="exact"/>
              <w:rPr>
                <w:b/>
                <w:sz w:val="13"/>
                <w:szCs w:val="13"/>
              </w:rPr>
            </w:pPr>
          </w:p>
        </w:tc>
      </w:tr>
    </w:tbl>
    <w:p w:rsidR="004E01C8" w:rsidP="00C01392" w:rsidRDefault="004E01C8" w14:paraId="71687D71" w14:textId="7312C54D">
      <w:pPr>
        <w:spacing w:line="240" w:lineRule="auto"/>
      </w:pPr>
    </w:p>
    <w:p w:rsidR="00D76408" w:rsidP="00C01392" w:rsidRDefault="00D76408" w14:paraId="1D37FC0B" w14:textId="77777777">
      <w:pPr>
        <w:spacing w:line="240" w:lineRule="auto"/>
      </w:pP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50"/>
        <w:gridCol w:w="6022"/>
      </w:tblGrid>
      <w:tr w:rsidR="00A96E66" w:rsidTr="0009098B" w14:paraId="3DAB9087" w14:textId="77777777">
        <w:trPr>
          <w:trHeight w:val="366" w:hRule="exact"/>
        </w:trPr>
        <w:tc>
          <w:tcPr>
            <w:tcW w:w="850" w:type="dxa"/>
            <w:hideMark/>
          </w:tcPr>
          <w:p w:rsidR="00556757" w:rsidP="00C01392" w:rsidRDefault="004E01C8" w14:paraId="7D202924" w14:textId="77777777">
            <w:pPr>
              <w:spacing w:line="240" w:lineRule="auto"/>
            </w:pPr>
            <w:r>
              <w:t>Datum</w:t>
            </w:r>
          </w:p>
        </w:tc>
        <w:tc>
          <w:tcPr>
            <w:tcW w:w="6022" w:type="dxa"/>
            <w:hideMark/>
          </w:tcPr>
          <w:p w:rsidR="00556757" w:rsidP="00C01392" w:rsidRDefault="004E01C8" w14:paraId="55D73F7D" w14:textId="77777777">
            <w:pPr>
              <w:tabs>
                <w:tab w:val="center" w:pos="3290"/>
              </w:tabs>
              <w:spacing w:line="240" w:lineRule="auto"/>
            </w:pPr>
            <w:r>
              <w:tab/>
            </w:r>
          </w:p>
        </w:tc>
      </w:tr>
      <w:tr w:rsidR="00A96E66" w:rsidTr="0009098B" w14:paraId="49CE169F" w14:textId="77777777">
        <w:trPr>
          <w:trHeight w:val="475"/>
        </w:trPr>
        <w:tc>
          <w:tcPr>
            <w:tcW w:w="850" w:type="dxa"/>
            <w:hideMark/>
          </w:tcPr>
          <w:p w:rsidR="00556757" w:rsidP="00C01392" w:rsidRDefault="004E01C8" w14:paraId="79D45704" w14:textId="77777777">
            <w:pPr>
              <w:spacing w:line="240" w:lineRule="auto"/>
            </w:pPr>
            <w:r>
              <w:t>Betreft</w:t>
            </w:r>
          </w:p>
        </w:tc>
        <w:tc>
          <w:tcPr>
            <w:tcW w:w="6022" w:type="dxa"/>
            <w:hideMark/>
          </w:tcPr>
          <w:p w:rsidR="00556757" w:rsidP="00C01392" w:rsidRDefault="004E01C8" w14:paraId="621B3BB2" w14:textId="77777777">
            <w:pPr>
              <w:spacing w:line="240" w:lineRule="auto"/>
            </w:pPr>
            <w:r>
              <w:t xml:space="preserve">Adviesvraag in het kader van het Programma Erfgoed en Overheid </w:t>
            </w:r>
          </w:p>
        </w:tc>
      </w:tr>
    </w:tbl>
    <w:p w:rsidRPr="004E01C8" w:rsidR="004E01C8" w:rsidP="00C01392" w:rsidRDefault="004E01C8" w14:paraId="64ABE39C" w14:textId="4CA6CE79">
      <w:pPr>
        <w:spacing w:line="240" w:lineRule="auto"/>
        <w:rPr>
          <w:rFonts w:cs="Calibri"/>
          <w:szCs w:val="18"/>
        </w:rPr>
      </w:pPr>
      <w:r w:rsidRPr="004E01C8">
        <w:rPr>
          <w:rFonts w:cs="Calibri"/>
          <w:szCs w:val="18"/>
        </w:rPr>
        <w:t xml:space="preserve">Met deze brief vraag ik u – mede namens het Interprovinciaal Overleg (IPO) en de Vereniging van Nederlandse Gemeenten (VNG) – om advies in het kader van de uitvoering van het </w:t>
      </w:r>
      <w:r w:rsidR="006F0BAC">
        <w:rPr>
          <w:rFonts w:cs="Calibri"/>
          <w:szCs w:val="18"/>
        </w:rPr>
        <w:t xml:space="preserve">reeds lopende </w:t>
      </w:r>
      <w:r w:rsidRPr="004E01C8">
        <w:rPr>
          <w:rFonts w:cs="Calibri"/>
          <w:szCs w:val="18"/>
        </w:rPr>
        <w:t xml:space="preserve">Programma Erfgoed en Overheid. Dit programma is een gezamenlijke stimuleringsaanpak van OCW, IPO en VNG, gericht op de duurzame versterking van de uitvoering van erfgoedtaken bij gemeenten en provincies.  </w:t>
      </w:r>
    </w:p>
    <w:p w:rsidRPr="004E01C8" w:rsidR="004E01C8" w:rsidP="00C01392" w:rsidRDefault="004E01C8" w14:paraId="3147D733" w14:textId="77777777">
      <w:pPr>
        <w:spacing w:line="240" w:lineRule="auto"/>
        <w:contextualSpacing/>
        <w:rPr>
          <w:rFonts w:cs="Calibri"/>
          <w:szCs w:val="18"/>
        </w:rPr>
      </w:pPr>
    </w:p>
    <w:p w:rsidR="0088579F" w:rsidP="00C01392" w:rsidRDefault="004E01C8" w14:paraId="7BBC7D4B" w14:textId="207B8970">
      <w:pPr>
        <w:spacing w:line="240" w:lineRule="auto"/>
        <w:contextualSpacing/>
        <w:rPr>
          <w:rFonts w:cs="Calibri"/>
          <w:szCs w:val="18"/>
        </w:rPr>
      </w:pPr>
      <w:r w:rsidRPr="004E01C8">
        <w:rPr>
          <w:rFonts w:cs="Calibri"/>
          <w:szCs w:val="18"/>
        </w:rPr>
        <w:t>Ik kom tot dit verzoek, omdat de uitvoering van erfgoedtaken bij gemeenten en provincies</w:t>
      </w:r>
      <w:r w:rsidR="0088579F">
        <w:rPr>
          <w:rFonts w:cs="Calibri"/>
          <w:szCs w:val="18"/>
        </w:rPr>
        <w:t xml:space="preserve"> – en het bestuurlijk draagvlak daarvoor – onder druk </w:t>
      </w:r>
      <w:r w:rsidRPr="004E01C8">
        <w:rPr>
          <w:rFonts w:cs="Calibri"/>
          <w:szCs w:val="18"/>
        </w:rPr>
        <w:t>staat. Deze druk wordt versterkt door de grote ruimtelijke opgaven waar ons land mee geconfronteerd wordt, zoals woningbouw, energietransitie en klimaatadaptatie. Als we blijven doen wat we deden, komt daarbij de instandhouding van cultureel erfgoed in de fysieke leefomgeving in gevaar. Omdat het complexe problematiek betreft, met veel verschillende invalshoeken</w:t>
      </w:r>
      <w:r w:rsidR="00D807E5">
        <w:rPr>
          <w:rFonts w:cs="Calibri"/>
          <w:szCs w:val="18"/>
        </w:rPr>
        <w:t>,</w:t>
      </w:r>
      <w:r w:rsidRPr="004E01C8">
        <w:rPr>
          <w:rFonts w:cs="Calibri"/>
          <w:szCs w:val="18"/>
        </w:rPr>
        <w:t xml:space="preserve"> belangen</w:t>
      </w:r>
      <w:r w:rsidR="00D807E5">
        <w:rPr>
          <w:rFonts w:cs="Calibri"/>
          <w:szCs w:val="18"/>
        </w:rPr>
        <w:t xml:space="preserve"> en uitvoeringsvraagstukken</w:t>
      </w:r>
      <w:r w:rsidRPr="004E01C8">
        <w:rPr>
          <w:rFonts w:cs="Calibri"/>
          <w:szCs w:val="18"/>
        </w:rPr>
        <w:t>, is er behoefte aan een onafhankelijk perspectief op de vraag hoe gemeenten</w:t>
      </w:r>
      <w:r w:rsidR="00B320B5">
        <w:rPr>
          <w:rFonts w:cs="Calibri"/>
          <w:szCs w:val="18"/>
        </w:rPr>
        <w:t xml:space="preserve">, </w:t>
      </w:r>
      <w:r w:rsidRPr="004E01C8">
        <w:rPr>
          <w:rFonts w:cs="Calibri"/>
          <w:szCs w:val="18"/>
        </w:rPr>
        <w:t>provincies</w:t>
      </w:r>
      <w:r w:rsidR="00B320B5">
        <w:rPr>
          <w:rFonts w:cs="Calibri"/>
          <w:szCs w:val="18"/>
        </w:rPr>
        <w:t xml:space="preserve"> en het rijk samen</w:t>
      </w:r>
      <w:r w:rsidR="00D974D1">
        <w:rPr>
          <w:rFonts w:cs="Calibri"/>
          <w:szCs w:val="18"/>
        </w:rPr>
        <w:t>, vanuit de bestaande verdeling van rollen, taken en verantwoordelijkheden,</w:t>
      </w:r>
      <w:r w:rsidRPr="004E01C8">
        <w:rPr>
          <w:rFonts w:cs="Calibri"/>
          <w:szCs w:val="18"/>
        </w:rPr>
        <w:t xml:space="preserve"> </w:t>
      </w:r>
      <w:r w:rsidR="0088579F">
        <w:rPr>
          <w:rFonts w:cs="Calibri"/>
          <w:szCs w:val="18"/>
        </w:rPr>
        <w:t xml:space="preserve">de erfgoedzorg toekomstgericht kunnen vormgeven en borgen. </w:t>
      </w:r>
    </w:p>
    <w:p w:rsidRPr="004E01C8" w:rsidR="005C0369" w:rsidP="00C01392" w:rsidRDefault="005C0369" w14:paraId="0AC56E26" w14:textId="77777777">
      <w:pPr>
        <w:spacing w:line="240" w:lineRule="auto"/>
        <w:contextualSpacing/>
        <w:rPr>
          <w:rFonts w:cs="Calibri"/>
          <w:szCs w:val="18"/>
        </w:rPr>
      </w:pPr>
    </w:p>
    <w:p w:rsidR="004E01C8" w:rsidP="00C01392" w:rsidRDefault="006F0BAC" w14:paraId="4E0EF539" w14:textId="189212DD">
      <w:pPr>
        <w:spacing w:line="240" w:lineRule="auto"/>
        <w:contextualSpacing/>
        <w:rPr>
          <w:rFonts w:cs="Calibri"/>
          <w:szCs w:val="18"/>
        </w:rPr>
      </w:pPr>
      <w:r>
        <w:rPr>
          <w:rFonts w:cs="Calibri"/>
          <w:szCs w:val="18"/>
        </w:rPr>
        <w:t>H</w:t>
      </w:r>
      <w:r w:rsidRPr="004E01C8" w:rsidR="0088579F">
        <w:rPr>
          <w:rFonts w:cs="Calibri"/>
          <w:szCs w:val="18"/>
        </w:rPr>
        <w:t xml:space="preserve">et </w:t>
      </w:r>
      <w:r>
        <w:rPr>
          <w:rFonts w:cs="Calibri"/>
          <w:szCs w:val="18"/>
        </w:rPr>
        <w:t xml:space="preserve">betreft </w:t>
      </w:r>
      <w:r w:rsidRPr="004E01C8" w:rsidR="0088579F">
        <w:rPr>
          <w:rFonts w:cs="Calibri"/>
          <w:szCs w:val="18"/>
        </w:rPr>
        <w:t>hier expliciet ook een bestuurskundig vraagstuk</w:t>
      </w:r>
      <w:r w:rsidR="0088579F">
        <w:rPr>
          <w:rFonts w:cs="Calibri"/>
          <w:szCs w:val="18"/>
        </w:rPr>
        <w:t xml:space="preserve">, </w:t>
      </w:r>
      <w:r>
        <w:rPr>
          <w:rFonts w:cs="Calibri"/>
          <w:szCs w:val="18"/>
        </w:rPr>
        <w:t xml:space="preserve">daarom </w:t>
      </w:r>
      <w:r w:rsidR="0088579F">
        <w:rPr>
          <w:rFonts w:cs="Calibri"/>
          <w:szCs w:val="18"/>
        </w:rPr>
        <w:t xml:space="preserve">vraag ik u </w:t>
      </w:r>
      <w:r w:rsidRPr="004E01C8" w:rsidR="004E01C8">
        <w:rPr>
          <w:rFonts w:cs="Calibri"/>
          <w:szCs w:val="18"/>
        </w:rPr>
        <w:t xml:space="preserve">tevens om de Raad voor het Openbaar Bestuur (ROB) </w:t>
      </w:r>
      <w:r w:rsidR="003E1382">
        <w:rPr>
          <w:rFonts w:cs="Calibri"/>
          <w:szCs w:val="18"/>
        </w:rPr>
        <w:t xml:space="preserve">bij </w:t>
      </w:r>
      <w:r>
        <w:rPr>
          <w:rFonts w:cs="Calibri"/>
          <w:szCs w:val="18"/>
        </w:rPr>
        <w:t xml:space="preserve">dit </w:t>
      </w:r>
      <w:r w:rsidR="003E1382">
        <w:rPr>
          <w:rFonts w:cs="Calibri"/>
          <w:szCs w:val="18"/>
        </w:rPr>
        <w:t xml:space="preserve">advies </w:t>
      </w:r>
      <w:r w:rsidRPr="004E01C8" w:rsidR="004E01C8">
        <w:rPr>
          <w:rFonts w:cs="Calibri"/>
          <w:szCs w:val="18"/>
        </w:rPr>
        <w:t>te betrekken</w:t>
      </w:r>
      <w:r w:rsidR="0088579F">
        <w:rPr>
          <w:rFonts w:cs="Calibri"/>
          <w:szCs w:val="18"/>
        </w:rPr>
        <w:t>.</w:t>
      </w:r>
      <w:r>
        <w:rPr>
          <w:rFonts w:cs="Calibri"/>
          <w:szCs w:val="18"/>
        </w:rPr>
        <w:t xml:space="preserve"> </w:t>
      </w:r>
      <w:r w:rsidRPr="004E01C8" w:rsidDel="006F0BAC">
        <w:rPr>
          <w:rFonts w:cs="Calibri"/>
          <w:szCs w:val="18"/>
        </w:rPr>
        <w:t xml:space="preserve">Ik verzoek u ernaar te streven uw advies </w:t>
      </w:r>
      <w:r w:rsidR="00B8014B">
        <w:rPr>
          <w:rFonts w:cs="Calibri"/>
          <w:szCs w:val="18"/>
        </w:rPr>
        <w:t>uit te brengen in het eerste kwartaal van 2027, waarna het zal gaa</w:t>
      </w:r>
      <w:r w:rsidR="00C06A70">
        <w:rPr>
          <w:rFonts w:cs="Calibri"/>
          <w:szCs w:val="18"/>
        </w:rPr>
        <w:t xml:space="preserve">n dienen als basis om richtinggevende keuzes te maken voor de </w:t>
      </w:r>
      <w:r w:rsidR="00F93D41">
        <w:rPr>
          <w:rFonts w:cs="Calibri"/>
          <w:szCs w:val="18"/>
        </w:rPr>
        <w:t>volgende fase</w:t>
      </w:r>
      <w:r w:rsidR="00C06A70">
        <w:rPr>
          <w:rFonts w:cs="Calibri"/>
          <w:szCs w:val="18"/>
        </w:rPr>
        <w:t xml:space="preserve"> van het </w:t>
      </w:r>
      <w:r w:rsidR="000C13A8">
        <w:rPr>
          <w:rFonts w:cs="Calibri"/>
          <w:szCs w:val="18"/>
        </w:rPr>
        <w:t>P</w:t>
      </w:r>
      <w:r w:rsidR="00C06A70">
        <w:rPr>
          <w:rFonts w:cs="Calibri"/>
          <w:szCs w:val="18"/>
        </w:rPr>
        <w:t xml:space="preserve">rogramma Erfgoed en Overheid. </w:t>
      </w:r>
      <w:r w:rsidRPr="004E01C8" w:rsidR="00C06A70">
        <w:rPr>
          <w:rFonts w:cs="Calibri"/>
          <w:szCs w:val="18"/>
        </w:rPr>
        <w:t xml:space="preserve"> </w:t>
      </w:r>
      <w:r w:rsidR="00C06A70">
        <w:rPr>
          <w:rFonts w:cs="Calibri"/>
          <w:szCs w:val="18"/>
        </w:rPr>
        <w:t xml:space="preserve"> </w:t>
      </w:r>
    </w:p>
    <w:p w:rsidR="00B8014B" w:rsidP="00C01392" w:rsidRDefault="00B8014B" w14:paraId="0A41BE05" w14:textId="77777777">
      <w:pPr>
        <w:spacing w:line="240" w:lineRule="auto"/>
        <w:contextualSpacing/>
        <w:rPr>
          <w:rFonts w:cs="Calibri"/>
          <w:szCs w:val="18"/>
        </w:rPr>
      </w:pPr>
    </w:p>
    <w:p w:rsidRPr="004E01C8" w:rsidR="004E01C8" w:rsidP="00C01392" w:rsidRDefault="004E01C8" w14:paraId="3CE8CE58" w14:textId="766FAE53">
      <w:pPr>
        <w:spacing w:line="240" w:lineRule="auto"/>
        <w:contextualSpacing/>
        <w:rPr>
          <w:rFonts w:cs="Calibri"/>
          <w:b/>
          <w:bCs/>
          <w:szCs w:val="18"/>
        </w:rPr>
      </w:pPr>
      <w:r w:rsidRPr="004E01C8">
        <w:rPr>
          <w:rFonts w:cs="Calibri"/>
          <w:b/>
          <w:bCs/>
          <w:szCs w:val="18"/>
        </w:rPr>
        <w:t>Aanleiding</w:t>
      </w:r>
      <w:r w:rsidR="0009098B">
        <w:rPr>
          <w:rFonts w:cs="Calibri"/>
          <w:b/>
          <w:bCs/>
          <w:szCs w:val="18"/>
        </w:rPr>
        <w:t xml:space="preserve"> en </w:t>
      </w:r>
      <w:r w:rsidR="00C90B0F">
        <w:rPr>
          <w:rFonts w:cs="Calibri"/>
          <w:b/>
          <w:bCs/>
          <w:szCs w:val="18"/>
        </w:rPr>
        <w:t>aanpak</w:t>
      </w:r>
      <w:r w:rsidRPr="004E01C8">
        <w:rPr>
          <w:rFonts w:cs="Calibri"/>
          <w:b/>
          <w:bCs/>
          <w:szCs w:val="18"/>
        </w:rPr>
        <w:t xml:space="preserve"> Programma Erfgoed en Overheid</w:t>
      </w:r>
    </w:p>
    <w:p w:rsidRPr="004E01C8" w:rsidR="004E01C8" w:rsidP="00C01392" w:rsidRDefault="004E01C8" w14:paraId="4A40DE02" w14:textId="4487D032">
      <w:pPr>
        <w:spacing w:line="240" w:lineRule="auto"/>
        <w:contextualSpacing/>
        <w:rPr>
          <w:rFonts w:cs="Calibri"/>
          <w:szCs w:val="18"/>
        </w:rPr>
      </w:pPr>
      <w:r w:rsidRPr="004E01C8">
        <w:rPr>
          <w:rFonts w:cs="Calibri"/>
          <w:szCs w:val="18"/>
        </w:rPr>
        <w:t xml:space="preserve">Uit </w:t>
      </w:r>
      <w:r w:rsidR="00507030">
        <w:rPr>
          <w:rFonts w:cs="Calibri"/>
          <w:szCs w:val="18"/>
        </w:rPr>
        <w:t xml:space="preserve">diverse </w:t>
      </w:r>
      <w:r w:rsidRPr="004E01C8">
        <w:rPr>
          <w:rFonts w:cs="Calibri"/>
          <w:szCs w:val="18"/>
        </w:rPr>
        <w:t>analyses blijkt dat de capaciteit en deskundigheid op het gebied van erfgoed in de fysieke leefomgeving bij gemeenten en provincies onder druk staat.</w:t>
      </w:r>
      <w:r w:rsidRPr="004E01C8">
        <w:rPr>
          <w:rStyle w:val="Voetnootmarkering"/>
          <w:rFonts w:cs="Calibri"/>
          <w:szCs w:val="18"/>
        </w:rPr>
        <w:footnoteReference w:id="1"/>
      </w:r>
      <w:r w:rsidRPr="004E01C8">
        <w:rPr>
          <w:rFonts w:cs="Calibri"/>
          <w:szCs w:val="18"/>
        </w:rPr>
        <w:t xml:space="preserve"> Dit is zorgwekkend, omdat zij een belangrijke rol spelen in het erfgoedstelsel. Door hun wettelijke verantwoordelijkheden en centrale positie in de ruimtelijke ordening zijn deze overheden onmisbaar in de bescherming en het beheer van </w:t>
      </w:r>
      <w:r w:rsidR="003E1382">
        <w:rPr>
          <w:rFonts w:cs="Calibri"/>
          <w:szCs w:val="18"/>
        </w:rPr>
        <w:t xml:space="preserve">cultureel </w:t>
      </w:r>
      <w:r w:rsidRPr="004E01C8">
        <w:rPr>
          <w:rFonts w:cs="Calibri"/>
          <w:szCs w:val="18"/>
        </w:rPr>
        <w:t>erfgoed</w:t>
      </w:r>
      <w:r w:rsidR="00123159">
        <w:rPr>
          <w:rFonts w:cs="Calibri"/>
          <w:szCs w:val="18"/>
        </w:rPr>
        <w:t xml:space="preserve"> in de fysieke leefomgeving. </w:t>
      </w:r>
      <w:r w:rsidRPr="004E01C8">
        <w:rPr>
          <w:rFonts w:cs="Calibri"/>
          <w:szCs w:val="18"/>
        </w:rPr>
        <w:t xml:space="preserve"> </w:t>
      </w:r>
    </w:p>
    <w:p w:rsidR="00F93D41" w:rsidP="00C01392" w:rsidRDefault="003612E3" w14:paraId="10DD5815" w14:textId="047E91A5">
      <w:pPr>
        <w:spacing w:line="240" w:lineRule="auto"/>
        <w:contextualSpacing/>
        <w:rPr>
          <w:rFonts w:cs="Calibri"/>
          <w:szCs w:val="18"/>
        </w:rPr>
      </w:pPr>
      <w:r w:rsidRPr="004E01C8">
        <w:rPr>
          <w:rFonts w:cs="Calibri"/>
          <w:szCs w:val="18"/>
        </w:rPr>
        <w:lastRenderedPageBreak/>
        <w:t>Onvoldoende aandacht voor erfgoed</w:t>
      </w:r>
      <w:r>
        <w:rPr>
          <w:rFonts w:cs="Calibri"/>
          <w:szCs w:val="18"/>
        </w:rPr>
        <w:t xml:space="preserve"> vanuit decentral</w:t>
      </w:r>
      <w:r w:rsidR="005562C3">
        <w:rPr>
          <w:rFonts w:cs="Calibri"/>
          <w:szCs w:val="18"/>
        </w:rPr>
        <w:t>e</w:t>
      </w:r>
      <w:r>
        <w:rPr>
          <w:rFonts w:cs="Calibri"/>
          <w:szCs w:val="18"/>
        </w:rPr>
        <w:t xml:space="preserve"> overheden</w:t>
      </w:r>
      <w:r w:rsidRPr="004E01C8">
        <w:rPr>
          <w:rFonts w:cs="Calibri"/>
          <w:szCs w:val="18"/>
        </w:rPr>
        <w:t xml:space="preserve"> is geen bewuste keuze, maar een gevolg </w:t>
      </w:r>
      <w:r w:rsidR="005562C3">
        <w:rPr>
          <w:rFonts w:cs="Calibri"/>
          <w:szCs w:val="18"/>
        </w:rPr>
        <w:t>van het feit dat zij</w:t>
      </w:r>
      <w:r w:rsidRPr="004E01C8">
        <w:rPr>
          <w:rFonts w:cs="Calibri"/>
          <w:szCs w:val="18"/>
        </w:rPr>
        <w:t xml:space="preserve"> </w:t>
      </w:r>
      <w:r w:rsidR="005562C3">
        <w:rPr>
          <w:rFonts w:cs="Calibri"/>
          <w:szCs w:val="18"/>
        </w:rPr>
        <w:t>te maken hebben met veel</w:t>
      </w:r>
      <w:r w:rsidRPr="004E01C8">
        <w:rPr>
          <w:rFonts w:cs="Calibri"/>
          <w:szCs w:val="18"/>
        </w:rPr>
        <w:t xml:space="preserve"> prangende vraagstukken.</w:t>
      </w:r>
      <w:r>
        <w:rPr>
          <w:rFonts w:cs="Calibri"/>
          <w:szCs w:val="18"/>
        </w:rPr>
        <w:t xml:space="preserve"> </w:t>
      </w:r>
      <w:r w:rsidR="00837F53">
        <w:rPr>
          <w:rFonts w:cs="Calibri"/>
          <w:szCs w:val="18"/>
        </w:rPr>
        <w:t xml:space="preserve">Erfgoed wordt </w:t>
      </w:r>
      <w:r w:rsidR="00F93D41">
        <w:rPr>
          <w:rFonts w:cs="Calibri"/>
          <w:szCs w:val="18"/>
        </w:rPr>
        <w:t>daardoor</w:t>
      </w:r>
      <w:r w:rsidR="00837F53">
        <w:rPr>
          <w:rFonts w:cs="Calibri"/>
          <w:szCs w:val="18"/>
        </w:rPr>
        <w:t xml:space="preserve"> in veel (ruimtelijke) processen nog onvoldoende gezien als een essentieel</w:t>
      </w:r>
      <w:r w:rsidR="009A14D0">
        <w:rPr>
          <w:rFonts w:cs="Calibri"/>
          <w:szCs w:val="18"/>
        </w:rPr>
        <w:t xml:space="preserve"> en breed</w:t>
      </w:r>
      <w:r w:rsidR="00837F53">
        <w:rPr>
          <w:rFonts w:cs="Calibri"/>
          <w:szCs w:val="18"/>
        </w:rPr>
        <w:t xml:space="preserve"> publiek belang</w:t>
      </w:r>
      <w:r w:rsidR="00F95358">
        <w:rPr>
          <w:rFonts w:cs="Calibri"/>
          <w:szCs w:val="18"/>
        </w:rPr>
        <w:t xml:space="preserve">, </w:t>
      </w:r>
      <w:r w:rsidR="00F93D41">
        <w:rPr>
          <w:rFonts w:cs="Calibri"/>
          <w:szCs w:val="18"/>
        </w:rPr>
        <w:t>ondanks dat het in de ontwerp Nota Ruimte als nationaal belang is aangemerkt</w:t>
      </w:r>
      <w:r w:rsidR="00F95358">
        <w:rPr>
          <w:rFonts w:cs="Calibri"/>
          <w:szCs w:val="18"/>
        </w:rPr>
        <w:t xml:space="preserve">. </w:t>
      </w:r>
      <w:r>
        <w:rPr>
          <w:rFonts w:cs="Calibri"/>
          <w:szCs w:val="18"/>
        </w:rPr>
        <w:t xml:space="preserve">Door zowel de uitvoering van erfgoedtaken, als het bestuurlijk </w:t>
      </w:r>
      <w:r w:rsidR="00837F53">
        <w:rPr>
          <w:rFonts w:cs="Calibri"/>
          <w:szCs w:val="18"/>
        </w:rPr>
        <w:t xml:space="preserve">en maatschappelijk </w:t>
      </w:r>
      <w:r>
        <w:rPr>
          <w:rFonts w:cs="Calibri"/>
          <w:szCs w:val="18"/>
        </w:rPr>
        <w:t>draagvlak daarvoor, te ver</w:t>
      </w:r>
      <w:r w:rsidR="005562C3">
        <w:rPr>
          <w:rFonts w:cs="Calibri"/>
          <w:szCs w:val="18"/>
        </w:rPr>
        <w:t>sterken</w:t>
      </w:r>
      <w:r w:rsidR="00123159">
        <w:rPr>
          <w:rFonts w:cs="Calibri"/>
          <w:szCs w:val="18"/>
        </w:rPr>
        <w:t xml:space="preserve">, kan worden bereikt dat de aandacht voor erfgoed </w:t>
      </w:r>
      <w:r w:rsidRPr="004E01C8" w:rsidR="00123159">
        <w:rPr>
          <w:rFonts w:cs="Calibri"/>
          <w:szCs w:val="18"/>
        </w:rPr>
        <w:t>evenredig is aan andere opgaven en niet in de verdrukking komt</w:t>
      </w:r>
      <w:r w:rsidR="00123159">
        <w:rPr>
          <w:rFonts w:cs="Calibri"/>
          <w:szCs w:val="18"/>
        </w:rPr>
        <w:t>.</w:t>
      </w:r>
      <w:r w:rsidRPr="004E01C8" w:rsidR="00123159">
        <w:rPr>
          <w:rFonts w:cs="Calibri"/>
          <w:szCs w:val="18"/>
        </w:rPr>
        <w:t xml:space="preserve">  </w:t>
      </w:r>
    </w:p>
    <w:p w:rsidR="00F93D41" w:rsidP="00C01392" w:rsidRDefault="00F93D41" w14:paraId="5DF5E65A" w14:textId="77777777">
      <w:pPr>
        <w:spacing w:line="240" w:lineRule="auto"/>
        <w:contextualSpacing/>
        <w:rPr>
          <w:rFonts w:cs="Calibri"/>
          <w:szCs w:val="18"/>
        </w:rPr>
      </w:pPr>
    </w:p>
    <w:p w:rsidRPr="004E01C8" w:rsidR="004E01C8" w:rsidP="00C01392" w:rsidRDefault="00C01392" w14:paraId="7B5B343B" w14:textId="6B958200">
      <w:pPr>
        <w:spacing w:line="240" w:lineRule="auto"/>
        <w:contextualSpacing/>
        <w:rPr>
          <w:rFonts w:cs="Calibri"/>
          <w:szCs w:val="18"/>
        </w:rPr>
      </w:pPr>
      <w:r w:rsidRPr="0050113F">
        <w:rPr>
          <w:rFonts w:cs="Calibri"/>
          <w:szCs w:val="18"/>
        </w:rPr>
        <w:t xml:space="preserve">Omdat goede erfgoedzorg een gezamenlijke opgave </w:t>
      </w:r>
      <w:r w:rsidR="0050113F">
        <w:rPr>
          <w:rFonts w:cs="Calibri"/>
          <w:szCs w:val="18"/>
        </w:rPr>
        <w:t xml:space="preserve">is </w:t>
      </w:r>
      <w:r w:rsidRPr="0050113F">
        <w:rPr>
          <w:rFonts w:cs="Calibri"/>
          <w:szCs w:val="18"/>
        </w:rPr>
        <w:t xml:space="preserve">van de drie overheidslagen, zijn </w:t>
      </w:r>
      <w:r w:rsidRPr="0050113F" w:rsidR="004E01C8">
        <w:rPr>
          <w:rFonts w:cs="Calibri"/>
          <w:szCs w:val="18"/>
        </w:rPr>
        <w:t xml:space="preserve">IPO, VNG en OCW </w:t>
      </w:r>
      <w:r w:rsidR="005C0369">
        <w:rPr>
          <w:rFonts w:cs="Calibri"/>
          <w:szCs w:val="18"/>
        </w:rPr>
        <w:t>het</w:t>
      </w:r>
      <w:r w:rsidRPr="0050113F" w:rsidR="004E01C8">
        <w:rPr>
          <w:rFonts w:cs="Calibri"/>
          <w:szCs w:val="18"/>
        </w:rPr>
        <w:t xml:space="preserve"> </w:t>
      </w:r>
      <w:r w:rsidR="007D7C0F">
        <w:rPr>
          <w:rFonts w:cs="Calibri"/>
          <w:szCs w:val="18"/>
        </w:rPr>
        <w:t>P</w:t>
      </w:r>
      <w:r w:rsidRPr="0050113F" w:rsidR="004E01C8">
        <w:rPr>
          <w:rFonts w:cs="Calibri"/>
          <w:szCs w:val="18"/>
        </w:rPr>
        <w:t>rogramma Erfgoed en Overheid</w:t>
      </w:r>
      <w:r w:rsidRPr="004E01C8" w:rsidR="004E01C8">
        <w:rPr>
          <w:rFonts w:cs="Calibri"/>
          <w:szCs w:val="18"/>
        </w:rPr>
        <w:t xml:space="preserve"> gestart. </w:t>
      </w:r>
      <w:r w:rsidR="00123159">
        <w:rPr>
          <w:rFonts w:cs="Calibri"/>
          <w:szCs w:val="18"/>
        </w:rPr>
        <w:t xml:space="preserve">Binnen dit </w:t>
      </w:r>
      <w:r w:rsidRPr="004E01C8" w:rsidR="004E01C8">
        <w:rPr>
          <w:rFonts w:cs="Calibri"/>
          <w:szCs w:val="18"/>
        </w:rPr>
        <w:t xml:space="preserve">programma </w:t>
      </w:r>
      <w:r w:rsidR="00123159">
        <w:rPr>
          <w:rFonts w:cs="Calibri"/>
          <w:szCs w:val="18"/>
        </w:rPr>
        <w:t xml:space="preserve">wordt </w:t>
      </w:r>
      <w:r w:rsidRPr="004E01C8" w:rsidR="004E01C8">
        <w:rPr>
          <w:rFonts w:cs="Calibri"/>
          <w:szCs w:val="18"/>
        </w:rPr>
        <w:t xml:space="preserve">zo dicht mogelijk aangesloten bij de dagelijkse </w:t>
      </w:r>
      <w:r w:rsidR="005562C3">
        <w:rPr>
          <w:rFonts w:cs="Calibri"/>
          <w:szCs w:val="18"/>
        </w:rPr>
        <w:t>beleids- en uitvoerings</w:t>
      </w:r>
      <w:r w:rsidRPr="004E01C8" w:rsidR="004E01C8">
        <w:rPr>
          <w:rFonts w:cs="Calibri"/>
          <w:szCs w:val="18"/>
        </w:rPr>
        <w:t xml:space="preserve">praktijk van </w:t>
      </w:r>
      <w:r w:rsidR="005562C3">
        <w:rPr>
          <w:rFonts w:cs="Calibri"/>
          <w:szCs w:val="18"/>
        </w:rPr>
        <w:t>gemeenten en provincies</w:t>
      </w:r>
      <w:r w:rsidR="00123159">
        <w:rPr>
          <w:rFonts w:cs="Calibri"/>
          <w:szCs w:val="18"/>
        </w:rPr>
        <w:t>.</w:t>
      </w:r>
      <w:r w:rsidRPr="004E01C8" w:rsidR="004E01C8">
        <w:rPr>
          <w:rFonts w:cs="Calibri"/>
          <w:szCs w:val="18"/>
        </w:rPr>
        <w:t xml:space="preserve"> </w:t>
      </w:r>
      <w:r w:rsidR="0020261B">
        <w:rPr>
          <w:rFonts w:cs="Calibri"/>
          <w:szCs w:val="18"/>
        </w:rPr>
        <w:t xml:space="preserve">Daarom is er </w:t>
      </w:r>
      <w:r w:rsidRPr="004E01C8" w:rsidR="004E01C8">
        <w:rPr>
          <w:rFonts w:cs="Calibri"/>
          <w:szCs w:val="18"/>
        </w:rPr>
        <w:t xml:space="preserve">gekozen voor een </w:t>
      </w:r>
      <w:r w:rsidR="00C06A70">
        <w:rPr>
          <w:rFonts w:cs="Calibri"/>
          <w:szCs w:val="18"/>
        </w:rPr>
        <w:t xml:space="preserve">adaptieve, </w:t>
      </w:r>
      <w:r w:rsidRPr="004E01C8" w:rsidR="004E01C8">
        <w:rPr>
          <w:rFonts w:cs="Calibri"/>
          <w:szCs w:val="18"/>
        </w:rPr>
        <w:t xml:space="preserve">gefaseerde aanpak waarbij eerst </w:t>
      </w:r>
      <w:r w:rsidR="0020261B">
        <w:rPr>
          <w:rFonts w:cs="Calibri"/>
          <w:szCs w:val="18"/>
        </w:rPr>
        <w:t>– via een uitgebreide inventarisatie</w:t>
      </w:r>
      <w:r w:rsidRPr="004E01C8" w:rsidR="0020261B">
        <w:rPr>
          <w:rStyle w:val="Voetnootmarkering"/>
          <w:rFonts w:cs="Calibri"/>
          <w:szCs w:val="18"/>
        </w:rPr>
        <w:footnoteReference w:id="2"/>
      </w:r>
      <w:r w:rsidR="0020261B">
        <w:rPr>
          <w:rFonts w:cs="Calibri"/>
          <w:szCs w:val="18"/>
        </w:rPr>
        <w:t xml:space="preserve"> – </w:t>
      </w:r>
      <w:r w:rsidRPr="004E01C8" w:rsidR="004E01C8">
        <w:rPr>
          <w:rFonts w:cs="Calibri"/>
          <w:szCs w:val="18"/>
        </w:rPr>
        <w:t>het</w:t>
      </w:r>
      <w:r w:rsidR="0020261B">
        <w:rPr>
          <w:rFonts w:cs="Calibri"/>
          <w:szCs w:val="18"/>
        </w:rPr>
        <w:t xml:space="preserve"> </w:t>
      </w:r>
      <w:r w:rsidRPr="004E01C8" w:rsidR="004E01C8">
        <w:rPr>
          <w:rFonts w:cs="Calibri"/>
          <w:szCs w:val="18"/>
        </w:rPr>
        <w:t xml:space="preserve">probleem nader in kaart is gebracht en </w:t>
      </w:r>
      <w:r w:rsidR="0020261B">
        <w:rPr>
          <w:rFonts w:cs="Calibri"/>
          <w:szCs w:val="18"/>
        </w:rPr>
        <w:t>ver</w:t>
      </w:r>
      <w:r w:rsidRPr="004E01C8" w:rsidR="004E01C8">
        <w:rPr>
          <w:rFonts w:cs="Calibri"/>
          <w:szCs w:val="18"/>
        </w:rPr>
        <w:t>volgens concret</w:t>
      </w:r>
      <w:r w:rsidR="00C90B0F">
        <w:rPr>
          <w:rFonts w:cs="Calibri"/>
          <w:szCs w:val="18"/>
        </w:rPr>
        <w:t>e</w:t>
      </w:r>
      <w:r w:rsidR="0020261B">
        <w:rPr>
          <w:rFonts w:cs="Calibri"/>
          <w:szCs w:val="18"/>
        </w:rPr>
        <w:t xml:space="preserve"> maatregelen </w:t>
      </w:r>
      <w:r w:rsidRPr="004E01C8" w:rsidR="004E01C8">
        <w:rPr>
          <w:rFonts w:cs="Calibri"/>
          <w:szCs w:val="18"/>
        </w:rPr>
        <w:t>word</w:t>
      </w:r>
      <w:r w:rsidR="0020261B">
        <w:rPr>
          <w:rFonts w:cs="Calibri"/>
          <w:szCs w:val="18"/>
        </w:rPr>
        <w:t>en</w:t>
      </w:r>
      <w:r w:rsidRPr="004E01C8" w:rsidR="004E01C8">
        <w:rPr>
          <w:rFonts w:cs="Calibri"/>
          <w:szCs w:val="18"/>
        </w:rPr>
        <w:t xml:space="preserve"> uitgewerkt</w:t>
      </w:r>
      <w:r w:rsidR="00CD7FBA">
        <w:rPr>
          <w:rFonts w:cs="Calibri"/>
          <w:szCs w:val="18"/>
        </w:rPr>
        <w:t>, zoals het co-financieren van</w:t>
      </w:r>
      <w:r w:rsidR="003B3609">
        <w:rPr>
          <w:rFonts w:cs="Calibri"/>
          <w:szCs w:val="18"/>
        </w:rPr>
        <w:t xml:space="preserve"> maatwerkprojecten waarmee gemeenten en provincies de basis voor hun erfgoedzorg kunnen versterken. </w:t>
      </w:r>
    </w:p>
    <w:p w:rsidRPr="004E01C8" w:rsidR="004E01C8" w:rsidP="00C01392" w:rsidRDefault="004E01C8" w14:paraId="455B4239" w14:textId="77777777">
      <w:pPr>
        <w:spacing w:line="240" w:lineRule="auto"/>
        <w:contextualSpacing/>
        <w:rPr>
          <w:rFonts w:cs="Calibri"/>
          <w:szCs w:val="18"/>
        </w:rPr>
      </w:pPr>
    </w:p>
    <w:p w:rsidRPr="004E01C8" w:rsidR="004E01C8" w:rsidP="00C01392" w:rsidRDefault="004E01C8" w14:paraId="17F0C0C5" w14:textId="77777777">
      <w:pPr>
        <w:spacing w:line="240" w:lineRule="auto"/>
        <w:contextualSpacing/>
        <w:rPr>
          <w:rFonts w:cs="Calibri"/>
          <w:b/>
          <w:bCs/>
          <w:szCs w:val="18"/>
        </w:rPr>
      </w:pPr>
      <w:r w:rsidRPr="004E01C8">
        <w:rPr>
          <w:rFonts w:cs="Calibri"/>
          <w:b/>
          <w:bCs/>
          <w:szCs w:val="18"/>
        </w:rPr>
        <w:t>Vraagstuk</w:t>
      </w:r>
    </w:p>
    <w:p w:rsidR="0096486D" w:rsidP="00196E79" w:rsidRDefault="004E01C8" w14:paraId="1C0255BB" w14:textId="50AD08FB">
      <w:pPr>
        <w:spacing w:line="240" w:lineRule="auto"/>
        <w:contextualSpacing/>
        <w:rPr>
          <w:rFonts w:cs="Calibri"/>
          <w:szCs w:val="18"/>
        </w:rPr>
      </w:pPr>
      <w:r w:rsidRPr="004E01C8">
        <w:rPr>
          <w:rFonts w:cs="Calibri"/>
          <w:szCs w:val="18"/>
        </w:rPr>
        <w:t xml:space="preserve">Om te bepalen welke verbeteringen nodig en mogelijk zijn </w:t>
      </w:r>
      <w:r w:rsidR="00382269">
        <w:rPr>
          <w:rFonts w:cs="Calibri"/>
          <w:szCs w:val="18"/>
        </w:rPr>
        <w:t>voor een toekomstbestendige</w:t>
      </w:r>
      <w:r w:rsidRPr="004E01C8">
        <w:rPr>
          <w:rFonts w:cs="Calibri"/>
          <w:szCs w:val="18"/>
        </w:rPr>
        <w:t xml:space="preserve"> erfgoedzorg</w:t>
      </w:r>
      <w:r w:rsidR="00382269">
        <w:rPr>
          <w:rFonts w:cs="Calibri"/>
          <w:szCs w:val="18"/>
        </w:rPr>
        <w:t xml:space="preserve"> vanuit de drie overheidslagen</w:t>
      </w:r>
      <w:r w:rsidRPr="004E01C8">
        <w:rPr>
          <w:rFonts w:cs="Calibri"/>
          <w:szCs w:val="18"/>
        </w:rPr>
        <w:t xml:space="preserve">, </w:t>
      </w:r>
      <w:r w:rsidR="003612E3">
        <w:rPr>
          <w:rFonts w:cs="Calibri"/>
          <w:szCs w:val="18"/>
        </w:rPr>
        <w:t>is er</w:t>
      </w:r>
      <w:r w:rsidRPr="004E01C8">
        <w:rPr>
          <w:rFonts w:cs="Calibri"/>
          <w:szCs w:val="18"/>
        </w:rPr>
        <w:t xml:space="preserve"> behoefte aan </w:t>
      </w:r>
      <w:r w:rsidR="003612E3">
        <w:rPr>
          <w:rFonts w:cs="Calibri"/>
          <w:szCs w:val="18"/>
        </w:rPr>
        <w:t>onafhankelijk</w:t>
      </w:r>
      <w:r w:rsidRPr="004E01C8">
        <w:rPr>
          <w:rFonts w:cs="Calibri"/>
          <w:szCs w:val="18"/>
        </w:rPr>
        <w:t xml:space="preserve"> inzicht in </w:t>
      </w:r>
      <w:r w:rsidR="00196E79">
        <w:rPr>
          <w:rFonts w:cs="Calibri"/>
          <w:szCs w:val="18"/>
        </w:rPr>
        <w:t>hoe gemeenten, provincies en het rijk gezamenlijk de erfgoedzorg toekomstgericht kunnen vormgeven en borgen</w:t>
      </w:r>
      <w:r w:rsidR="000C13A8">
        <w:rPr>
          <w:rFonts w:cs="Calibri"/>
          <w:szCs w:val="18"/>
        </w:rPr>
        <w:t>. Daarbij</w:t>
      </w:r>
      <w:r w:rsidR="00196E79">
        <w:rPr>
          <w:rFonts w:cs="Calibri"/>
          <w:szCs w:val="18"/>
        </w:rPr>
        <w:t xml:space="preserve"> </w:t>
      </w:r>
      <w:r w:rsidR="00AD0118">
        <w:rPr>
          <w:rFonts w:cs="Calibri"/>
          <w:szCs w:val="18"/>
        </w:rPr>
        <w:t>rekening houdend met</w:t>
      </w:r>
      <w:r w:rsidRPr="00382269" w:rsidR="00382269">
        <w:rPr>
          <w:rFonts w:cs="Calibri"/>
          <w:szCs w:val="18"/>
        </w:rPr>
        <w:t xml:space="preserve"> de dagelijkse dynamiek, </w:t>
      </w:r>
      <w:r w:rsidR="00196E79">
        <w:rPr>
          <w:rFonts w:cs="Calibri"/>
          <w:szCs w:val="18"/>
        </w:rPr>
        <w:t>waarbij</w:t>
      </w:r>
      <w:r w:rsidRPr="00382269" w:rsidR="00382269">
        <w:rPr>
          <w:rFonts w:cs="Calibri"/>
          <w:szCs w:val="18"/>
        </w:rPr>
        <w:t xml:space="preserve"> er veel afkomt op overheidsorganisaties</w:t>
      </w:r>
      <w:r w:rsidR="0096486D">
        <w:rPr>
          <w:rFonts w:cs="Calibri"/>
          <w:szCs w:val="18"/>
        </w:rPr>
        <w:t xml:space="preserve"> en de uitvoeringsproblematiek zich per bestuurslaag wezenlijk anders manifest</w:t>
      </w:r>
      <w:r w:rsidR="00D974D1">
        <w:rPr>
          <w:rFonts w:cs="Calibri"/>
          <w:szCs w:val="18"/>
        </w:rPr>
        <w:t>e</w:t>
      </w:r>
      <w:r w:rsidR="0096486D">
        <w:rPr>
          <w:rFonts w:cs="Calibri"/>
          <w:szCs w:val="18"/>
        </w:rPr>
        <w:t>er</w:t>
      </w:r>
      <w:r w:rsidR="00D974D1">
        <w:rPr>
          <w:rFonts w:cs="Calibri"/>
          <w:szCs w:val="18"/>
        </w:rPr>
        <w:t>t</w:t>
      </w:r>
      <w:r w:rsidR="0096486D">
        <w:rPr>
          <w:rFonts w:cs="Calibri"/>
          <w:szCs w:val="18"/>
        </w:rPr>
        <w:t xml:space="preserve">. </w:t>
      </w:r>
    </w:p>
    <w:p w:rsidR="0096486D" w:rsidP="00196E79" w:rsidRDefault="0096486D" w14:paraId="42BFF6CF" w14:textId="77777777">
      <w:pPr>
        <w:spacing w:line="240" w:lineRule="auto"/>
        <w:contextualSpacing/>
        <w:rPr>
          <w:rFonts w:cs="Calibri"/>
          <w:szCs w:val="18"/>
        </w:rPr>
      </w:pPr>
    </w:p>
    <w:p w:rsidR="00473580" w:rsidP="00C01392" w:rsidRDefault="00196E79" w14:paraId="00580F0A" w14:textId="4FDF751F">
      <w:pPr>
        <w:spacing w:line="240" w:lineRule="auto"/>
        <w:contextualSpacing/>
        <w:rPr>
          <w:rFonts w:cs="Calibri"/>
          <w:szCs w:val="18"/>
        </w:rPr>
      </w:pPr>
      <w:r>
        <w:rPr>
          <w:rFonts w:cs="Calibri"/>
          <w:szCs w:val="18"/>
        </w:rPr>
        <w:t xml:space="preserve">Het </w:t>
      </w:r>
      <w:r w:rsidR="001708D7">
        <w:rPr>
          <w:rFonts w:cs="Calibri"/>
          <w:szCs w:val="18"/>
        </w:rPr>
        <w:t xml:space="preserve">gaat </w:t>
      </w:r>
      <w:r>
        <w:rPr>
          <w:rFonts w:cs="Calibri"/>
          <w:szCs w:val="18"/>
        </w:rPr>
        <w:t>bij</w:t>
      </w:r>
      <w:r w:rsidR="000C13A8">
        <w:rPr>
          <w:rFonts w:cs="Calibri"/>
          <w:szCs w:val="18"/>
        </w:rPr>
        <w:t xml:space="preserve"> dit vraagstuk</w:t>
      </w:r>
      <w:r>
        <w:rPr>
          <w:rFonts w:cs="Calibri"/>
          <w:szCs w:val="18"/>
        </w:rPr>
        <w:t xml:space="preserve"> </w:t>
      </w:r>
      <w:r w:rsidR="001708D7">
        <w:rPr>
          <w:rFonts w:cs="Calibri"/>
          <w:szCs w:val="18"/>
        </w:rPr>
        <w:t xml:space="preserve">specifiek om de </w:t>
      </w:r>
      <w:r w:rsidRPr="00382269" w:rsidR="004E01C8">
        <w:rPr>
          <w:rFonts w:cs="Calibri"/>
          <w:szCs w:val="18"/>
        </w:rPr>
        <w:t>taken</w:t>
      </w:r>
      <w:r w:rsidR="00AD0118">
        <w:rPr>
          <w:rFonts w:cs="Calibri"/>
          <w:szCs w:val="18"/>
        </w:rPr>
        <w:t xml:space="preserve"> en rollen</w:t>
      </w:r>
      <w:r w:rsidRPr="00382269" w:rsidR="004E01C8">
        <w:rPr>
          <w:rFonts w:cs="Calibri"/>
          <w:szCs w:val="18"/>
        </w:rPr>
        <w:t xml:space="preserve"> die provincies</w:t>
      </w:r>
      <w:r w:rsidRPr="00382269" w:rsidR="0050113F">
        <w:rPr>
          <w:rFonts w:cs="Calibri"/>
          <w:szCs w:val="18"/>
        </w:rPr>
        <w:t>,</w:t>
      </w:r>
      <w:r w:rsidRPr="00382269" w:rsidR="004E01C8">
        <w:rPr>
          <w:rFonts w:cs="Calibri"/>
          <w:szCs w:val="18"/>
        </w:rPr>
        <w:t xml:space="preserve"> gemeenten </w:t>
      </w:r>
      <w:r w:rsidRPr="00382269" w:rsidR="0050113F">
        <w:rPr>
          <w:rFonts w:cs="Calibri"/>
          <w:szCs w:val="18"/>
        </w:rPr>
        <w:t>en het rijk</w:t>
      </w:r>
      <w:r w:rsidR="00AD0118">
        <w:rPr>
          <w:rFonts w:cs="Calibri"/>
          <w:szCs w:val="18"/>
        </w:rPr>
        <w:t xml:space="preserve"> </w:t>
      </w:r>
      <w:r w:rsidRPr="00382269" w:rsidR="004E01C8">
        <w:rPr>
          <w:rFonts w:cs="Calibri"/>
          <w:szCs w:val="18"/>
        </w:rPr>
        <w:t xml:space="preserve">hebben </w:t>
      </w:r>
      <w:r w:rsidR="00AD0118">
        <w:rPr>
          <w:rFonts w:cs="Calibri"/>
          <w:szCs w:val="18"/>
        </w:rPr>
        <w:t>binnen</w:t>
      </w:r>
      <w:r w:rsidRPr="00382269" w:rsidR="004E01C8">
        <w:rPr>
          <w:rFonts w:cs="Calibri"/>
          <w:szCs w:val="18"/>
        </w:rPr>
        <w:t xml:space="preserve"> de stelsels van </w:t>
      </w:r>
      <w:r w:rsidRPr="00382269" w:rsidR="0050113F">
        <w:rPr>
          <w:rFonts w:cs="Calibri"/>
          <w:szCs w:val="18"/>
        </w:rPr>
        <w:t>de E</w:t>
      </w:r>
      <w:r w:rsidRPr="00382269" w:rsidR="004E01C8">
        <w:rPr>
          <w:rFonts w:cs="Calibri"/>
          <w:szCs w:val="18"/>
        </w:rPr>
        <w:t>rfgoed</w:t>
      </w:r>
      <w:r w:rsidRPr="00382269" w:rsidR="0050113F">
        <w:rPr>
          <w:rFonts w:cs="Calibri"/>
          <w:szCs w:val="18"/>
        </w:rPr>
        <w:t>wet en de Omgevingswet</w:t>
      </w:r>
      <w:r w:rsidRPr="00382269" w:rsidR="00382269">
        <w:rPr>
          <w:rFonts w:cs="Calibri"/>
          <w:szCs w:val="18"/>
        </w:rPr>
        <w:t>.</w:t>
      </w:r>
      <w:r w:rsidR="00AD0118">
        <w:rPr>
          <w:rStyle w:val="Voetnootmarkering"/>
          <w:rFonts w:cs="Calibri"/>
          <w:szCs w:val="18"/>
        </w:rPr>
        <w:footnoteReference w:id="3"/>
      </w:r>
      <w:r w:rsidRPr="00382269" w:rsidR="00AD0118">
        <w:rPr>
          <w:rFonts w:cs="Calibri"/>
          <w:szCs w:val="18"/>
        </w:rPr>
        <w:t xml:space="preserve"> </w:t>
      </w:r>
      <w:r w:rsidR="001708D7">
        <w:rPr>
          <w:rFonts w:cs="Calibri"/>
          <w:szCs w:val="18"/>
        </w:rPr>
        <w:t>Ondanks dat het takenpakket voor erfgoed breder is, richt het Programma Erfgoed en Overheid zich op erfgoed in de fysieke leefomgeving. De</w:t>
      </w:r>
      <w:r>
        <w:rPr>
          <w:rFonts w:cs="Calibri"/>
          <w:szCs w:val="18"/>
        </w:rPr>
        <w:t>ze</w:t>
      </w:r>
      <w:r w:rsidR="001708D7">
        <w:rPr>
          <w:rFonts w:cs="Calibri"/>
          <w:szCs w:val="18"/>
        </w:rPr>
        <w:t xml:space="preserve"> adviesvraag heeft daarom </w:t>
      </w:r>
      <w:r w:rsidR="00473580">
        <w:rPr>
          <w:rFonts w:cs="Calibri"/>
          <w:szCs w:val="18"/>
        </w:rPr>
        <w:t xml:space="preserve">specifiek </w:t>
      </w:r>
      <w:r w:rsidR="001708D7">
        <w:rPr>
          <w:rFonts w:cs="Calibri"/>
          <w:szCs w:val="18"/>
        </w:rPr>
        <w:t xml:space="preserve">betrekking op de </w:t>
      </w:r>
      <w:r w:rsidRPr="00C01392" w:rsidR="001708D7">
        <w:rPr>
          <w:rFonts w:cs="Calibri"/>
          <w:szCs w:val="18"/>
        </w:rPr>
        <w:t>drie brede domeinen van onroerend</w:t>
      </w:r>
      <w:r w:rsidRPr="004E01C8" w:rsidR="001708D7">
        <w:rPr>
          <w:rFonts w:cs="Calibri"/>
          <w:szCs w:val="18"/>
        </w:rPr>
        <w:t xml:space="preserve"> cultureel erfgoed: (1) archeologie, (2) gebouwd en aangelegd erfgoed en (3) stedenbouw en landschap.</w:t>
      </w:r>
      <w:r w:rsidR="00473580">
        <w:rPr>
          <w:rFonts w:cs="Calibri"/>
          <w:szCs w:val="18"/>
        </w:rPr>
        <w:t xml:space="preserve"> </w:t>
      </w:r>
    </w:p>
    <w:p w:rsidR="00C01392" w:rsidP="00C01392" w:rsidRDefault="00C01392" w14:paraId="1714393E" w14:textId="77777777">
      <w:pPr>
        <w:spacing w:line="240" w:lineRule="auto"/>
        <w:contextualSpacing/>
        <w:rPr>
          <w:rFonts w:cs="Calibri"/>
          <w:szCs w:val="18"/>
        </w:rPr>
      </w:pPr>
    </w:p>
    <w:p w:rsidR="000C13A8" w:rsidP="00AC61B7" w:rsidRDefault="008705A8" w14:paraId="14EB12DE" w14:textId="67833125">
      <w:pPr>
        <w:spacing w:line="240" w:lineRule="auto"/>
        <w:contextualSpacing/>
        <w:rPr>
          <w:rFonts w:cs="Calibri"/>
          <w:szCs w:val="18"/>
        </w:rPr>
      </w:pPr>
      <w:r>
        <w:rPr>
          <w:rFonts w:cs="Calibri"/>
          <w:szCs w:val="18"/>
        </w:rPr>
        <w:t>B</w:t>
      </w:r>
      <w:r w:rsidR="00C01392">
        <w:rPr>
          <w:rFonts w:cs="Calibri"/>
          <w:szCs w:val="18"/>
        </w:rPr>
        <w:t xml:space="preserve">ij het </w:t>
      </w:r>
      <w:r w:rsidRPr="004E01C8" w:rsidR="004E01C8">
        <w:rPr>
          <w:rFonts w:cs="Calibri"/>
          <w:szCs w:val="18"/>
        </w:rPr>
        <w:t xml:space="preserve">beantwoorden van de vragen en het formuleren van </w:t>
      </w:r>
      <w:r w:rsidR="00AD0118">
        <w:rPr>
          <w:rFonts w:cs="Calibri"/>
          <w:szCs w:val="18"/>
        </w:rPr>
        <w:t>uw</w:t>
      </w:r>
      <w:r w:rsidRPr="004E01C8" w:rsidR="004E01C8">
        <w:rPr>
          <w:rFonts w:cs="Calibri"/>
          <w:szCs w:val="18"/>
        </w:rPr>
        <w:t xml:space="preserve"> advies</w:t>
      </w:r>
      <w:r>
        <w:rPr>
          <w:rFonts w:cs="Calibri"/>
          <w:szCs w:val="18"/>
        </w:rPr>
        <w:t xml:space="preserve">, vraag ik u om </w:t>
      </w:r>
      <w:r w:rsidRPr="00B8014B">
        <w:rPr>
          <w:rFonts w:cs="Calibri"/>
          <w:szCs w:val="18"/>
        </w:rPr>
        <w:t>er</w:t>
      </w:r>
      <w:r w:rsidRPr="00B8014B" w:rsidR="00473580">
        <w:rPr>
          <w:rFonts w:cs="Calibri"/>
          <w:szCs w:val="18"/>
        </w:rPr>
        <w:t xml:space="preserve"> </w:t>
      </w:r>
      <w:r w:rsidRPr="00B8014B" w:rsidR="00AC61B7">
        <w:rPr>
          <w:rFonts w:cs="Calibri"/>
          <w:szCs w:val="18"/>
        </w:rPr>
        <w:t xml:space="preserve">zoveel mogelijk rekening mee te houden dat uit de diverse beleidsdoorlichtingen </w:t>
      </w:r>
      <w:r w:rsidRPr="00B8014B">
        <w:rPr>
          <w:rFonts w:cs="Calibri"/>
          <w:szCs w:val="18"/>
        </w:rPr>
        <w:t xml:space="preserve">blijkt </w:t>
      </w:r>
      <w:r w:rsidRPr="00B8014B" w:rsidR="00AC61B7">
        <w:rPr>
          <w:rFonts w:cs="Calibri"/>
          <w:szCs w:val="18"/>
        </w:rPr>
        <w:t>dat het erfgoedstelsel in de basis werkt</w:t>
      </w:r>
      <w:r w:rsidRPr="00B8014B" w:rsidR="000E4A75">
        <w:rPr>
          <w:rFonts w:cs="Calibri"/>
          <w:szCs w:val="18"/>
        </w:rPr>
        <w:t>.</w:t>
      </w:r>
      <w:r w:rsidRPr="00B8014B" w:rsidR="00AC61B7">
        <w:rPr>
          <w:rFonts w:cs="Calibri"/>
          <w:szCs w:val="18"/>
        </w:rPr>
        <w:t xml:space="preserve"> </w:t>
      </w:r>
      <w:r w:rsidRPr="00B8014B">
        <w:rPr>
          <w:rFonts w:cs="Calibri"/>
          <w:szCs w:val="18"/>
        </w:rPr>
        <w:t>O</w:t>
      </w:r>
      <w:r w:rsidRPr="00B8014B" w:rsidR="00AC61B7">
        <w:rPr>
          <w:rFonts w:cs="Calibri"/>
          <w:szCs w:val="18"/>
        </w:rPr>
        <w:t xml:space="preserve">m tot </w:t>
      </w:r>
      <w:r w:rsidRPr="00B8014B">
        <w:rPr>
          <w:rFonts w:cs="Calibri"/>
          <w:szCs w:val="18"/>
        </w:rPr>
        <w:t xml:space="preserve">verbetering van de </w:t>
      </w:r>
      <w:r w:rsidRPr="00B8014B" w:rsidR="00AC61B7">
        <w:rPr>
          <w:rFonts w:cs="Calibri"/>
          <w:szCs w:val="18"/>
        </w:rPr>
        <w:t>uitvoering te komen</w:t>
      </w:r>
      <w:r w:rsidRPr="00B8014B">
        <w:rPr>
          <w:rFonts w:cs="Calibri"/>
          <w:szCs w:val="18"/>
        </w:rPr>
        <w:t xml:space="preserve"> ga ik daarom uit van behoud van de huidige stelselarchitectuur</w:t>
      </w:r>
      <w:r w:rsidRPr="00B8014B" w:rsidR="003A224C">
        <w:rPr>
          <w:rFonts w:cs="Calibri"/>
          <w:szCs w:val="18"/>
        </w:rPr>
        <w:t xml:space="preserve">. </w:t>
      </w:r>
    </w:p>
    <w:p w:rsidR="004E01C8" w:rsidP="00C01392" w:rsidRDefault="004E01C8" w14:paraId="05A55B99" w14:textId="77777777">
      <w:pPr>
        <w:spacing w:line="240" w:lineRule="auto"/>
        <w:contextualSpacing/>
        <w:rPr>
          <w:rFonts w:cs="Calibri"/>
          <w:szCs w:val="18"/>
        </w:rPr>
      </w:pPr>
    </w:p>
    <w:p w:rsidRPr="004E01C8" w:rsidR="004E01C8" w:rsidP="00C01392" w:rsidRDefault="004E01C8" w14:paraId="4107F865" w14:textId="5EBFF84C">
      <w:pPr>
        <w:spacing w:line="240" w:lineRule="auto"/>
        <w:contextualSpacing/>
        <w:rPr>
          <w:rFonts w:cs="Calibri"/>
          <w:szCs w:val="18"/>
        </w:rPr>
      </w:pPr>
      <w:r w:rsidRPr="004E01C8">
        <w:rPr>
          <w:rFonts w:cs="Calibri"/>
          <w:szCs w:val="18"/>
        </w:rPr>
        <w:t xml:space="preserve">Concrete vragen aan uw Raad zijn: </w:t>
      </w:r>
    </w:p>
    <w:p w:rsidRPr="00E64975" w:rsidR="00E64975" w:rsidP="00E64975" w:rsidRDefault="00E64975" w14:paraId="5F982672" w14:textId="77777777">
      <w:pPr>
        <w:pStyle w:val="Lijstalinea"/>
        <w:numPr>
          <w:ilvl w:val="0"/>
          <w:numId w:val="15"/>
        </w:numPr>
        <w:spacing w:line="240" w:lineRule="auto"/>
        <w:rPr>
          <w:rFonts w:cs="Calibri"/>
          <w:szCs w:val="18"/>
        </w:rPr>
      </w:pPr>
      <w:r w:rsidRPr="00E64975">
        <w:rPr>
          <w:rFonts w:ascii="Verdana" w:hAnsi="Verdana" w:cs="Calibri"/>
          <w:sz w:val="18"/>
          <w:szCs w:val="18"/>
        </w:rPr>
        <w:t xml:space="preserve">Kan uw Raad kwalificeren en kwantificeren welke eisen het Nederlandse erfgoedstelsel (en de geratificeerde internationale verdragen waarop dit is gebaseerd) stelt aan ‘goede erfgoedzorg’? </w:t>
      </w:r>
    </w:p>
    <w:p w:rsidR="00E64975" w:rsidP="00C01392" w:rsidRDefault="00E64975" w14:paraId="08847A85" w14:textId="581CA8B4">
      <w:pPr>
        <w:pStyle w:val="Lijstalinea"/>
        <w:numPr>
          <w:ilvl w:val="0"/>
          <w:numId w:val="15"/>
        </w:numPr>
        <w:spacing w:line="240" w:lineRule="auto"/>
        <w:rPr>
          <w:rFonts w:ascii="Verdana" w:hAnsi="Verdana" w:cs="Calibri"/>
          <w:sz w:val="18"/>
          <w:szCs w:val="18"/>
        </w:rPr>
      </w:pPr>
      <w:r>
        <w:rPr>
          <w:rFonts w:ascii="Verdana" w:hAnsi="Verdana" w:cs="Calibri"/>
          <w:sz w:val="18"/>
          <w:szCs w:val="18"/>
        </w:rPr>
        <w:t xml:space="preserve">Welke </w:t>
      </w:r>
      <w:r w:rsidR="005B1BF1">
        <w:rPr>
          <w:rFonts w:ascii="Verdana" w:hAnsi="Verdana" w:cs="Calibri"/>
          <w:sz w:val="18"/>
          <w:szCs w:val="18"/>
        </w:rPr>
        <w:t xml:space="preserve">concrete </w:t>
      </w:r>
      <w:r>
        <w:rPr>
          <w:rFonts w:ascii="Verdana" w:hAnsi="Verdana" w:cs="Calibri"/>
          <w:sz w:val="18"/>
          <w:szCs w:val="18"/>
        </w:rPr>
        <w:t>rollen, taken en verantwoordelijkheden (wettelijk en aanvullend) hebben gemeenten, provincies en het rijk</w:t>
      </w:r>
      <w:r w:rsidR="00AC61B7">
        <w:rPr>
          <w:rFonts w:ascii="Verdana" w:hAnsi="Verdana" w:cs="Calibri"/>
          <w:sz w:val="18"/>
          <w:szCs w:val="18"/>
        </w:rPr>
        <w:t xml:space="preserve"> </w:t>
      </w:r>
      <w:r w:rsidRPr="004E01C8">
        <w:rPr>
          <w:rFonts w:ascii="Verdana" w:hAnsi="Verdana" w:cs="Calibri"/>
          <w:sz w:val="18"/>
          <w:szCs w:val="18"/>
        </w:rPr>
        <w:t xml:space="preserve">binnen </w:t>
      </w:r>
      <w:r>
        <w:rPr>
          <w:rFonts w:ascii="Verdana" w:hAnsi="Verdana" w:cs="Calibri"/>
          <w:sz w:val="18"/>
          <w:szCs w:val="18"/>
        </w:rPr>
        <w:t>dit</w:t>
      </w:r>
      <w:r w:rsidRPr="004E01C8">
        <w:rPr>
          <w:rFonts w:ascii="Verdana" w:hAnsi="Verdana" w:cs="Calibri"/>
          <w:sz w:val="18"/>
          <w:szCs w:val="18"/>
        </w:rPr>
        <w:t xml:space="preserve"> stelsel, waarvan de Erfgoedwet en de Omgevingswet de pijlers zijn?</w:t>
      </w:r>
    </w:p>
    <w:p w:rsidR="004E01C8" w:rsidP="00C01392" w:rsidRDefault="004E01C8" w14:paraId="4CE137C9" w14:textId="0AC8F8BC">
      <w:pPr>
        <w:pStyle w:val="Lijstalinea"/>
        <w:numPr>
          <w:ilvl w:val="0"/>
          <w:numId w:val="15"/>
        </w:numPr>
        <w:spacing w:line="240" w:lineRule="auto"/>
        <w:rPr>
          <w:rFonts w:ascii="Verdana" w:hAnsi="Verdana" w:cs="Calibri"/>
          <w:sz w:val="18"/>
          <w:szCs w:val="18"/>
        </w:rPr>
      </w:pPr>
      <w:r w:rsidRPr="004E01C8">
        <w:rPr>
          <w:rFonts w:ascii="Verdana" w:hAnsi="Verdana" w:cs="Calibri"/>
          <w:sz w:val="18"/>
          <w:szCs w:val="18"/>
        </w:rPr>
        <w:t>Wat zijn actuele (inhoudelijke en organisatorische) opgaven, bijvoorbeeld de grote ruimtelijke transities en financiële uitdagingen, en hoe zijn deze volgens uw Raad van invloed op de erfgoedzorg?</w:t>
      </w:r>
    </w:p>
    <w:p w:rsidR="009D1695" w:rsidP="00C01392" w:rsidRDefault="009D1695" w14:paraId="254D53F4" w14:textId="14716850">
      <w:pPr>
        <w:pStyle w:val="Lijstalinea"/>
        <w:numPr>
          <w:ilvl w:val="0"/>
          <w:numId w:val="15"/>
        </w:numPr>
        <w:spacing w:line="240" w:lineRule="auto"/>
        <w:rPr>
          <w:rFonts w:ascii="Verdana" w:hAnsi="Verdana" w:cs="Calibri"/>
          <w:sz w:val="18"/>
          <w:szCs w:val="18"/>
        </w:rPr>
      </w:pPr>
      <w:r>
        <w:rPr>
          <w:rFonts w:ascii="Verdana" w:hAnsi="Verdana" w:cs="Calibri"/>
          <w:sz w:val="18"/>
          <w:szCs w:val="18"/>
        </w:rPr>
        <w:t xml:space="preserve">Welke status krijgt erfgoed in bestuurlijke en ruimtelijke afwegingen binnen het brede domein van omgevingskwaliteit? Hoe kan erfgoed als </w:t>
      </w:r>
      <w:r w:rsidR="009A14D0">
        <w:rPr>
          <w:rFonts w:ascii="Verdana" w:hAnsi="Verdana" w:cs="Calibri"/>
          <w:sz w:val="18"/>
          <w:szCs w:val="18"/>
        </w:rPr>
        <w:t xml:space="preserve">breed </w:t>
      </w:r>
      <w:r>
        <w:rPr>
          <w:rFonts w:ascii="Verdana" w:hAnsi="Verdana" w:cs="Calibri"/>
          <w:sz w:val="18"/>
          <w:szCs w:val="18"/>
        </w:rPr>
        <w:t>publiek belang beter worden verankerd in ruimtelijke besluitvorming</w:t>
      </w:r>
      <w:r w:rsidR="00C7275B">
        <w:rPr>
          <w:rFonts w:ascii="Verdana" w:hAnsi="Verdana" w:cs="Calibri"/>
          <w:sz w:val="18"/>
          <w:szCs w:val="18"/>
        </w:rPr>
        <w:t xml:space="preserve"> en hoe kan </w:t>
      </w:r>
      <w:r w:rsidR="00230338">
        <w:rPr>
          <w:rFonts w:ascii="Verdana" w:hAnsi="Verdana" w:cs="Calibri"/>
          <w:sz w:val="18"/>
          <w:szCs w:val="18"/>
        </w:rPr>
        <w:t>samenwerking tussen overheden daarbij de positie van erfgoedbelangen versterken</w:t>
      </w:r>
      <w:r>
        <w:rPr>
          <w:rFonts w:ascii="Verdana" w:hAnsi="Verdana" w:cs="Calibri"/>
          <w:sz w:val="18"/>
          <w:szCs w:val="18"/>
        </w:rPr>
        <w:t>?</w:t>
      </w:r>
    </w:p>
    <w:p w:rsidR="00F95358" w:rsidP="00F95358" w:rsidRDefault="00F95358" w14:paraId="0CDEBD84" w14:textId="77777777">
      <w:pPr>
        <w:pStyle w:val="Lijstalinea"/>
        <w:numPr>
          <w:ilvl w:val="0"/>
          <w:numId w:val="15"/>
        </w:numPr>
        <w:spacing w:line="240" w:lineRule="auto"/>
        <w:rPr>
          <w:rFonts w:ascii="Verdana" w:hAnsi="Verdana" w:cs="Calibri"/>
          <w:sz w:val="18"/>
          <w:szCs w:val="18"/>
        </w:rPr>
      </w:pPr>
      <w:r>
        <w:rPr>
          <w:rFonts w:ascii="Verdana" w:hAnsi="Verdana" w:cs="Calibri"/>
          <w:sz w:val="18"/>
          <w:szCs w:val="18"/>
        </w:rPr>
        <w:t>Hoe kan volgens uw Raad het bestuurlijk draagvlak voor erfgoedzorg worden vergroot?</w:t>
      </w:r>
    </w:p>
    <w:p w:rsidR="00AC61B7" w:rsidP="00AC61B7" w:rsidRDefault="00AC61B7" w14:paraId="2A4E08B1" w14:textId="2CAEEFA3">
      <w:pPr>
        <w:pStyle w:val="Lijstalinea"/>
        <w:numPr>
          <w:ilvl w:val="0"/>
          <w:numId w:val="15"/>
        </w:numPr>
        <w:spacing w:line="240" w:lineRule="auto"/>
        <w:rPr>
          <w:rFonts w:ascii="Verdana" w:hAnsi="Verdana" w:cs="Calibri"/>
          <w:sz w:val="18"/>
          <w:szCs w:val="18"/>
        </w:rPr>
      </w:pPr>
      <w:r w:rsidRPr="004E01C8">
        <w:rPr>
          <w:rFonts w:ascii="Verdana" w:hAnsi="Verdana" w:cs="Calibri"/>
          <w:sz w:val="18"/>
          <w:szCs w:val="18"/>
        </w:rPr>
        <w:t xml:space="preserve">Hoe kunnen </w:t>
      </w:r>
      <w:r>
        <w:rPr>
          <w:rFonts w:ascii="Verdana" w:hAnsi="Verdana" w:cs="Calibri"/>
          <w:sz w:val="18"/>
          <w:szCs w:val="18"/>
        </w:rPr>
        <w:t xml:space="preserve">overheden </w:t>
      </w:r>
      <w:r w:rsidRPr="004E01C8">
        <w:rPr>
          <w:rFonts w:ascii="Verdana" w:hAnsi="Verdana" w:cs="Calibri"/>
          <w:sz w:val="18"/>
          <w:szCs w:val="18"/>
        </w:rPr>
        <w:t>binnen de</w:t>
      </w:r>
      <w:r>
        <w:rPr>
          <w:rFonts w:ascii="Verdana" w:hAnsi="Verdana" w:cs="Calibri"/>
          <w:sz w:val="18"/>
          <w:szCs w:val="18"/>
        </w:rPr>
        <w:t>ze</w:t>
      </w:r>
      <w:r w:rsidRPr="004E01C8">
        <w:rPr>
          <w:rFonts w:ascii="Verdana" w:hAnsi="Verdana" w:cs="Calibri"/>
          <w:sz w:val="18"/>
          <w:szCs w:val="18"/>
        </w:rPr>
        <w:t xml:space="preserve"> context voldoende aandacht geven aan en inzet plegen op erfgoed? Welke aangrijpingspunten zijn er om </w:t>
      </w:r>
      <w:r>
        <w:rPr>
          <w:rFonts w:ascii="Verdana" w:hAnsi="Verdana" w:cs="Calibri"/>
          <w:sz w:val="18"/>
          <w:szCs w:val="18"/>
        </w:rPr>
        <w:t xml:space="preserve">binnen deze dynamiek </w:t>
      </w:r>
      <w:r w:rsidRPr="004E01C8">
        <w:rPr>
          <w:rFonts w:ascii="Verdana" w:hAnsi="Verdana" w:cs="Calibri"/>
          <w:sz w:val="18"/>
          <w:szCs w:val="18"/>
        </w:rPr>
        <w:t>evenredige prior</w:t>
      </w:r>
      <w:r w:rsidR="005B1BF1">
        <w:rPr>
          <w:rFonts w:ascii="Verdana" w:hAnsi="Verdana" w:cs="Calibri"/>
          <w:sz w:val="18"/>
          <w:szCs w:val="18"/>
        </w:rPr>
        <w:t>i</w:t>
      </w:r>
      <w:r w:rsidRPr="004E01C8">
        <w:rPr>
          <w:rFonts w:ascii="Verdana" w:hAnsi="Verdana" w:cs="Calibri"/>
          <w:sz w:val="18"/>
          <w:szCs w:val="18"/>
        </w:rPr>
        <w:t>te</w:t>
      </w:r>
      <w:r w:rsidR="005B1BF1">
        <w:rPr>
          <w:rFonts w:ascii="Verdana" w:hAnsi="Verdana" w:cs="Calibri"/>
          <w:sz w:val="18"/>
          <w:szCs w:val="18"/>
        </w:rPr>
        <w:t>i</w:t>
      </w:r>
      <w:r w:rsidRPr="004E01C8">
        <w:rPr>
          <w:rFonts w:ascii="Verdana" w:hAnsi="Verdana" w:cs="Calibri"/>
          <w:sz w:val="18"/>
          <w:szCs w:val="18"/>
        </w:rPr>
        <w:t xml:space="preserve">t te geven aan erfgoedzorg? </w:t>
      </w:r>
    </w:p>
    <w:p w:rsidRPr="004E01C8" w:rsidR="00AC61B7" w:rsidP="00AC61B7" w:rsidRDefault="00AC61B7" w14:paraId="4171F912" w14:textId="6383C78F">
      <w:pPr>
        <w:pStyle w:val="Lijstalinea"/>
        <w:numPr>
          <w:ilvl w:val="0"/>
          <w:numId w:val="15"/>
        </w:numPr>
        <w:spacing w:line="240" w:lineRule="auto"/>
        <w:rPr>
          <w:rFonts w:ascii="Verdana" w:hAnsi="Verdana" w:cs="Calibri"/>
          <w:sz w:val="18"/>
          <w:szCs w:val="18"/>
        </w:rPr>
      </w:pPr>
      <w:r w:rsidRPr="004E01C8">
        <w:rPr>
          <w:rFonts w:ascii="Verdana" w:hAnsi="Verdana" w:cs="Calibri"/>
          <w:sz w:val="18"/>
          <w:szCs w:val="18"/>
        </w:rPr>
        <w:t>Gegeven deze brede context: wat is er volgens uw Raad nodig –</w:t>
      </w:r>
      <w:r>
        <w:rPr>
          <w:rFonts w:ascii="Verdana" w:hAnsi="Verdana" w:cs="Calibri"/>
          <w:sz w:val="18"/>
          <w:szCs w:val="18"/>
        </w:rPr>
        <w:t xml:space="preserve"> </w:t>
      </w:r>
      <w:r w:rsidRPr="004E01C8">
        <w:rPr>
          <w:rFonts w:ascii="Verdana" w:hAnsi="Verdana" w:cs="Calibri"/>
          <w:sz w:val="18"/>
          <w:szCs w:val="18"/>
        </w:rPr>
        <w:t xml:space="preserve">in termen van </w:t>
      </w:r>
      <w:r w:rsidR="005B1BF1">
        <w:rPr>
          <w:rFonts w:ascii="Verdana" w:hAnsi="Verdana" w:cs="Calibri"/>
          <w:sz w:val="18"/>
          <w:szCs w:val="18"/>
        </w:rPr>
        <w:t xml:space="preserve">bijvoorbeeld </w:t>
      </w:r>
      <w:r w:rsidRPr="004E01C8">
        <w:rPr>
          <w:rFonts w:ascii="Verdana" w:hAnsi="Verdana" w:cs="Calibri"/>
          <w:sz w:val="18"/>
          <w:szCs w:val="18"/>
        </w:rPr>
        <w:t>menskracht, middelen, instrumenten</w:t>
      </w:r>
      <w:r>
        <w:rPr>
          <w:rFonts w:ascii="Verdana" w:hAnsi="Verdana" w:cs="Calibri"/>
          <w:sz w:val="18"/>
          <w:szCs w:val="18"/>
        </w:rPr>
        <w:t>,</w:t>
      </w:r>
      <w:r w:rsidRPr="004E01C8">
        <w:rPr>
          <w:rFonts w:ascii="Verdana" w:hAnsi="Verdana" w:cs="Calibri"/>
          <w:sz w:val="18"/>
          <w:szCs w:val="18"/>
        </w:rPr>
        <w:t xml:space="preserve"> procedures</w:t>
      </w:r>
      <w:r>
        <w:rPr>
          <w:rFonts w:ascii="Verdana" w:hAnsi="Verdana" w:cs="Calibri"/>
          <w:sz w:val="18"/>
          <w:szCs w:val="18"/>
        </w:rPr>
        <w:t>,</w:t>
      </w:r>
      <w:r w:rsidRPr="004E01C8">
        <w:rPr>
          <w:rFonts w:ascii="Verdana" w:hAnsi="Verdana" w:cs="Calibri"/>
          <w:sz w:val="18"/>
          <w:szCs w:val="18"/>
        </w:rPr>
        <w:t xml:space="preserve"> organisatie</w:t>
      </w:r>
      <w:r w:rsidR="005B1BF1">
        <w:rPr>
          <w:rFonts w:ascii="Verdana" w:hAnsi="Verdana" w:cs="Calibri"/>
          <w:sz w:val="18"/>
          <w:szCs w:val="18"/>
        </w:rPr>
        <w:t>-</w:t>
      </w:r>
      <w:r w:rsidRPr="004E01C8">
        <w:rPr>
          <w:rFonts w:ascii="Verdana" w:hAnsi="Verdana" w:cs="Calibri"/>
          <w:sz w:val="18"/>
          <w:szCs w:val="18"/>
        </w:rPr>
        <w:t>inrichting</w:t>
      </w:r>
      <w:r>
        <w:rPr>
          <w:rFonts w:ascii="Verdana" w:hAnsi="Verdana" w:cs="Calibri"/>
          <w:sz w:val="18"/>
          <w:szCs w:val="18"/>
        </w:rPr>
        <w:t xml:space="preserve"> en mentaliteit</w:t>
      </w:r>
      <w:r w:rsidRPr="004E01C8">
        <w:rPr>
          <w:rFonts w:ascii="Verdana" w:hAnsi="Verdana" w:cs="Calibri"/>
          <w:sz w:val="18"/>
          <w:szCs w:val="18"/>
        </w:rPr>
        <w:t xml:space="preserve"> </w:t>
      </w:r>
      <w:r w:rsidR="00A95A5B">
        <w:rPr>
          <w:rFonts w:ascii="Verdana" w:hAnsi="Verdana" w:cs="Calibri"/>
          <w:sz w:val="18"/>
          <w:szCs w:val="18"/>
        </w:rPr>
        <w:t xml:space="preserve">bij de diverse overheidslagen </w:t>
      </w:r>
      <w:r w:rsidRPr="004E01C8">
        <w:rPr>
          <w:rFonts w:ascii="Verdana" w:hAnsi="Verdana" w:cs="Calibri"/>
          <w:sz w:val="18"/>
          <w:szCs w:val="18"/>
        </w:rPr>
        <w:t xml:space="preserve">– om </w:t>
      </w:r>
      <w:r>
        <w:rPr>
          <w:rFonts w:ascii="Verdana" w:hAnsi="Verdana" w:cs="Calibri"/>
          <w:sz w:val="18"/>
          <w:szCs w:val="18"/>
        </w:rPr>
        <w:t>toekomstbestendige</w:t>
      </w:r>
      <w:r w:rsidRPr="004E01C8">
        <w:rPr>
          <w:rFonts w:ascii="Verdana" w:hAnsi="Verdana" w:cs="Calibri"/>
          <w:sz w:val="18"/>
          <w:szCs w:val="18"/>
        </w:rPr>
        <w:t xml:space="preserve"> erfgoedzorg </w:t>
      </w:r>
      <w:r>
        <w:rPr>
          <w:rFonts w:ascii="Verdana" w:hAnsi="Verdana" w:cs="Calibri"/>
          <w:sz w:val="18"/>
          <w:szCs w:val="18"/>
        </w:rPr>
        <w:t>duurzaam</w:t>
      </w:r>
      <w:r w:rsidRPr="004E01C8">
        <w:rPr>
          <w:rFonts w:ascii="Verdana" w:hAnsi="Verdana" w:cs="Calibri"/>
          <w:sz w:val="18"/>
          <w:szCs w:val="18"/>
        </w:rPr>
        <w:t xml:space="preserve"> te voorzien van een gedegen basis en voldoende uitvoeringskracht?  </w:t>
      </w:r>
    </w:p>
    <w:p w:rsidR="004E01C8" w:rsidP="00C01392" w:rsidRDefault="004E01C8" w14:paraId="0435249E" w14:textId="23E3D030">
      <w:pPr>
        <w:pStyle w:val="Lijstalinea"/>
        <w:numPr>
          <w:ilvl w:val="0"/>
          <w:numId w:val="15"/>
        </w:numPr>
        <w:spacing w:line="240" w:lineRule="auto"/>
        <w:rPr>
          <w:rFonts w:ascii="Verdana" w:hAnsi="Verdana" w:cs="Calibri"/>
          <w:sz w:val="18"/>
          <w:szCs w:val="18"/>
        </w:rPr>
      </w:pPr>
      <w:r w:rsidRPr="004E01C8">
        <w:rPr>
          <w:rFonts w:ascii="Verdana" w:hAnsi="Verdana" w:cs="Calibri"/>
          <w:sz w:val="18"/>
          <w:szCs w:val="18"/>
        </w:rPr>
        <w:t xml:space="preserve">Gegeven deze context: welke </w:t>
      </w:r>
      <w:r w:rsidR="00A95A5B">
        <w:rPr>
          <w:rFonts w:ascii="Verdana" w:hAnsi="Verdana" w:cs="Calibri"/>
          <w:sz w:val="18"/>
          <w:szCs w:val="18"/>
        </w:rPr>
        <w:t>aanpassingen</w:t>
      </w:r>
      <w:r w:rsidRPr="004E01C8" w:rsidR="00A95A5B">
        <w:rPr>
          <w:rFonts w:ascii="Verdana" w:hAnsi="Verdana" w:cs="Calibri"/>
          <w:sz w:val="18"/>
          <w:szCs w:val="18"/>
        </w:rPr>
        <w:t xml:space="preserve"> </w:t>
      </w:r>
      <w:r w:rsidRPr="004E01C8">
        <w:rPr>
          <w:rFonts w:ascii="Verdana" w:hAnsi="Verdana" w:cs="Calibri"/>
          <w:sz w:val="18"/>
          <w:szCs w:val="18"/>
        </w:rPr>
        <w:t xml:space="preserve">zijn er volgens uw Raad nodig en mogelijk </w:t>
      </w:r>
      <w:r w:rsidR="00A95A5B">
        <w:rPr>
          <w:rFonts w:ascii="Verdana" w:hAnsi="Verdana" w:cs="Calibri"/>
          <w:sz w:val="18"/>
          <w:szCs w:val="18"/>
        </w:rPr>
        <w:t xml:space="preserve">om – </w:t>
      </w:r>
      <w:r w:rsidRPr="004E01C8">
        <w:rPr>
          <w:rFonts w:ascii="Verdana" w:hAnsi="Verdana" w:cs="Calibri"/>
          <w:sz w:val="18"/>
          <w:szCs w:val="18"/>
        </w:rPr>
        <w:t>binnen</w:t>
      </w:r>
      <w:r w:rsidR="00A95A5B">
        <w:rPr>
          <w:rFonts w:ascii="Verdana" w:hAnsi="Verdana" w:cs="Calibri"/>
          <w:sz w:val="18"/>
          <w:szCs w:val="18"/>
        </w:rPr>
        <w:t xml:space="preserve"> de huidige </w:t>
      </w:r>
      <w:r w:rsidRPr="004E01C8">
        <w:rPr>
          <w:rFonts w:ascii="Verdana" w:hAnsi="Verdana" w:cs="Calibri"/>
          <w:sz w:val="18"/>
          <w:szCs w:val="18"/>
        </w:rPr>
        <w:t>stelsel</w:t>
      </w:r>
      <w:r w:rsidR="00A95A5B">
        <w:rPr>
          <w:rFonts w:ascii="Verdana" w:hAnsi="Verdana" w:cs="Calibri"/>
          <w:sz w:val="18"/>
          <w:szCs w:val="18"/>
        </w:rPr>
        <w:t>architectuur – tot verbetering van de uitvoering te komen</w:t>
      </w:r>
      <w:r w:rsidRPr="004E01C8">
        <w:rPr>
          <w:rFonts w:ascii="Verdana" w:hAnsi="Verdana" w:cs="Calibri"/>
          <w:sz w:val="18"/>
          <w:szCs w:val="18"/>
        </w:rPr>
        <w:t>?</w:t>
      </w:r>
    </w:p>
    <w:p w:rsidRPr="00E64975" w:rsidR="00AC61B7" w:rsidP="00AC61B7" w:rsidRDefault="00AC61B7" w14:paraId="0D294A11" w14:textId="518BA84B">
      <w:pPr>
        <w:pStyle w:val="Lijstalinea"/>
        <w:numPr>
          <w:ilvl w:val="0"/>
          <w:numId w:val="15"/>
        </w:numPr>
        <w:spacing w:line="240" w:lineRule="auto"/>
        <w:rPr>
          <w:rFonts w:ascii="Verdana" w:hAnsi="Verdana" w:cs="Calibri"/>
          <w:sz w:val="18"/>
          <w:szCs w:val="18"/>
        </w:rPr>
      </w:pPr>
      <w:r w:rsidRPr="00E64975">
        <w:rPr>
          <w:rFonts w:ascii="Verdana" w:hAnsi="Verdana" w:cs="Calibri"/>
          <w:sz w:val="18"/>
          <w:szCs w:val="18"/>
        </w:rPr>
        <w:t xml:space="preserve">Hoe kunnen de drie overheidslagen </w:t>
      </w:r>
      <w:r w:rsidR="00A95A5B">
        <w:rPr>
          <w:rFonts w:ascii="Verdana" w:hAnsi="Verdana" w:cs="Calibri"/>
          <w:sz w:val="18"/>
          <w:szCs w:val="18"/>
        </w:rPr>
        <w:t>hier</w:t>
      </w:r>
      <w:r w:rsidRPr="00E64975">
        <w:rPr>
          <w:rFonts w:ascii="Verdana" w:hAnsi="Verdana" w:cs="Calibri"/>
          <w:sz w:val="18"/>
          <w:szCs w:val="18"/>
        </w:rPr>
        <w:t xml:space="preserve">aan </w:t>
      </w:r>
      <w:r>
        <w:rPr>
          <w:rFonts w:ascii="Verdana" w:hAnsi="Verdana" w:cs="Calibri"/>
          <w:sz w:val="18"/>
          <w:szCs w:val="18"/>
        </w:rPr>
        <w:t xml:space="preserve">in samenhang en </w:t>
      </w:r>
      <w:r w:rsidRPr="00E64975">
        <w:rPr>
          <w:rFonts w:ascii="Verdana" w:hAnsi="Verdana" w:cs="Calibri"/>
          <w:sz w:val="18"/>
          <w:szCs w:val="18"/>
        </w:rPr>
        <w:t>op gedegen wijze invulling geven</w:t>
      </w:r>
      <w:r>
        <w:rPr>
          <w:rFonts w:ascii="Verdana" w:hAnsi="Verdana" w:cs="Calibri"/>
          <w:sz w:val="18"/>
          <w:szCs w:val="18"/>
        </w:rPr>
        <w:t>?</w:t>
      </w:r>
      <w:r w:rsidRPr="00E64975">
        <w:rPr>
          <w:rFonts w:ascii="Verdana" w:hAnsi="Verdana" w:cs="Calibri"/>
          <w:sz w:val="18"/>
          <w:szCs w:val="18"/>
        </w:rPr>
        <w:t xml:space="preserve"> Welke factoren zijn daarbij beslissend? </w:t>
      </w:r>
    </w:p>
    <w:p w:rsidR="009D1695" w:rsidP="00C01392" w:rsidRDefault="009D1695" w14:paraId="3CC39768" w14:textId="77777777">
      <w:pPr>
        <w:spacing w:line="240" w:lineRule="auto"/>
        <w:contextualSpacing/>
        <w:rPr>
          <w:rFonts w:cs="Calibri"/>
          <w:szCs w:val="18"/>
        </w:rPr>
      </w:pPr>
    </w:p>
    <w:p w:rsidR="004E01C8" w:rsidP="00C01392" w:rsidRDefault="004E01C8" w14:paraId="05CA63F2" w14:textId="6ED201B3">
      <w:pPr>
        <w:spacing w:line="240" w:lineRule="auto"/>
        <w:contextualSpacing/>
        <w:rPr>
          <w:rFonts w:cs="Calibri"/>
          <w:szCs w:val="18"/>
        </w:rPr>
      </w:pPr>
      <w:r w:rsidRPr="004E01C8">
        <w:rPr>
          <w:rFonts w:cs="Calibri"/>
          <w:szCs w:val="18"/>
        </w:rPr>
        <w:t xml:space="preserve">Via de beantwoording van deze vragen, kan een eindbeeld worden gepresenteerd </w:t>
      </w:r>
      <w:r w:rsidR="00AC61B7">
        <w:rPr>
          <w:rFonts w:cs="Calibri"/>
          <w:szCs w:val="18"/>
        </w:rPr>
        <w:t xml:space="preserve">van toekomstige erfgoedzorg </w:t>
      </w:r>
      <w:r w:rsidR="00E64975">
        <w:rPr>
          <w:rFonts w:cs="Calibri"/>
          <w:szCs w:val="18"/>
        </w:rPr>
        <w:t xml:space="preserve">waar gemeentes, provincies en het rijk gezamenlijk naartoe kunnen groeien. </w:t>
      </w:r>
      <w:r w:rsidRPr="004E01C8">
        <w:rPr>
          <w:rFonts w:cs="Calibri"/>
          <w:szCs w:val="18"/>
        </w:rPr>
        <w:t xml:space="preserve">Dit beeld is bij voorkeur niet alleen gestoeld op formele criteria, maar biedt ook inspiratie voor de omgang met actuele opgaven in de erfgoedzorg. </w:t>
      </w:r>
    </w:p>
    <w:p w:rsidR="00C90B0F" w:rsidP="00C01392" w:rsidRDefault="00C90B0F" w14:paraId="46EECD12" w14:textId="77777777">
      <w:pPr>
        <w:spacing w:line="240" w:lineRule="auto"/>
        <w:contextualSpacing/>
        <w:rPr>
          <w:rFonts w:cs="Calibri"/>
          <w:szCs w:val="18"/>
        </w:rPr>
      </w:pPr>
    </w:p>
    <w:p w:rsidRPr="004E01C8" w:rsidR="00C90B0F" w:rsidP="00C01392" w:rsidRDefault="00C90B0F" w14:paraId="34DFBB74" w14:textId="748D1E83">
      <w:pPr>
        <w:spacing w:line="240" w:lineRule="auto"/>
        <w:contextualSpacing/>
        <w:rPr>
          <w:rFonts w:cs="Calibri"/>
          <w:szCs w:val="18"/>
        </w:rPr>
      </w:pPr>
      <w:r>
        <w:rPr>
          <w:rFonts w:cs="Calibri"/>
          <w:szCs w:val="18"/>
        </w:rPr>
        <w:t>Ik kijk uit naar uw advies.</w:t>
      </w:r>
    </w:p>
    <w:p w:rsidRPr="004E01C8" w:rsidR="004E01C8" w:rsidP="00C01392" w:rsidRDefault="004E01C8" w14:paraId="4068E446" w14:textId="77777777">
      <w:pPr>
        <w:spacing w:line="240" w:lineRule="auto"/>
        <w:contextualSpacing/>
        <w:rPr>
          <w:rFonts w:cs="Calibri"/>
          <w:szCs w:val="18"/>
        </w:rPr>
      </w:pPr>
    </w:p>
    <w:p w:rsidRPr="004E01C8" w:rsidR="00D342F4" w:rsidP="00C01392" w:rsidRDefault="00D342F4" w14:paraId="09C795E8" w14:textId="77777777">
      <w:pPr>
        <w:spacing w:line="240" w:lineRule="auto"/>
        <w:rPr>
          <w:szCs w:val="18"/>
        </w:rPr>
      </w:pPr>
    </w:p>
    <w:p w:rsidRPr="004E01C8" w:rsidR="00D342F4" w:rsidP="00C01392" w:rsidRDefault="004E01C8" w14:paraId="39949430" w14:textId="77777777">
      <w:pPr>
        <w:spacing w:line="240" w:lineRule="auto"/>
        <w:rPr>
          <w:szCs w:val="18"/>
        </w:rPr>
      </w:pPr>
      <w:r w:rsidRPr="004E01C8">
        <w:rPr>
          <w:szCs w:val="18"/>
        </w:rPr>
        <w:t>Met vriendelijke groet,</w:t>
      </w:r>
    </w:p>
    <w:p w:rsidRPr="004E01C8" w:rsidR="00184B30" w:rsidP="00C01392" w:rsidRDefault="00184B30" w14:paraId="1405D63F" w14:textId="77777777">
      <w:pPr>
        <w:spacing w:line="240" w:lineRule="auto"/>
        <w:rPr>
          <w:szCs w:val="18"/>
        </w:rPr>
      </w:pPr>
    </w:p>
    <w:p w:rsidRPr="004E01C8" w:rsidR="00CA48EF" w:rsidP="00C01392" w:rsidRDefault="004E01C8" w14:paraId="3EF8FC70" w14:textId="77777777">
      <w:pPr>
        <w:spacing w:line="240" w:lineRule="auto"/>
        <w:rPr>
          <w:szCs w:val="18"/>
        </w:rPr>
      </w:pPr>
      <w:r w:rsidRPr="004E01C8">
        <w:rPr>
          <w:szCs w:val="18"/>
        </w:rPr>
        <w:t>de minister van Onderwijs, Cultuur en Wetenschap</w:t>
      </w:r>
      <w:r w:rsidRPr="004E01C8" w:rsidR="00440341">
        <w:rPr>
          <w:szCs w:val="18"/>
        </w:rPr>
        <w:t>,</w:t>
      </w:r>
    </w:p>
    <w:p w:rsidRPr="004E01C8" w:rsidR="00530470" w:rsidP="00C01392" w:rsidRDefault="00530470" w14:paraId="70F92E73" w14:textId="77777777">
      <w:pPr>
        <w:spacing w:line="240" w:lineRule="auto"/>
        <w:rPr>
          <w:szCs w:val="18"/>
        </w:rPr>
      </w:pPr>
    </w:p>
    <w:p w:rsidRPr="004E01C8" w:rsidR="00530470" w:rsidP="00C01392" w:rsidRDefault="00530470" w14:paraId="2277E2D9" w14:textId="77777777">
      <w:pPr>
        <w:spacing w:line="240" w:lineRule="auto"/>
        <w:rPr>
          <w:szCs w:val="18"/>
        </w:rPr>
      </w:pPr>
    </w:p>
    <w:p w:rsidRPr="004E01C8" w:rsidR="00530470" w:rsidP="00C01392" w:rsidRDefault="00530470" w14:paraId="6C46560D" w14:textId="77777777">
      <w:pPr>
        <w:spacing w:line="240" w:lineRule="auto"/>
        <w:rPr>
          <w:szCs w:val="18"/>
        </w:rPr>
      </w:pPr>
    </w:p>
    <w:p w:rsidRPr="000E4A75" w:rsidR="005C0369" w:rsidP="00C01392" w:rsidRDefault="004E01C8" w14:paraId="520F697B" w14:textId="1DE55700">
      <w:pPr>
        <w:spacing w:line="240" w:lineRule="auto"/>
        <w:rPr>
          <w:szCs w:val="18"/>
          <w:lang w:eastAsia="en-US"/>
        </w:rPr>
      </w:pPr>
      <w:r w:rsidRPr="004E01C8">
        <w:rPr>
          <w:szCs w:val="18"/>
          <w:lang w:eastAsia="en-US"/>
        </w:rPr>
        <w:t>Rianne Letschert</w:t>
      </w:r>
    </w:p>
    <w:sectPr w:rsidRPr="000E4A75" w:rsidR="005C0369"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12F58" w14:textId="77777777" w:rsidR="0029027F" w:rsidRDefault="0029027F">
      <w:r>
        <w:separator/>
      </w:r>
    </w:p>
    <w:p w14:paraId="4E21F060" w14:textId="77777777" w:rsidR="0029027F" w:rsidRDefault="0029027F"/>
  </w:endnote>
  <w:endnote w:type="continuationSeparator" w:id="0">
    <w:p w14:paraId="7637CC3D" w14:textId="77777777" w:rsidR="0029027F" w:rsidRDefault="0029027F">
      <w:r>
        <w:continuationSeparator/>
      </w:r>
    </w:p>
    <w:p w14:paraId="55A333B3" w14:textId="77777777" w:rsidR="0029027F" w:rsidRDefault="00290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52D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96E66" w14:paraId="416C7636" w14:textId="77777777" w:rsidTr="004C7E1D">
      <w:trPr>
        <w:trHeight w:hRule="exact" w:val="357"/>
      </w:trPr>
      <w:tc>
        <w:tcPr>
          <w:tcW w:w="7603" w:type="dxa"/>
        </w:tcPr>
        <w:p w14:paraId="1C5DCFB0" w14:textId="77777777" w:rsidR="002F71BB" w:rsidRPr="004C7E1D" w:rsidRDefault="002F71BB" w:rsidP="004C7E1D">
          <w:pPr>
            <w:spacing w:line="180" w:lineRule="exact"/>
            <w:rPr>
              <w:sz w:val="13"/>
              <w:szCs w:val="13"/>
            </w:rPr>
          </w:pPr>
        </w:p>
      </w:tc>
      <w:tc>
        <w:tcPr>
          <w:tcW w:w="2172" w:type="dxa"/>
        </w:tcPr>
        <w:p w14:paraId="55F55FE3" w14:textId="426B374F" w:rsidR="002F71BB" w:rsidRPr="004C7E1D" w:rsidRDefault="004E01C8"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16F78">
            <w:rPr>
              <w:szCs w:val="13"/>
            </w:rPr>
            <w:t>3</w:t>
          </w:r>
          <w:r w:rsidRPr="004C7E1D">
            <w:rPr>
              <w:szCs w:val="13"/>
            </w:rPr>
            <w:fldChar w:fldCharType="end"/>
          </w:r>
        </w:p>
      </w:tc>
    </w:tr>
  </w:tbl>
  <w:p w14:paraId="78FFBAE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96E66" w14:paraId="5A78E516" w14:textId="77777777" w:rsidTr="004C7E1D">
      <w:trPr>
        <w:trHeight w:hRule="exact" w:val="357"/>
      </w:trPr>
      <w:tc>
        <w:tcPr>
          <w:tcW w:w="7709" w:type="dxa"/>
        </w:tcPr>
        <w:p w14:paraId="19DDB0D3" w14:textId="77777777" w:rsidR="00D17084" w:rsidRPr="004C7E1D" w:rsidRDefault="00D17084" w:rsidP="004C7E1D">
          <w:pPr>
            <w:spacing w:line="180" w:lineRule="exact"/>
            <w:rPr>
              <w:sz w:val="13"/>
              <w:szCs w:val="13"/>
            </w:rPr>
          </w:pPr>
        </w:p>
      </w:tc>
      <w:tc>
        <w:tcPr>
          <w:tcW w:w="2060" w:type="dxa"/>
        </w:tcPr>
        <w:p w14:paraId="68D5505D" w14:textId="3CF1F9BE" w:rsidR="00D17084" w:rsidRPr="004C7E1D" w:rsidRDefault="004E01C8"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9027F">
            <w:rPr>
              <w:szCs w:val="13"/>
            </w:rPr>
            <w:t>1</w:t>
          </w:r>
          <w:r w:rsidRPr="004C7E1D">
            <w:rPr>
              <w:szCs w:val="13"/>
            </w:rPr>
            <w:fldChar w:fldCharType="end"/>
          </w:r>
        </w:p>
      </w:tc>
    </w:tr>
  </w:tbl>
  <w:p w14:paraId="6AF96D0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7D84" w14:textId="77777777" w:rsidR="0029027F" w:rsidRDefault="0029027F">
      <w:r>
        <w:separator/>
      </w:r>
    </w:p>
    <w:p w14:paraId="34882120" w14:textId="77777777" w:rsidR="0029027F" w:rsidRDefault="0029027F"/>
  </w:footnote>
  <w:footnote w:type="continuationSeparator" w:id="0">
    <w:p w14:paraId="6A7BA0F9" w14:textId="77777777" w:rsidR="0029027F" w:rsidRDefault="0029027F">
      <w:r>
        <w:continuationSeparator/>
      </w:r>
    </w:p>
    <w:p w14:paraId="23DB626D" w14:textId="77777777" w:rsidR="0029027F" w:rsidRDefault="0029027F"/>
  </w:footnote>
  <w:footnote w:id="1">
    <w:p w14:paraId="01A5B82F" w14:textId="2FD0A3D5" w:rsidR="004E01C8" w:rsidRPr="00BD0743" w:rsidRDefault="004E01C8" w:rsidP="004E01C8">
      <w:pPr>
        <w:pStyle w:val="Voetnoottekst"/>
        <w:rPr>
          <w:sz w:val="16"/>
          <w:szCs w:val="16"/>
        </w:rPr>
      </w:pPr>
      <w:r w:rsidRPr="00BD0743">
        <w:rPr>
          <w:rStyle w:val="Voetnootmarkering"/>
          <w:sz w:val="16"/>
          <w:szCs w:val="16"/>
        </w:rPr>
        <w:footnoteRef/>
      </w:r>
      <w:r w:rsidRPr="00BD0743">
        <w:rPr>
          <w:sz w:val="16"/>
          <w:szCs w:val="16"/>
        </w:rPr>
        <w:t xml:space="preserve"> </w:t>
      </w:r>
      <w:r w:rsidR="00507030">
        <w:rPr>
          <w:sz w:val="16"/>
          <w:szCs w:val="16"/>
        </w:rPr>
        <w:t xml:space="preserve">O.a. </w:t>
      </w:r>
      <w:r w:rsidRPr="00861539">
        <w:rPr>
          <w:sz w:val="16"/>
          <w:szCs w:val="16"/>
        </w:rPr>
        <w:t>Tweede Kamer, vergaderjaar 2022 - 2023, 31 5 11, nr. 48.</w:t>
      </w:r>
    </w:p>
  </w:footnote>
  <w:footnote w:id="2">
    <w:p w14:paraId="21213DC2" w14:textId="77777777" w:rsidR="0020261B" w:rsidRPr="0008158A" w:rsidRDefault="0020261B" w:rsidP="0020261B">
      <w:pPr>
        <w:pStyle w:val="Voetnoottekst"/>
        <w:rPr>
          <w:sz w:val="16"/>
          <w:szCs w:val="16"/>
        </w:rPr>
      </w:pPr>
      <w:r w:rsidRPr="0008158A">
        <w:rPr>
          <w:rStyle w:val="Voetnootmarkering"/>
          <w:sz w:val="16"/>
          <w:szCs w:val="16"/>
        </w:rPr>
        <w:footnoteRef/>
      </w:r>
      <w:r w:rsidRPr="0008158A">
        <w:rPr>
          <w:sz w:val="16"/>
          <w:szCs w:val="16"/>
        </w:rPr>
        <w:t xml:space="preserve"> </w:t>
      </w:r>
      <w:r>
        <w:rPr>
          <w:sz w:val="16"/>
          <w:szCs w:val="16"/>
        </w:rPr>
        <w:t xml:space="preserve">Lysias advies, 2024: </w:t>
      </w:r>
      <w:r>
        <w:rPr>
          <w:i/>
          <w:iCs/>
          <w:sz w:val="16"/>
          <w:szCs w:val="16"/>
        </w:rPr>
        <w:t>Inventarisatie Erfgoed en Overheid. Inventarisatie knelpunten, kansen en oplossingen bij gemeenten en provincies voor uitvoering van erfgoedtaken in de fysieke leefomgeving</w:t>
      </w:r>
      <w:r>
        <w:rPr>
          <w:sz w:val="16"/>
          <w:szCs w:val="16"/>
        </w:rPr>
        <w:t>, Amersfoort 2024.</w:t>
      </w:r>
    </w:p>
  </w:footnote>
  <w:footnote w:id="3">
    <w:p w14:paraId="747C6EEC" w14:textId="6B015C41" w:rsidR="00AD0118" w:rsidRPr="001708D7" w:rsidRDefault="00AD0118" w:rsidP="00AD0118">
      <w:pPr>
        <w:pStyle w:val="Voetnoottekst"/>
        <w:rPr>
          <w:sz w:val="16"/>
          <w:szCs w:val="16"/>
        </w:rPr>
      </w:pPr>
      <w:r w:rsidRPr="001708D7">
        <w:rPr>
          <w:rStyle w:val="Voetnootmarkering"/>
          <w:sz w:val="16"/>
          <w:szCs w:val="16"/>
        </w:rPr>
        <w:footnoteRef/>
      </w:r>
      <w:r w:rsidRPr="001708D7">
        <w:rPr>
          <w:sz w:val="16"/>
          <w:szCs w:val="16"/>
        </w:rPr>
        <w:t xml:space="preserve"> </w:t>
      </w:r>
      <w:r>
        <w:rPr>
          <w:sz w:val="16"/>
          <w:szCs w:val="16"/>
        </w:rPr>
        <w:t xml:space="preserve">Bij het Rijk </w:t>
      </w:r>
      <w:r w:rsidRPr="001708D7">
        <w:rPr>
          <w:sz w:val="16"/>
          <w:szCs w:val="16"/>
        </w:rPr>
        <w:t xml:space="preserve">betreft </w:t>
      </w:r>
      <w:r>
        <w:rPr>
          <w:sz w:val="16"/>
          <w:szCs w:val="16"/>
        </w:rPr>
        <w:t>dit</w:t>
      </w:r>
      <w:r w:rsidRPr="001708D7">
        <w:rPr>
          <w:sz w:val="16"/>
          <w:szCs w:val="16"/>
        </w:rPr>
        <w:t xml:space="preserve"> </w:t>
      </w:r>
      <w:r w:rsidRPr="001708D7">
        <w:rPr>
          <w:rFonts w:cs="Calibri"/>
          <w:sz w:val="16"/>
          <w:szCs w:val="16"/>
        </w:rPr>
        <w:t>primair het ministerie van OCW, waarvan de Rijksdienst voor het Cultureel Erfgoed deel uitmaakt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96E66" w14:paraId="59D6FB83" w14:textId="77777777" w:rsidTr="006D2D53">
      <w:trPr>
        <w:trHeight w:hRule="exact" w:val="400"/>
      </w:trPr>
      <w:tc>
        <w:tcPr>
          <w:tcW w:w="7518" w:type="dxa"/>
        </w:tcPr>
        <w:p w14:paraId="53AE1E8D" w14:textId="77777777" w:rsidR="00527BD4" w:rsidRPr="00275984" w:rsidRDefault="00527BD4" w:rsidP="00BF4427">
          <w:pPr>
            <w:pStyle w:val="Huisstijl-Rubricering"/>
          </w:pPr>
        </w:p>
      </w:tc>
    </w:tr>
  </w:tbl>
  <w:p w14:paraId="277BA6D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96E66" w14:paraId="3B187604" w14:textId="77777777" w:rsidTr="003B528D">
      <w:tc>
        <w:tcPr>
          <w:tcW w:w="2160" w:type="dxa"/>
        </w:tcPr>
        <w:p w14:paraId="4DBC15D7" w14:textId="77777777" w:rsidR="00FF7D29" w:rsidRPr="002F71BB" w:rsidRDefault="004E01C8" w:rsidP="006C2093">
          <w:pPr>
            <w:rPr>
              <w:b/>
              <w:sz w:val="13"/>
              <w:szCs w:val="13"/>
            </w:rPr>
          </w:pPr>
          <w:r w:rsidRPr="0052042A">
            <w:rPr>
              <w:b/>
              <w:sz w:val="13"/>
              <w:szCs w:val="13"/>
            </w:rPr>
            <w:t>Onze referentie</w:t>
          </w:r>
        </w:p>
        <w:p w14:paraId="439EB87D" w14:textId="77777777" w:rsidR="002F71BB" w:rsidRPr="000407BB" w:rsidRDefault="004E01C8" w:rsidP="008F6AD7">
          <w:pPr>
            <w:spacing w:after="90" w:line="180" w:lineRule="exact"/>
            <w:rPr>
              <w:sz w:val="13"/>
              <w:szCs w:val="13"/>
            </w:rPr>
          </w:pPr>
          <w:r>
            <w:rPr>
              <w:sz w:val="13"/>
              <w:szCs w:val="13"/>
            </w:rPr>
            <w:t>63478429</w:t>
          </w:r>
          <w:r w:rsidR="008F6AD7" w:rsidRPr="000407BB">
            <w:rPr>
              <w:sz w:val="13"/>
              <w:szCs w:val="13"/>
            </w:rPr>
            <w:t xml:space="preserve"> </w:t>
          </w:r>
        </w:p>
      </w:tc>
    </w:tr>
    <w:tr w:rsidR="00A96E66" w14:paraId="6D98F954" w14:textId="77777777" w:rsidTr="002F71BB">
      <w:trPr>
        <w:trHeight w:val="259"/>
      </w:trPr>
      <w:tc>
        <w:tcPr>
          <w:tcW w:w="2160" w:type="dxa"/>
        </w:tcPr>
        <w:p w14:paraId="347452CB" w14:textId="77777777" w:rsidR="00E35CF4" w:rsidRPr="002F71BB" w:rsidRDefault="00E35CF4" w:rsidP="0049501A">
          <w:pPr>
            <w:spacing w:line="180" w:lineRule="exact"/>
            <w:rPr>
              <w:i/>
              <w:sz w:val="13"/>
              <w:szCs w:val="13"/>
            </w:rPr>
          </w:pPr>
        </w:p>
      </w:tc>
    </w:tr>
  </w:tbl>
  <w:p w14:paraId="20A2059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96E66" w14:paraId="1CF39039" w14:textId="77777777" w:rsidTr="001377D4">
      <w:trPr>
        <w:trHeight w:val="2636"/>
      </w:trPr>
      <w:tc>
        <w:tcPr>
          <w:tcW w:w="737" w:type="dxa"/>
        </w:tcPr>
        <w:p w14:paraId="3CC57AB2" w14:textId="77777777" w:rsidR="00704845" w:rsidRDefault="00704845" w:rsidP="0047126E">
          <w:pPr>
            <w:framePr w:w="6339" w:h="2750" w:hRule="exact" w:hSpace="181" w:wrap="around" w:vAnchor="page" w:hAnchor="page" w:x="5586" w:y="1"/>
            <w:spacing w:line="240" w:lineRule="auto"/>
          </w:pPr>
        </w:p>
      </w:tc>
      <w:tc>
        <w:tcPr>
          <w:tcW w:w="5156" w:type="dxa"/>
        </w:tcPr>
        <w:p w14:paraId="7F00D953" w14:textId="77777777" w:rsidR="00704845" w:rsidRDefault="004E01C8" w:rsidP="0047126E">
          <w:pPr>
            <w:framePr w:w="3873" w:h="2625" w:hRule="exact" w:wrap="around" w:vAnchor="page" w:hAnchor="page" w:x="6323" w:y="1"/>
          </w:pPr>
          <w:r>
            <w:rPr>
              <w:noProof/>
              <w:lang w:val="en-US" w:eastAsia="en-US"/>
            </w:rPr>
            <w:drawing>
              <wp:inline distT="0" distB="0" distL="0" distR="0" wp14:anchorId="16B3D199" wp14:editId="0B7C9E78">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E9E3D1C" w14:textId="77777777" w:rsidR="00483ECA" w:rsidRDefault="00483ECA" w:rsidP="00D037A9"/>
        <w:p w14:paraId="779B5407" w14:textId="77777777" w:rsidR="005F2FA9" w:rsidRDefault="005F2FA9" w:rsidP="00082403"/>
      </w:tc>
    </w:tr>
  </w:tbl>
  <w:p w14:paraId="46F0A1F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96E66" w14:paraId="5A5B15E9" w14:textId="77777777" w:rsidTr="0008539E">
      <w:trPr>
        <w:trHeight w:hRule="exact" w:val="572"/>
      </w:trPr>
      <w:tc>
        <w:tcPr>
          <w:tcW w:w="7520" w:type="dxa"/>
        </w:tcPr>
        <w:p w14:paraId="1882509B" w14:textId="77777777" w:rsidR="00527BD4" w:rsidRPr="00963440" w:rsidRDefault="004E01C8" w:rsidP="003B6D32">
          <w:pPr>
            <w:pStyle w:val="Huisstijl-Adres"/>
            <w:spacing w:after="0"/>
          </w:pPr>
          <w:r w:rsidRPr="009E3B07">
            <w:t>&gt;Retouradres </w:t>
          </w:r>
          <w:r>
            <w:t>Postbus 16375 2500 BJ Den Haag</w:t>
          </w:r>
          <w:r w:rsidRPr="009E3B07">
            <w:t xml:space="preserve"> </w:t>
          </w:r>
        </w:p>
      </w:tc>
    </w:tr>
    <w:tr w:rsidR="00A96E66" w14:paraId="6F2B657B" w14:textId="77777777" w:rsidTr="00E776C6">
      <w:trPr>
        <w:cantSplit/>
        <w:trHeight w:hRule="exact" w:val="238"/>
      </w:trPr>
      <w:tc>
        <w:tcPr>
          <w:tcW w:w="7520" w:type="dxa"/>
        </w:tcPr>
        <w:p w14:paraId="7364700C" w14:textId="77777777" w:rsidR="00093ABC" w:rsidRPr="00963440" w:rsidRDefault="00093ABC" w:rsidP="00963440"/>
      </w:tc>
    </w:tr>
    <w:tr w:rsidR="00A96E66" w14:paraId="4CAB238F" w14:textId="77777777" w:rsidTr="00E776C6">
      <w:trPr>
        <w:cantSplit/>
        <w:trHeight w:hRule="exact" w:val="1520"/>
      </w:trPr>
      <w:tc>
        <w:tcPr>
          <w:tcW w:w="7520" w:type="dxa"/>
        </w:tcPr>
        <w:p w14:paraId="6EE119E4" w14:textId="77777777" w:rsidR="00A604D3" w:rsidRPr="00963440" w:rsidRDefault="00A604D3" w:rsidP="003B6D32"/>
      </w:tc>
    </w:tr>
    <w:tr w:rsidR="00A96E66" w14:paraId="10736D37" w14:textId="77777777" w:rsidTr="00E776C6">
      <w:trPr>
        <w:trHeight w:hRule="exact" w:val="1077"/>
      </w:trPr>
      <w:tc>
        <w:tcPr>
          <w:tcW w:w="7520" w:type="dxa"/>
        </w:tcPr>
        <w:p w14:paraId="5C7FF5CC" w14:textId="77777777" w:rsidR="00596D5A" w:rsidRDefault="00596D5A" w:rsidP="00892BA5">
          <w:pPr>
            <w:tabs>
              <w:tab w:val="left" w:pos="740"/>
            </w:tabs>
            <w:autoSpaceDE w:val="0"/>
            <w:autoSpaceDN w:val="0"/>
            <w:adjustRightInd w:val="0"/>
            <w:rPr>
              <w:rFonts w:cs="Verdana"/>
              <w:szCs w:val="18"/>
            </w:rPr>
          </w:pPr>
        </w:p>
        <w:p w14:paraId="34056C93" w14:textId="77777777" w:rsidR="00596D5A" w:rsidRDefault="00596D5A" w:rsidP="00596D5A">
          <w:pPr>
            <w:rPr>
              <w:rFonts w:cs="Verdana"/>
              <w:szCs w:val="18"/>
            </w:rPr>
          </w:pPr>
        </w:p>
        <w:p w14:paraId="4F231898" w14:textId="77777777" w:rsidR="00892BA5" w:rsidRPr="00596D5A" w:rsidRDefault="004E01C8" w:rsidP="00596D5A">
          <w:pPr>
            <w:tabs>
              <w:tab w:val="left" w:pos="4965"/>
            </w:tabs>
            <w:rPr>
              <w:rFonts w:cs="Verdana"/>
              <w:szCs w:val="18"/>
            </w:rPr>
          </w:pPr>
          <w:r>
            <w:rPr>
              <w:rFonts w:cs="Verdana"/>
              <w:szCs w:val="18"/>
            </w:rPr>
            <w:tab/>
          </w:r>
        </w:p>
      </w:tc>
    </w:tr>
  </w:tbl>
  <w:p w14:paraId="3731A355" w14:textId="77777777" w:rsidR="006F273B" w:rsidRDefault="006F273B" w:rsidP="00BC4AE3">
    <w:pPr>
      <w:pStyle w:val="Koptekst"/>
    </w:pPr>
  </w:p>
  <w:p w14:paraId="0653D13E" w14:textId="77777777" w:rsidR="00153BD0" w:rsidRDefault="00153BD0" w:rsidP="00BC4AE3">
    <w:pPr>
      <w:pStyle w:val="Koptekst"/>
    </w:pPr>
  </w:p>
  <w:p w14:paraId="588EF770" w14:textId="77777777" w:rsidR="0044605E" w:rsidRDefault="0044605E" w:rsidP="00BC4AE3">
    <w:pPr>
      <w:pStyle w:val="Koptekst"/>
    </w:pPr>
  </w:p>
  <w:p w14:paraId="7FB75B33" w14:textId="77777777" w:rsidR="0044605E" w:rsidRDefault="0044605E" w:rsidP="00BC4AE3">
    <w:pPr>
      <w:pStyle w:val="Koptekst"/>
    </w:pPr>
  </w:p>
  <w:p w14:paraId="3832B9B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94EE754">
      <w:start w:val="1"/>
      <w:numFmt w:val="bullet"/>
      <w:pStyle w:val="Lijstopsomteken"/>
      <w:lvlText w:val="•"/>
      <w:lvlJc w:val="left"/>
      <w:pPr>
        <w:tabs>
          <w:tab w:val="num" w:pos="227"/>
        </w:tabs>
        <w:ind w:left="227" w:hanging="227"/>
      </w:pPr>
      <w:rPr>
        <w:rFonts w:ascii="Verdana" w:hAnsi="Verdana" w:hint="default"/>
        <w:sz w:val="18"/>
        <w:szCs w:val="18"/>
      </w:rPr>
    </w:lvl>
    <w:lvl w:ilvl="1" w:tplc="355EC9C0" w:tentative="1">
      <w:start w:val="1"/>
      <w:numFmt w:val="bullet"/>
      <w:lvlText w:val="o"/>
      <w:lvlJc w:val="left"/>
      <w:pPr>
        <w:tabs>
          <w:tab w:val="num" w:pos="1440"/>
        </w:tabs>
        <w:ind w:left="1440" w:hanging="360"/>
      </w:pPr>
      <w:rPr>
        <w:rFonts w:ascii="Courier New" w:hAnsi="Courier New" w:cs="Courier New" w:hint="default"/>
      </w:rPr>
    </w:lvl>
    <w:lvl w:ilvl="2" w:tplc="6144E3F2" w:tentative="1">
      <w:start w:val="1"/>
      <w:numFmt w:val="bullet"/>
      <w:lvlText w:val=""/>
      <w:lvlJc w:val="left"/>
      <w:pPr>
        <w:tabs>
          <w:tab w:val="num" w:pos="2160"/>
        </w:tabs>
        <w:ind w:left="2160" w:hanging="360"/>
      </w:pPr>
      <w:rPr>
        <w:rFonts w:ascii="Wingdings" w:hAnsi="Wingdings" w:hint="default"/>
      </w:rPr>
    </w:lvl>
    <w:lvl w:ilvl="3" w:tplc="7A14EF8A" w:tentative="1">
      <w:start w:val="1"/>
      <w:numFmt w:val="bullet"/>
      <w:lvlText w:val=""/>
      <w:lvlJc w:val="left"/>
      <w:pPr>
        <w:tabs>
          <w:tab w:val="num" w:pos="2880"/>
        </w:tabs>
        <w:ind w:left="2880" w:hanging="360"/>
      </w:pPr>
      <w:rPr>
        <w:rFonts w:ascii="Symbol" w:hAnsi="Symbol" w:hint="default"/>
      </w:rPr>
    </w:lvl>
    <w:lvl w:ilvl="4" w:tplc="19A0903E" w:tentative="1">
      <w:start w:val="1"/>
      <w:numFmt w:val="bullet"/>
      <w:lvlText w:val="o"/>
      <w:lvlJc w:val="left"/>
      <w:pPr>
        <w:tabs>
          <w:tab w:val="num" w:pos="3600"/>
        </w:tabs>
        <w:ind w:left="3600" w:hanging="360"/>
      </w:pPr>
      <w:rPr>
        <w:rFonts w:ascii="Courier New" w:hAnsi="Courier New" w:cs="Courier New" w:hint="default"/>
      </w:rPr>
    </w:lvl>
    <w:lvl w:ilvl="5" w:tplc="3968BA50" w:tentative="1">
      <w:start w:val="1"/>
      <w:numFmt w:val="bullet"/>
      <w:lvlText w:val=""/>
      <w:lvlJc w:val="left"/>
      <w:pPr>
        <w:tabs>
          <w:tab w:val="num" w:pos="4320"/>
        </w:tabs>
        <w:ind w:left="4320" w:hanging="360"/>
      </w:pPr>
      <w:rPr>
        <w:rFonts w:ascii="Wingdings" w:hAnsi="Wingdings" w:hint="default"/>
      </w:rPr>
    </w:lvl>
    <w:lvl w:ilvl="6" w:tplc="3050D5DC" w:tentative="1">
      <w:start w:val="1"/>
      <w:numFmt w:val="bullet"/>
      <w:lvlText w:val=""/>
      <w:lvlJc w:val="left"/>
      <w:pPr>
        <w:tabs>
          <w:tab w:val="num" w:pos="5040"/>
        </w:tabs>
        <w:ind w:left="5040" w:hanging="360"/>
      </w:pPr>
      <w:rPr>
        <w:rFonts w:ascii="Symbol" w:hAnsi="Symbol" w:hint="default"/>
      </w:rPr>
    </w:lvl>
    <w:lvl w:ilvl="7" w:tplc="F468D754" w:tentative="1">
      <w:start w:val="1"/>
      <w:numFmt w:val="bullet"/>
      <w:lvlText w:val="o"/>
      <w:lvlJc w:val="left"/>
      <w:pPr>
        <w:tabs>
          <w:tab w:val="num" w:pos="5760"/>
        </w:tabs>
        <w:ind w:left="5760" w:hanging="360"/>
      </w:pPr>
      <w:rPr>
        <w:rFonts w:ascii="Courier New" w:hAnsi="Courier New" w:cs="Courier New" w:hint="default"/>
      </w:rPr>
    </w:lvl>
    <w:lvl w:ilvl="8" w:tplc="67BC33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9861084">
      <w:start w:val="1"/>
      <w:numFmt w:val="bullet"/>
      <w:pStyle w:val="Lijstopsomteken2"/>
      <w:lvlText w:val="–"/>
      <w:lvlJc w:val="left"/>
      <w:pPr>
        <w:tabs>
          <w:tab w:val="num" w:pos="227"/>
        </w:tabs>
        <w:ind w:left="227" w:firstLine="0"/>
      </w:pPr>
      <w:rPr>
        <w:rFonts w:ascii="Verdana" w:hAnsi="Verdana" w:hint="default"/>
      </w:rPr>
    </w:lvl>
    <w:lvl w:ilvl="1" w:tplc="15024ACA" w:tentative="1">
      <w:start w:val="1"/>
      <w:numFmt w:val="bullet"/>
      <w:lvlText w:val="o"/>
      <w:lvlJc w:val="left"/>
      <w:pPr>
        <w:tabs>
          <w:tab w:val="num" w:pos="1440"/>
        </w:tabs>
        <w:ind w:left="1440" w:hanging="360"/>
      </w:pPr>
      <w:rPr>
        <w:rFonts w:ascii="Courier New" w:hAnsi="Courier New" w:cs="Courier New" w:hint="default"/>
      </w:rPr>
    </w:lvl>
    <w:lvl w:ilvl="2" w:tplc="B38C8F46" w:tentative="1">
      <w:start w:val="1"/>
      <w:numFmt w:val="bullet"/>
      <w:lvlText w:val=""/>
      <w:lvlJc w:val="left"/>
      <w:pPr>
        <w:tabs>
          <w:tab w:val="num" w:pos="2160"/>
        </w:tabs>
        <w:ind w:left="2160" w:hanging="360"/>
      </w:pPr>
      <w:rPr>
        <w:rFonts w:ascii="Wingdings" w:hAnsi="Wingdings" w:hint="default"/>
      </w:rPr>
    </w:lvl>
    <w:lvl w:ilvl="3" w:tplc="DCF085DC" w:tentative="1">
      <w:start w:val="1"/>
      <w:numFmt w:val="bullet"/>
      <w:lvlText w:val=""/>
      <w:lvlJc w:val="left"/>
      <w:pPr>
        <w:tabs>
          <w:tab w:val="num" w:pos="2880"/>
        </w:tabs>
        <w:ind w:left="2880" w:hanging="360"/>
      </w:pPr>
      <w:rPr>
        <w:rFonts w:ascii="Symbol" w:hAnsi="Symbol" w:hint="default"/>
      </w:rPr>
    </w:lvl>
    <w:lvl w:ilvl="4" w:tplc="B5CE0D78" w:tentative="1">
      <w:start w:val="1"/>
      <w:numFmt w:val="bullet"/>
      <w:lvlText w:val="o"/>
      <w:lvlJc w:val="left"/>
      <w:pPr>
        <w:tabs>
          <w:tab w:val="num" w:pos="3600"/>
        </w:tabs>
        <w:ind w:left="3600" w:hanging="360"/>
      </w:pPr>
      <w:rPr>
        <w:rFonts w:ascii="Courier New" w:hAnsi="Courier New" w:cs="Courier New" w:hint="default"/>
      </w:rPr>
    </w:lvl>
    <w:lvl w:ilvl="5" w:tplc="1F34784E" w:tentative="1">
      <w:start w:val="1"/>
      <w:numFmt w:val="bullet"/>
      <w:lvlText w:val=""/>
      <w:lvlJc w:val="left"/>
      <w:pPr>
        <w:tabs>
          <w:tab w:val="num" w:pos="4320"/>
        </w:tabs>
        <w:ind w:left="4320" w:hanging="360"/>
      </w:pPr>
      <w:rPr>
        <w:rFonts w:ascii="Wingdings" w:hAnsi="Wingdings" w:hint="default"/>
      </w:rPr>
    </w:lvl>
    <w:lvl w:ilvl="6" w:tplc="B99E8346" w:tentative="1">
      <w:start w:val="1"/>
      <w:numFmt w:val="bullet"/>
      <w:lvlText w:val=""/>
      <w:lvlJc w:val="left"/>
      <w:pPr>
        <w:tabs>
          <w:tab w:val="num" w:pos="5040"/>
        </w:tabs>
        <w:ind w:left="5040" w:hanging="360"/>
      </w:pPr>
      <w:rPr>
        <w:rFonts w:ascii="Symbol" w:hAnsi="Symbol" w:hint="default"/>
      </w:rPr>
    </w:lvl>
    <w:lvl w:ilvl="7" w:tplc="ADFAEB64" w:tentative="1">
      <w:start w:val="1"/>
      <w:numFmt w:val="bullet"/>
      <w:lvlText w:val="o"/>
      <w:lvlJc w:val="left"/>
      <w:pPr>
        <w:tabs>
          <w:tab w:val="num" w:pos="5760"/>
        </w:tabs>
        <w:ind w:left="5760" w:hanging="360"/>
      </w:pPr>
      <w:rPr>
        <w:rFonts w:ascii="Courier New" w:hAnsi="Courier New" w:cs="Courier New" w:hint="default"/>
      </w:rPr>
    </w:lvl>
    <w:lvl w:ilvl="8" w:tplc="FBBC20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06DED"/>
    <w:multiLevelType w:val="hybridMultilevel"/>
    <w:tmpl w:val="DFDC9520"/>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14" w15:restartNumberingAfterBreak="0">
    <w:nsid w:val="506451E0"/>
    <w:multiLevelType w:val="multilevel"/>
    <w:tmpl w:val="8C7AC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49025E"/>
    <w:multiLevelType w:val="hybridMultilevel"/>
    <w:tmpl w:val="27648072"/>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C60520F"/>
    <w:multiLevelType w:val="hybridMultilevel"/>
    <w:tmpl w:val="9F1C60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04315626">
    <w:abstractNumId w:val="10"/>
  </w:num>
  <w:num w:numId="2" w16cid:durableId="1179537582">
    <w:abstractNumId w:val="7"/>
  </w:num>
  <w:num w:numId="3" w16cid:durableId="249585510">
    <w:abstractNumId w:val="6"/>
  </w:num>
  <w:num w:numId="4" w16cid:durableId="1520580244">
    <w:abstractNumId w:val="5"/>
  </w:num>
  <w:num w:numId="5" w16cid:durableId="1857690660">
    <w:abstractNumId w:val="4"/>
  </w:num>
  <w:num w:numId="6" w16cid:durableId="1712683713">
    <w:abstractNumId w:val="8"/>
  </w:num>
  <w:num w:numId="7" w16cid:durableId="531461314">
    <w:abstractNumId w:val="3"/>
  </w:num>
  <w:num w:numId="8" w16cid:durableId="1713798744">
    <w:abstractNumId w:val="2"/>
  </w:num>
  <w:num w:numId="9" w16cid:durableId="2068256479">
    <w:abstractNumId w:val="1"/>
  </w:num>
  <w:num w:numId="10" w16cid:durableId="1649896692">
    <w:abstractNumId w:val="0"/>
  </w:num>
  <w:num w:numId="11" w16cid:durableId="2093353230">
    <w:abstractNumId w:val="9"/>
  </w:num>
  <w:num w:numId="12" w16cid:durableId="1164710886">
    <w:abstractNumId w:val="11"/>
  </w:num>
  <w:num w:numId="13" w16cid:durableId="1819304820">
    <w:abstractNumId w:val="15"/>
  </w:num>
  <w:num w:numId="14" w16cid:durableId="803503327">
    <w:abstractNumId w:val="12"/>
  </w:num>
  <w:num w:numId="15" w16cid:durableId="1783114742">
    <w:abstractNumId w:val="14"/>
  </w:num>
  <w:num w:numId="16" w16cid:durableId="1524396592">
    <w:abstractNumId w:val="16"/>
  </w:num>
  <w:num w:numId="17" w16cid:durableId="97798480">
    <w:abstractNumId w:val="13"/>
  </w:num>
  <w:num w:numId="18" w16cid:durableId="122506955">
    <w:abstractNumId w:val="17"/>
  </w:num>
  <w:num w:numId="19" w16cid:durableId="79167626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098B"/>
    <w:rsid w:val="00092799"/>
    <w:rsid w:val="00092A99"/>
    <w:rsid w:val="00092C5F"/>
    <w:rsid w:val="00093ABC"/>
    <w:rsid w:val="00096680"/>
    <w:rsid w:val="000A0F36"/>
    <w:rsid w:val="000A174A"/>
    <w:rsid w:val="000A2F33"/>
    <w:rsid w:val="000A3E0A"/>
    <w:rsid w:val="000A65AC"/>
    <w:rsid w:val="000B7281"/>
    <w:rsid w:val="000B7FAB"/>
    <w:rsid w:val="000C13A8"/>
    <w:rsid w:val="000C1BA1"/>
    <w:rsid w:val="000C3EA9"/>
    <w:rsid w:val="000C4A32"/>
    <w:rsid w:val="000C65BB"/>
    <w:rsid w:val="000C7119"/>
    <w:rsid w:val="000D0225"/>
    <w:rsid w:val="000D6399"/>
    <w:rsid w:val="000E4A75"/>
    <w:rsid w:val="000E5886"/>
    <w:rsid w:val="000E7895"/>
    <w:rsid w:val="000E7D9D"/>
    <w:rsid w:val="000F161D"/>
    <w:rsid w:val="000F1B4E"/>
    <w:rsid w:val="000F1FFF"/>
    <w:rsid w:val="00100203"/>
    <w:rsid w:val="00104B4D"/>
    <w:rsid w:val="001177B4"/>
    <w:rsid w:val="00122CF9"/>
    <w:rsid w:val="00123159"/>
    <w:rsid w:val="00123704"/>
    <w:rsid w:val="001270C7"/>
    <w:rsid w:val="00132540"/>
    <w:rsid w:val="001377D4"/>
    <w:rsid w:val="00142E41"/>
    <w:rsid w:val="001461F2"/>
    <w:rsid w:val="001475E9"/>
    <w:rsid w:val="0014786A"/>
    <w:rsid w:val="001516A4"/>
    <w:rsid w:val="00151E5F"/>
    <w:rsid w:val="00153BD0"/>
    <w:rsid w:val="001569AB"/>
    <w:rsid w:val="00164D63"/>
    <w:rsid w:val="0016725C"/>
    <w:rsid w:val="00167DE5"/>
    <w:rsid w:val="0017008F"/>
    <w:rsid w:val="001708D7"/>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96E79"/>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0261B"/>
    <w:rsid w:val="00210BA3"/>
    <w:rsid w:val="00212F2A"/>
    <w:rsid w:val="00214F2B"/>
    <w:rsid w:val="00215D8B"/>
    <w:rsid w:val="00217880"/>
    <w:rsid w:val="00222D66"/>
    <w:rsid w:val="0022441A"/>
    <w:rsid w:val="00224A8A"/>
    <w:rsid w:val="00230338"/>
    <w:rsid w:val="002309A8"/>
    <w:rsid w:val="00236CFE"/>
    <w:rsid w:val="002428E3"/>
    <w:rsid w:val="0024430A"/>
    <w:rsid w:val="00245FF7"/>
    <w:rsid w:val="00253B65"/>
    <w:rsid w:val="0026060B"/>
    <w:rsid w:val="00260BAF"/>
    <w:rsid w:val="002610A6"/>
    <w:rsid w:val="00263F3D"/>
    <w:rsid w:val="00263FD6"/>
    <w:rsid w:val="002650F7"/>
    <w:rsid w:val="0026686B"/>
    <w:rsid w:val="00273F3B"/>
    <w:rsid w:val="00274DB7"/>
    <w:rsid w:val="00275984"/>
    <w:rsid w:val="00276199"/>
    <w:rsid w:val="002768F3"/>
    <w:rsid w:val="00276DA4"/>
    <w:rsid w:val="00280F74"/>
    <w:rsid w:val="00286998"/>
    <w:rsid w:val="0029027F"/>
    <w:rsid w:val="00291AB7"/>
    <w:rsid w:val="0029422B"/>
    <w:rsid w:val="00294DCB"/>
    <w:rsid w:val="002A06CE"/>
    <w:rsid w:val="002A37B5"/>
    <w:rsid w:val="002A6722"/>
    <w:rsid w:val="002B153C"/>
    <w:rsid w:val="002B52FC"/>
    <w:rsid w:val="002C26D0"/>
    <w:rsid w:val="002C2830"/>
    <w:rsid w:val="002C3CE0"/>
    <w:rsid w:val="002C40AF"/>
    <w:rsid w:val="002D001A"/>
    <w:rsid w:val="002D08E0"/>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2E3"/>
    <w:rsid w:val="00361A56"/>
    <w:rsid w:val="0036252A"/>
    <w:rsid w:val="00364D9D"/>
    <w:rsid w:val="00371048"/>
    <w:rsid w:val="0037396C"/>
    <w:rsid w:val="0037421D"/>
    <w:rsid w:val="00376093"/>
    <w:rsid w:val="0037715E"/>
    <w:rsid w:val="003813DD"/>
    <w:rsid w:val="00382269"/>
    <w:rsid w:val="00383DA1"/>
    <w:rsid w:val="00385F30"/>
    <w:rsid w:val="00387600"/>
    <w:rsid w:val="003911F5"/>
    <w:rsid w:val="00393696"/>
    <w:rsid w:val="00393963"/>
    <w:rsid w:val="00395575"/>
    <w:rsid w:val="00395672"/>
    <w:rsid w:val="003A06C8"/>
    <w:rsid w:val="003A0D7C"/>
    <w:rsid w:val="003A224C"/>
    <w:rsid w:val="003A64ED"/>
    <w:rsid w:val="003A7160"/>
    <w:rsid w:val="003B0155"/>
    <w:rsid w:val="003B3609"/>
    <w:rsid w:val="003B4551"/>
    <w:rsid w:val="003B528D"/>
    <w:rsid w:val="003B6D32"/>
    <w:rsid w:val="003B7EE7"/>
    <w:rsid w:val="003C2CCB"/>
    <w:rsid w:val="003C4A1C"/>
    <w:rsid w:val="003C5BCB"/>
    <w:rsid w:val="003D264A"/>
    <w:rsid w:val="003D39EC"/>
    <w:rsid w:val="003D40EA"/>
    <w:rsid w:val="003E1382"/>
    <w:rsid w:val="003E3DD5"/>
    <w:rsid w:val="003F07C6"/>
    <w:rsid w:val="003F1F6B"/>
    <w:rsid w:val="003F3757"/>
    <w:rsid w:val="003F44B7"/>
    <w:rsid w:val="003F573F"/>
    <w:rsid w:val="004008E9"/>
    <w:rsid w:val="00407991"/>
    <w:rsid w:val="0041019E"/>
    <w:rsid w:val="00413D48"/>
    <w:rsid w:val="00424A60"/>
    <w:rsid w:val="00434500"/>
    <w:rsid w:val="00440341"/>
    <w:rsid w:val="00441AC2"/>
    <w:rsid w:val="0044249B"/>
    <w:rsid w:val="004425A7"/>
    <w:rsid w:val="0044338F"/>
    <w:rsid w:val="0044605E"/>
    <w:rsid w:val="0045023C"/>
    <w:rsid w:val="00451A5B"/>
    <w:rsid w:val="00452BCD"/>
    <w:rsid w:val="00452CEA"/>
    <w:rsid w:val="00463A63"/>
    <w:rsid w:val="00463AE3"/>
    <w:rsid w:val="00465B52"/>
    <w:rsid w:val="0046708E"/>
    <w:rsid w:val="00467D61"/>
    <w:rsid w:val="0047126E"/>
    <w:rsid w:val="004722BE"/>
    <w:rsid w:val="00472A65"/>
    <w:rsid w:val="00473580"/>
    <w:rsid w:val="00474463"/>
    <w:rsid w:val="00474B75"/>
    <w:rsid w:val="00483ECA"/>
    <w:rsid w:val="00483F0B"/>
    <w:rsid w:val="0049501A"/>
    <w:rsid w:val="00496319"/>
    <w:rsid w:val="0049657E"/>
    <w:rsid w:val="00497279"/>
    <w:rsid w:val="004A010B"/>
    <w:rsid w:val="004A3186"/>
    <w:rsid w:val="004A419C"/>
    <w:rsid w:val="004A670A"/>
    <w:rsid w:val="004B0811"/>
    <w:rsid w:val="004B4901"/>
    <w:rsid w:val="004B5465"/>
    <w:rsid w:val="004B6487"/>
    <w:rsid w:val="004B70F0"/>
    <w:rsid w:val="004C0035"/>
    <w:rsid w:val="004C1299"/>
    <w:rsid w:val="004C7833"/>
    <w:rsid w:val="004C7E1D"/>
    <w:rsid w:val="004D065C"/>
    <w:rsid w:val="004D33FE"/>
    <w:rsid w:val="004D373A"/>
    <w:rsid w:val="004D39A8"/>
    <w:rsid w:val="004D4703"/>
    <w:rsid w:val="004D505E"/>
    <w:rsid w:val="004D67E8"/>
    <w:rsid w:val="004D72CA"/>
    <w:rsid w:val="004E01C8"/>
    <w:rsid w:val="004E2242"/>
    <w:rsid w:val="004F0F6D"/>
    <w:rsid w:val="004F2483"/>
    <w:rsid w:val="004F42FF"/>
    <w:rsid w:val="004F44C2"/>
    <w:rsid w:val="0050113F"/>
    <w:rsid w:val="00505262"/>
    <w:rsid w:val="00507030"/>
    <w:rsid w:val="005107B1"/>
    <w:rsid w:val="00516022"/>
    <w:rsid w:val="0052042A"/>
    <w:rsid w:val="00521CEE"/>
    <w:rsid w:val="00527BD4"/>
    <w:rsid w:val="00530470"/>
    <w:rsid w:val="00530C1C"/>
    <w:rsid w:val="00533061"/>
    <w:rsid w:val="00533FA1"/>
    <w:rsid w:val="00534C77"/>
    <w:rsid w:val="005403C8"/>
    <w:rsid w:val="00541AD9"/>
    <w:rsid w:val="005429DC"/>
    <w:rsid w:val="005562C3"/>
    <w:rsid w:val="005565F9"/>
    <w:rsid w:val="00556757"/>
    <w:rsid w:val="00561FF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1BF1"/>
    <w:rsid w:val="005B3441"/>
    <w:rsid w:val="005B463E"/>
    <w:rsid w:val="005B4FAC"/>
    <w:rsid w:val="005B5D8B"/>
    <w:rsid w:val="005C0369"/>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A4D"/>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7CA"/>
    <w:rsid w:val="006B0BF3"/>
    <w:rsid w:val="006B1516"/>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BAC"/>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1CD9"/>
    <w:rsid w:val="00764585"/>
    <w:rsid w:val="007661C9"/>
    <w:rsid w:val="00767FEF"/>
    <w:rsid w:val="007709EF"/>
    <w:rsid w:val="00783559"/>
    <w:rsid w:val="007846ED"/>
    <w:rsid w:val="00784BDF"/>
    <w:rsid w:val="00785C3B"/>
    <w:rsid w:val="00797AA5"/>
    <w:rsid w:val="007A26BD"/>
    <w:rsid w:val="007A4105"/>
    <w:rsid w:val="007A4F0E"/>
    <w:rsid w:val="007A514C"/>
    <w:rsid w:val="007B0D8E"/>
    <w:rsid w:val="007B4503"/>
    <w:rsid w:val="007C03C9"/>
    <w:rsid w:val="007C16D8"/>
    <w:rsid w:val="007C406E"/>
    <w:rsid w:val="007C5183"/>
    <w:rsid w:val="007C67F7"/>
    <w:rsid w:val="007C7573"/>
    <w:rsid w:val="007D7C0F"/>
    <w:rsid w:val="007E14E4"/>
    <w:rsid w:val="007E2B20"/>
    <w:rsid w:val="007E51E7"/>
    <w:rsid w:val="007F5331"/>
    <w:rsid w:val="007F7207"/>
    <w:rsid w:val="00800CCA"/>
    <w:rsid w:val="008020F2"/>
    <w:rsid w:val="00806120"/>
    <w:rsid w:val="00810C93"/>
    <w:rsid w:val="00812028"/>
    <w:rsid w:val="00812DD8"/>
    <w:rsid w:val="00813082"/>
    <w:rsid w:val="00813527"/>
    <w:rsid w:val="00814120"/>
    <w:rsid w:val="00814D03"/>
    <w:rsid w:val="00815C7E"/>
    <w:rsid w:val="00816F78"/>
    <w:rsid w:val="00821114"/>
    <w:rsid w:val="008211EF"/>
    <w:rsid w:val="00821FC1"/>
    <w:rsid w:val="008267CC"/>
    <w:rsid w:val="0083178B"/>
    <w:rsid w:val="00833695"/>
    <w:rsid w:val="008336B7"/>
    <w:rsid w:val="00833A8E"/>
    <w:rsid w:val="00837F53"/>
    <w:rsid w:val="0084255A"/>
    <w:rsid w:val="00842CD8"/>
    <w:rsid w:val="008431FA"/>
    <w:rsid w:val="008547BA"/>
    <w:rsid w:val="008553C7"/>
    <w:rsid w:val="00857FEB"/>
    <w:rsid w:val="008601AF"/>
    <w:rsid w:val="008705A8"/>
    <w:rsid w:val="00872271"/>
    <w:rsid w:val="008731F6"/>
    <w:rsid w:val="00874982"/>
    <w:rsid w:val="008762B6"/>
    <w:rsid w:val="00883137"/>
    <w:rsid w:val="0088579F"/>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6486D"/>
    <w:rsid w:val="009716D8"/>
    <w:rsid w:val="009718F9"/>
    <w:rsid w:val="009724E4"/>
    <w:rsid w:val="00972FB9"/>
    <w:rsid w:val="00975112"/>
    <w:rsid w:val="009812EB"/>
    <w:rsid w:val="00981768"/>
    <w:rsid w:val="009838BB"/>
    <w:rsid w:val="00983E8F"/>
    <w:rsid w:val="00992338"/>
    <w:rsid w:val="00994FDA"/>
    <w:rsid w:val="00997D15"/>
    <w:rsid w:val="009A14D0"/>
    <w:rsid w:val="009A31BF"/>
    <w:rsid w:val="009A3B71"/>
    <w:rsid w:val="009A5914"/>
    <w:rsid w:val="009A61BC"/>
    <w:rsid w:val="009B0138"/>
    <w:rsid w:val="009B0FE9"/>
    <w:rsid w:val="009B173A"/>
    <w:rsid w:val="009B5846"/>
    <w:rsid w:val="009B601B"/>
    <w:rsid w:val="009C3F20"/>
    <w:rsid w:val="009C64FB"/>
    <w:rsid w:val="009C7CA1"/>
    <w:rsid w:val="009D043D"/>
    <w:rsid w:val="009D1695"/>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2D21"/>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95A5B"/>
    <w:rsid w:val="00A96E66"/>
    <w:rsid w:val="00AA70B0"/>
    <w:rsid w:val="00AA7FC9"/>
    <w:rsid w:val="00AB0E23"/>
    <w:rsid w:val="00AB237D"/>
    <w:rsid w:val="00AB50E6"/>
    <w:rsid w:val="00AB5933"/>
    <w:rsid w:val="00AC3883"/>
    <w:rsid w:val="00AC61B7"/>
    <w:rsid w:val="00AD0118"/>
    <w:rsid w:val="00AD34B3"/>
    <w:rsid w:val="00AD5B44"/>
    <w:rsid w:val="00AD7608"/>
    <w:rsid w:val="00AD7CAA"/>
    <w:rsid w:val="00AE013D"/>
    <w:rsid w:val="00AE11B7"/>
    <w:rsid w:val="00AE1718"/>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20B5"/>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A81"/>
    <w:rsid w:val="00B777C7"/>
    <w:rsid w:val="00B8014B"/>
    <w:rsid w:val="00B80382"/>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728"/>
    <w:rsid w:val="00BE3F88"/>
    <w:rsid w:val="00BE4756"/>
    <w:rsid w:val="00BE5ED9"/>
    <w:rsid w:val="00BE7B41"/>
    <w:rsid w:val="00BF4427"/>
    <w:rsid w:val="00BF46B6"/>
    <w:rsid w:val="00BF5675"/>
    <w:rsid w:val="00C01392"/>
    <w:rsid w:val="00C06A70"/>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275B"/>
    <w:rsid w:val="00C736E8"/>
    <w:rsid w:val="00C73D5F"/>
    <w:rsid w:val="00C83DB1"/>
    <w:rsid w:val="00C90B0F"/>
    <w:rsid w:val="00C965EF"/>
    <w:rsid w:val="00C97C80"/>
    <w:rsid w:val="00CA1D00"/>
    <w:rsid w:val="00CA47D3"/>
    <w:rsid w:val="00CA48EF"/>
    <w:rsid w:val="00CA6288"/>
    <w:rsid w:val="00CA6533"/>
    <w:rsid w:val="00CA67BE"/>
    <w:rsid w:val="00CA6A25"/>
    <w:rsid w:val="00CA6A3F"/>
    <w:rsid w:val="00CA7C99"/>
    <w:rsid w:val="00CC15DE"/>
    <w:rsid w:val="00CC6290"/>
    <w:rsid w:val="00CD233D"/>
    <w:rsid w:val="00CD362D"/>
    <w:rsid w:val="00CD7FBA"/>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47D04"/>
    <w:rsid w:val="00D516BE"/>
    <w:rsid w:val="00D5423B"/>
    <w:rsid w:val="00D54F4E"/>
    <w:rsid w:val="00D57D9F"/>
    <w:rsid w:val="00D604B3"/>
    <w:rsid w:val="00D60BA4"/>
    <w:rsid w:val="00D62419"/>
    <w:rsid w:val="00D62AD8"/>
    <w:rsid w:val="00D65336"/>
    <w:rsid w:val="00D66074"/>
    <w:rsid w:val="00D75B3F"/>
    <w:rsid w:val="00D76408"/>
    <w:rsid w:val="00D76C17"/>
    <w:rsid w:val="00D77870"/>
    <w:rsid w:val="00D807E5"/>
    <w:rsid w:val="00D80977"/>
    <w:rsid w:val="00D80CCE"/>
    <w:rsid w:val="00D849AF"/>
    <w:rsid w:val="00D86EEA"/>
    <w:rsid w:val="00D87D03"/>
    <w:rsid w:val="00D93170"/>
    <w:rsid w:val="00D95C88"/>
    <w:rsid w:val="00D974D1"/>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64975"/>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1296"/>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4BE"/>
    <w:rsid w:val="00F66F13"/>
    <w:rsid w:val="00F7145D"/>
    <w:rsid w:val="00F71B5E"/>
    <w:rsid w:val="00F74073"/>
    <w:rsid w:val="00F75603"/>
    <w:rsid w:val="00F77BE5"/>
    <w:rsid w:val="00F845B4"/>
    <w:rsid w:val="00F8713B"/>
    <w:rsid w:val="00F904FB"/>
    <w:rsid w:val="00F93D41"/>
    <w:rsid w:val="00F93F9E"/>
    <w:rsid w:val="00F950BC"/>
    <w:rsid w:val="00F95358"/>
    <w:rsid w:val="00FA2CD7"/>
    <w:rsid w:val="00FA5AD5"/>
    <w:rsid w:val="00FB06ED"/>
    <w:rsid w:val="00FB3008"/>
    <w:rsid w:val="00FB61E1"/>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5A1FD"/>
  <w15:docId w15:val="{29B3598B-7E21-4CA9-95C6-E13D3DC2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612E3"/>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3"/>
    <w:basedOn w:val="Standaard"/>
    <w:link w:val="LijstalineaChar"/>
    <w:uiPriority w:val="34"/>
    <w:qFormat/>
    <w:rsid w:val="004E01C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unhideWhenUsed/>
    <w:rsid w:val="004E01C8"/>
    <w:pPr>
      <w:spacing w:line="240" w:lineRule="auto"/>
    </w:pPr>
    <w:rPr>
      <w:sz w:val="20"/>
      <w:szCs w:val="20"/>
    </w:rPr>
  </w:style>
  <w:style w:type="character" w:customStyle="1" w:styleId="VoetnoottekstChar">
    <w:name w:val="Voetnoottekst Char"/>
    <w:basedOn w:val="Standaardalinea-lettertype"/>
    <w:link w:val="Voetnoottekst"/>
    <w:uiPriority w:val="99"/>
    <w:rsid w:val="004E01C8"/>
    <w:rPr>
      <w:rFonts w:ascii="Verdana" w:hAnsi="Verdana"/>
      <w:lang w:val="nl-NL" w:eastAsia="nl-NL"/>
    </w:rPr>
  </w:style>
  <w:style w:type="character" w:styleId="Voetnootmarkering">
    <w:name w:val="footnote reference"/>
    <w:basedOn w:val="Standaardalinea-lettertype"/>
    <w:uiPriority w:val="99"/>
    <w:unhideWhenUsed/>
    <w:rsid w:val="004E01C8"/>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4E01C8"/>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rsid w:val="003612E3"/>
    <w:rPr>
      <w:sz w:val="16"/>
      <w:szCs w:val="16"/>
    </w:rPr>
  </w:style>
  <w:style w:type="paragraph" w:styleId="Tekstopmerking">
    <w:name w:val="annotation text"/>
    <w:basedOn w:val="Standaard"/>
    <w:link w:val="TekstopmerkingChar"/>
    <w:rsid w:val="003612E3"/>
    <w:pPr>
      <w:spacing w:line="240" w:lineRule="auto"/>
    </w:pPr>
    <w:rPr>
      <w:sz w:val="20"/>
      <w:szCs w:val="20"/>
    </w:rPr>
  </w:style>
  <w:style w:type="character" w:customStyle="1" w:styleId="TekstopmerkingChar">
    <w:name w:val="Tekst opmerking Char"/>
    <w:basedOn w:val="Standaardalinea-lettertype"/>
    <w:link w:val="Tekstopmerking"/>
    <w:rsid w:val="003612E3"/>
    <w:rPr>
      <w:rFonts w:ascii="Verdana" w:hAnsi="Verdana"/>
      <w:lang w:val="nl-NL" w:eastAsia="nl-NL"/>
    </w:rPr>
  </w:style>
  <w:style w:type="paragraph" w:styleId="Onderwerpvanopmerking">
    <w:name w:val="annotation subject"/>
    <w:basedOn w:val="Tekstopmerking"/>
    <w:next w:val="Tekstopmerking"/>
    <w:link w:val="OnderwerpvanopmerkingChar"/>
    <w:rsid w:val="003612E3"/>
    <w:rPr>
      <w:b/>
      <w:bCs/>
    </w:rPr>
  </w:style>
  <w:style w:type="character" w:customStyle="1" w:styleId="OnderwerpvanopmerkingChar">
    <w:name w:val="Onderwerp van opmerking Char"/>
    <w:basedOn w:val="TekstopmerkingChar"/>
    <w:link w:val="Onderwerpvanopmerking"/>
    <w:rsid w:val="003612E3"/>
    <w:rPr>
      <w:rFonts w:ascii="Verdana" w:hAnsi="Verdana"/>
      <w:b/>
      <w:bCs/>
      <w:lang w:val="nl-NL" w:eastAsia="nl-NL"/>
    </w:rPr>
  </w:style>
  <w:style w:type="paragraph" w:styleId="Revisie">
    <w:name w:val="Revision"/>
    <w:hidden/>
    <w:uiPriority w:val="99"/>
    <w:semiHidden/>
    <w:rsid w:val="006F0BAC"/>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391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www.rijksoverheid.n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1110</ap:Words>
  <ap:Characters>6107</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2026-06-02T08:26:00.0000000Z</dcterms:created>
  <dcterms:modified xsi:type="dcterms:W3CDTF">2026-06-02T08:26:00.0000000Z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O200KER</vt:lpwstr>
  </property>
  <property fmtid="{D5CDD505-2E9C-101B-9397-08002B2CF9AE}" pid="3" name="Author">
    <vt:lpwstr>O200KER</vt:lpwstr>
  </property>
  <property fmtid="{D5CDD505-2E9C-101B-9397-08002B2CF9AE}" pid="4" name="cs_objectid">
    <vt:lpwstr>63478429</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Adviesvraag in het kader van het Programma Erfgoed en Overheid</vt:lpwstr>
  </property>
  <property fmtid="{D5CDD505-2E9C-101B-9397-08002B2CF9AE}" pid="8" name="ocw_directie">
    <vt:lpwstr>EENK/SB</vt:lpwstr>
  </property>
  <property fmtid="{D5CDD505-2E9C-101B-9397-08002B2CF9AE}" pid="9" name="ocw_naw_adres">
    <vt:lpwstr>Prins Willem Alexanderhof </vt:lpwstr>
  </property>
  <property fmtid="{D5CDD505-2E9C-101B-9397-08002B2CF9AE}" pid="10" name="ocw_naw_huisnr">
    <vt:lpwstr>20</vt:lpwstr>
  </property>
  <property fmtid="{D5CDD505-2E9C-101B-9397-08002B2CF9AE}" pid="11" name="ocw_naw_naam">
    <vt:lpwstr/>
  </property>
  <property fmtid="{D5CDD505-2E9C-101B-9397-08002B2CF9AE}" pid="12" name="ocw_naw_org">
    <vt:lpwstr>Raad voor Cultuur</vt:lpwstr>
  </property>
  <property fmtid="{D5CDD505-2E9C-101B-9397-08002B2CF9AE}" pid="13" name="ocw_naw_postc">
    <vt:lpwstr>2595 BE</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O200KER</vt:lpwstr>
  </property>
</Properties>
</file>