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6107AE" w:rsidTr="00D9561B" w14:paraId="3C71B7A9" w14:textId="77777777">
        <w:trPr>
          <w:trHeight w:val="1514"/>
        </w:trPr>
        <w:tc>
          <w:tcPr>
            <w:tcW w:w="7522" w:type="dxa"/>
            <w:tcBorders>
              <w:top w:val="nil"/>
              <w:left w:val="nil"/>
              <w:bottom w:val="nil"/>
              <w:right w:val="nil"/>
            </w:tcBorders>
            <w:tcMar>
              <w:left w:w="0" w:type="dxa"/>
              <w:right w:w="0" w:type="dxa"/>
            </w:tcMar>
          </w:tcPr>
          <w:p w:rsidR="00374412" w:rsidP="00EA7AB8" w:rsidRDefault="008A1490" w14:paraId="048B1C76" w14:textId="77777777">
            <w:r>
              <w:t>De v</w:t>
            </w:r>
            <w:r w:rsidR="008E3932">
              <w:t>oorzitter van de Tweede Kamer der Staten-Generaal</w:t>
            </w:r>
          </w:p>
          <w:p w:rsidR="00374412" w:rsidP="00EA7AB8" w:rsidRDefault="008A1490" w14:paraId="67CF9409" w14:textId="77777777">
            <w:r>
              <w:t>Postbus 20018</w:t>
            </w:r>
          </w:p>
          <w:p w:rsidR="008E3932" w:rsidP="00EA7AB8" w:rsidRDefault="008A1490" w14:paraId="216F0DD0"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6107AE" w:rsidTr="00FF66F9" w14:paraId="7B37396F" w14:textId="77777777">
        <w:trPr>
          <w:trHeight w:val="289" w:hRule="exact"/>
        </w:trPr>
        <w:tc>
          <w:tcPr>
            <w:tcW w:w="929" w:type="dxa"/>
          </w:tcPr>
          <w:p w:rsidRPr="00434042" w:rsidR="0005404B" w:rsidP="00EA7AB8" w:rsidRDefault="008A1490" w14:paraId="719F92BA" w14:textId="77777777">
            <w:pPr>
              <w:rPr>
                <w:lang w:eastAsia="en-US"/>
              </w:rPr>
            </w:pPr>
            <w:r>
              <w:rPr>
                <w:lang w:eastAsia="en-US"/>
              </w:rPr>
              <w:t>Datum</w:t>
            </w:r>
          </w:p>
        </w:tc>
        <w:tc>
          <w:tcPr>
            <w:tcW w:w="6581" w:type="dxa"/>
          </w:tcPr>
          <w:p w:rsidRPr="00434042" w:rsidR="0005404B" w:rsidP="00EA7AB8" w:rsidRDefault="00A61A12" w14:paraId="11CCDC97" w14:textId="1B30D621">
            <w:pPr>
              <w:rPr>
                <w:lang w:eastAsia="en-US"/>
              </w:rPr>
            </w:pPr>
            <w:r>
              <w:rPr>
                <w:lang w:eastAsia="en-US"/>
              </w:rPr>
              <w:t>2 juni 2026</w:t>
            </w:r>
          </w:p>
        </w:tc>
      </w:tr>
      <w:tr w:rsidR="006107AE" w:rsidTr="00FF66F9" w14:paraId="3B2BD259" w14:textId="77777777">
        <w:trPr>
          <w:trHeight w:val="368"/>
        </w:trPr>
        <w:tc>
          <w:tcPr>
            <w:tcW w:w="929" w:type="dxa"/>
          </w:tcPr>
          <w:p w:rsidR="0005404B" w:rsidP="00EA7AB8" w:rsidRDefault="008A1490" w14:paraId="10A35A74" w14:textId="77777777">
            <w:pPr>
              <w:rPr>
                <w:lang w:eastAsia="en-US"/>
              </w:rPr>
            </w:pPr>
            <w:r>
              <w:rPr>
                <w:lang w:eastAsia="en-US"/>
              </w:rPr>
              <w:t>Betreft</w:t>
            </w:r>
          </w:p>
        </w:tc>
        <w:tc>
          <w:tcPr>
            <w:tcW w:w="6581" w:type="dxa"/>
          </w:tcPr>
          <w:p w:rsidR="0005404B" w:rsidP="00EA7AB8" w:rsidRDefault="008A1490" w14:paraId="65D1C2D2" w14:textId="77777777">
            <w:pPr>
              <w:rPr>
                <w:lang w:eastAsia="en-US"/>
              </w:rPr>
            </w:pPr>
            <w:r>
              <w:rPr>
                <w:lang w:eastAsia="en-US"/>
              </w:rPr>
              <w:t>Stand van zaken moties en toezeggingen erfgoed</w:t>
            </w:r>
          </w:p>
        </w:tc>
      </w:tr>
    </w:tbl>
    <w:p w:rsidR="006107AE" w:rsidP="00EA7AB8" w:rsidRDefault="00B20109" w14:paraId="1B3174EE" w14:textId="47D329B4">
      <w:r w:rsidRP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1350A9" w:rsidR="006107AE" w:rsidTr="00A421A1" w14:paraId="065B8D44" w14:textId="77777777">
        <w:tc>
          <w:tcPr>
            <w:tcW w:w="2160" w:type="dxa"/>
          </w:tcPr>
          <w:p w:rsidRPr="00F53C9D" w:rsidR="006205C0" w:rsidP="00EA7AB8" w:rsidRDefault="008A1490" w14:paraId="535F84B5" w14:textId="77777777">
            <w:pPr>
              <w:pStyle w:val="Colofonkop"/>
              <w:framePr w:hSpace="0" w:wrap="auto" w:hAnchor="text" w:vAnchor="margin" w:xAlign="left" w:yAlign="inline"/>
              <w:spacing w:line="240" w:lineRule="atLeast"/>
            </w:pPr>
            <w:r>
              <w:t>Erfgoed en Kunsten</w:t>
            </w:r>
          </w:p>
          <w:p w:rsidR="006205C0" w:rsidP="00EA7AB8" w:rsidRDefault="008A1490" w14:paraId="12730114" w14:textId="77777777">
            <w:pPr>
              <w:pStyle w:val="Huisstijl-Gegeven"/>
              <w:spacing w:after="0" w:line="240" w:lineRule="atLeast"/>
            </w:pPr>
            <w:r>
              <w:t xml:space="preserve">Rijnstraat 50 </w:t>
            </w:r>
          </w:p>
          <w:p w:rsidR="004425A7" w:rsidP="00EA7AB8" w:rsidRDefault="008A1490" w14:paraId="60FD1044" w14:textId="77777777">
            <w:pPr>
              <w:pStyle w:val="Huisstijl-Gegeven"/>
              <w:spacing w:after="0" w:line="240" w:lineRule="atLeast"/>
            </w:pPr>
            <w:r>
              <w:t>Den Haag</w:t>
            </w:r>
          </w:p>
          <w:p w:rsidR="004425A7" w:rsidP="00EA7AB8" w:rsidRDefault="008A1490" w14:paraId="6765DCCA" w14:textId="77777777">
            <w:pPr>
              <w:pStyle w:val="Huisstijl-Gegeven"/>
              <w:spacing w:after="0" w:line="240" w:lineRule="atLeast"/>
            </w:pPr>
            <w:r>
              <w:t>Postbus 16375</w:t>
            </w:r>
          </w:p>
          <w:p w:rsidR="004425A7" w:rsidP="00EA7AB8" w:rsidRDefault="008A1490" w14:paraId="49D4144A" w14:textId="77777777">
            <w:pPr>
              <w:pStyle w:val="Huisstijl-Gegeven"/>
              <w:spacing w:after="0" w:line="240" w:lineRule="atLeast"/>
            </w:pPr>
            <w:r>
              <w:t>2500 BJ Den Haag</w:t>
            </w:r>
          </w:p>
          <w:p w:rsidR="004425A7" w:rsidP="00EA7AB8" w:rsidRDefault="008A1490" w14:paraId="681B2BBA" w14:textId="77777777">
            <w:pPr>
              <w:pStyle w:val="Huisstijl-Gegeven"/>
              <w:spacing w:after="90" w:line="240" w:lineRule="atLeast"/>
            </w:pPr>
            <w:r>
              <w:t>www.rijksoverheid.nl</w:t>
            </w:r>
          </w:p>
          <w:p w:rsidRPr="009445E9" w:rsidR="006205C0" w:rsidP="00EA7AB8" w:rsidRDefault="006205C0" w14:paraId="40FEB466" w14:textId="0E393790">
            <w:pPr>
              <w:rPr>
                <w:sz w:val="13"/>
                <w:szCs w:val="13"/>
              </w:rPr>
            </w:pPr>
          </w:p>
        </w:tc>
      </w:tr>
      <w:tr w:rsidRPr="001350A9" w:rsidR="006107AE" w:rsidTr="00A421A1" w14:paraId="2184B062" w14:textId="77777777">
        <w:trPr>
          <w:trHeight w:val="200" w:hRule="exact"/>
        </w:trPr>
        <w:tc>
          <w:tcPr>
            <w:tcW w:w="2160" w:type="dxa"/>
          </w:tcPr>
          <w:p w:rsidRPr="009445E9" w:rsidR="006205C0" w:rsidP="00EA7AB8" w:rsidRDefault="006205C0" w14:paraId="014725E0" w14:textId="77777777">
            <w:pPr>
              <w:spacing w:after="90"/>
              <w:rPr>
                <w:sz w:val="13"/>
                <w:szCs w:val="13"/>
              </w:rPr>
            </w:pPr>
          </w:p>
        </w:tc>
      </w:tr>
      <w:tr w:rsidR="006107AE" w:rsidTr="00A421A1" w14:paraId="577B763E" w14:textId="77777777">
        <w:trPr>
          <w:trHeight w:val="450"/>
        </w:trPr>
        <w:tc>
          <w:tcPr>
            <w:tcW w:w="2160" w:type="dxa"/>
          </w:tcPr>
          <w:p w:rsidR="00F51A76" w:rsidP="00EA7AB8" w:rsidRDefault="008A1490" w14:paraId="7A6F674E" w14:textId="77777777">
            <w:pPr>
              <w:rPr>
                <w:b/>
                <w:sz w:val="13"/>
                <w:szCs w:val="13"/>
              </w:rPr>
            </w:pPr>
            <w:r>
              <w:rPr>
                <w:b/>
                <w:sz w:val="13"/>
                <w:szCs w:val="13"/>
              </w:rPr>
              <w:t>Onze referentie</w:t>
            </w:r>
          </w:p>
          <w:p w:rsidRPr="00FA7882" w:rsidR="006205C0" w:rsidP="00EA7AB8" w:rsidRDefault="008A1490" w14:paraId="1EDB2086" w14:textId="243C3B36">
            <w:pPr>
              <w:rPr>
                <w:sz w:val="13"/>
                <w:szCs w:val="13"/>
              </w:rPr>
            </w:pPr>
            <w:r>
              <w:rPr>
                <w:sz w:val="13"/>
                <w:szCs w:val="13"/>
              </w:rPr>
              <w:t>63</w:t>
            </w:r>
            <w:r w:rsidR="00A61A12">
              <w:rPr>
                <w:sz w:val="13"/>
                <w:szCs w:val="13"/>
              </w:rPr>
              <w:t>955359</w:t>
            </w:r>
          </w:p>
        </w:tc>
      </w:tr>
      <w:tr w:rsidR="006107AE" w:rsidTr="00A421A1" w14:paraId="19F86A81" w14:textId="77777777">
        <w:trPr>
          <w:trHeight w:val="136"/>
        </w:trPr>
        <w:tc>
          <w:tcPr>
            <w:tcW w:w="2160" w:type="dxa"/>
          </w:tcPr>
          <w:p w:rsidR="00941FB8" w:rsidP="00941FB8" w:rsidRDefault="00941FB8" w14:paraId="735D7621" w14:textId="0FEFFEC5">
            <w:pPr>
              <w:rPr>
                <w:b/>
                <w:sz w:val="13"/>
                <w:szCs w:val="13"/>
              </w:rPr>
            </w:pPr>
            <w:r>
              <w:rPr>
                <w:b/>
                <w:sz w:val="13"/>
                <w:szCs w:val="13"/>
              </w:rPr>
              <w:t>Bijlagen</w:t>
            </w:r>
          </w:p>
          <w:p w:rsidRPr="00E06CD4" w:rsidR="00941FB8" w:rsidP="008A412D" w:rsidRDefault="008A412D" w14:paraId="1B2C9FBA" w14:textId="263B1065">
            <w:pPr>
              <w:rPr>
                <w:sz w:val="13"/>
                <w:szCs w:val="13"/>
              </w:rPr>
            </w:pPr>
            <w:r>
              <w:rPr>
                <w:bCs/>
                <w:sz w:val="13"/>
                <w:szCs w:val="13"/>
              </w:rPr>
              <w:t>2</w:t>
            </w:r>
          </w:p>
        </w:tc>
      </w:tr>
      <w:tr w:rsidR="006107AE" w:rsidTr="00A421A1" w14:paraId="5B85D130" w14:textId="77777777">
        <w:trPr>
          <w:trHeight w:val="227"/>
        </w:trPr>
        <w:tc>
          <w:tcPr>
            <w:tcW w:w="2160" w:type="dxa"/>
          </w:tcPr>
          <w:p w:rsidRPr="00D74F66" w:rsidR="006205C0" w:rsidP="00EA7AB8" w:rsidRDefault="006205C0" w14:paraId="1961E473" w14:textId="77777777">
            <w:pPr>
              <w:spacing w:after="90"/>
              <w:rPr>
                <w:sz w:val="13"/>
              </w:rPr>
            </w:pPr>
          </w:p>
        </w:tc>
      </w:tr>
    </w:tbl>
    <w:p w:rsidR="001350A9" w:rsidP="00EA7AB8" w:rsidRDefault="001350A9" w14:paraId="385D7B76" w14:textId="33B66B5F">
      <w:r w:rsidRPr="001350A9">
        <w:t xml:space="preserve">Hierbij informeer ik uw Kamer over de stand van zaken van een aantal moties en toezeggingen met betrekking tot </w:t>
      </w:r>
      <w:r>
        <w:t>erfgoed</w:t>
      </w:r>
      <w:r w:rsidR="002F5DAB">
        <w:t xml:space="preserve">. </w:t>
      </w:r>
      <w:r w:rsidR="00EA3416">
        <w:t>Tevens</w:t>
      </w:r>
      <w:r w:rsidR="002F5DAB">
        <w:t xml:space="preserve"> informeer ik uw Kamer over enkele actualiteiten binnen het erfgoedbeleid. Dit alles</w:t>
      </w:r>
      <w:r w:rsidRPr="001350A9">
        <w:t xml:space="preserve"> </w:t>
      </w:r>
      <w:r w:rsidR="002F5DAB">
        <w:t>met het oog op</w:t>
      </w:r>
      <w:r w:rsidRPr="001350A9">
        <w:t xml:space="preserve"> het </w:t>
      </w:r>
      <w:r w:rsidR="005B1F7F">
        <w:t xml:space="preserve">aankomende </w:t>
      </w:r>
      <w:r w:rsidRPr="001350A9">
        <w:t xml:space="preserve">commissiedebat </w:t>
      </w:r>
      <w:r>
        <w:t>Erfgoed</w:t>
      </w:r>
      <w:r w:rsidRPr="001350A9">
        <w:t xml:space="preserve"> van </w:t>
      </w:r>
      <w:r>
        <w:t>11</w:t>
      </w:r>
      <w:r w:rsidRPr="001350A9">
        <w:t xml:space="preserve"> juni. </w:t>
      </w:r>
    </w:p>
    <w:p w:rsidR="001350A9" w:rsidP="00EA7AB8" w:rsidRDefault="001350A9" w14:paraId="261EF529" w14:textId="77777777"/>
    <w:p w:rsidRPr="001350A9" w:rsidR="00CA35E4" w:rsidP="00EA7AB8" w:rsidRDefault="001B2C4B" w14:paraId="1B945866" w14:textId="316ED24F">
      <w:pPr>
        <w:rPr>
          <w:b/>
          <w:bCs/>
        </w:rPr>
      </w:pPr>
      <w:r>
        <w:rPr>
          <w:b/>
          <w:bCs/>
        </w:rPr>
        <w:t>1</w:t>
      </w:r>
      <w:r w:rsidR="006A1C92">
        <w:rPr>
          <w:b/>
          <w:bCs/>
        </w:rPr>
        <w:t>.</w:t>
      </w:r>
      <w:r>
        <w:rPr>
          <w:b/>
          <w:bCs/>
        </w:rPr>
        <w:t xml:space="preserve"> </w:t>
      </w:r>
      <w:r w:rsidRPr="001350A9" w:rsidR="001350A9">
        <w:rPr>
          <w:b/>
          <w:bCs/>
        </w:rPr>
        <w:t xml:space="preserve">Stand van zaken moties </w:t>
      </w:r>
    </w:p>
    <w:p w:rsidR="009445E9" w:rsidP="00EA7AB8" w:rsidRDefault="009445E9" w14:paraId="58949FCB" w14:textId="77777777"/>
    <w:p w:rsidRPr="00295FE9" w:rsidR="006A1C92" w:rsidP="006A1C92" w:rsidRDefault="006A1C92" w14:paraId="2DA0D5EA" w14:textId="6D0728ED">
      <w:pPr>
        <w:rPr>
          <w:i/>
          <w:iCs/>
          <w:szCs w:val="18"/>
        </w:rPr>
      </w:pPr>
      <w:r w:rsidRPr="00295FE9">
        <w:rPr>
          <w:i/>
          <w:iCs/>
          <w:szCs w:val="18"/>
        </w:rPr>
        <w:t xml:space="preserve">Motie </w:t>
      </w:r>
      <w:r>
        <w:rPr>
          <w:i/>
          <w:iCs/>
          <w:szCs w:val="18"/>
        </w:rPr>
        <w:t xml:space="preserve">over het </w:t>
      </w:r>
      <w:r w:rsidRPr="00295FE9">
        <w:rPr>
          <w:i/>
          <w:iCs/>
          <w:szCs w:val="18"/>
        </w:rPr>
        <w:t>evalu</w:t>
      </w:r>
      <w:r>
        <w:rPr>
          <w:i/>
          <w:iCs/>
          <w:szCs w:val="18"/>
        </w:rPr>
        <w:t xml:space="preserve">eren van de </w:t>
      </w:r>
      <w:r w:rsidRPr="00295FE9">
        <w:rPr>
          <w:i/>
          <w:iCs/>
          <w:szCs w:val="18"/>
        </w:rPr>
        <w:t>Monumentenwet BES</w:t>
      </w:r>
    </w:p>
    <w:p w:rsidR="006A1C92" w:rsidP="006A1C92" w:rsidRDefault="006A1C92" w14:paraId="0E3B3393" w14:textId="6B6C5348">
      <w:pPr>
        <w:rPr>
          <w:szCs w:val="18"/>
        </w:rPr>
      </w:pPr>
      <w:r>
        <w:rPr>
          <w:szCs w:val="18"/>
        </w:rPr>
        <w:t>Uw</w:t>
      </w:r>
      <w:r w:rsidRPr="003E276F">
        <w:rPr>
          <w:szCs w:val="18"/>
        </w:rPr>
        <w:t xml:space="preserve"> Kamer heeft de regering in november 2023, via de motie Wuite, opgeroepen om de werking van de Monumentenwet BES te evalueren.</w:t>
      </w:r>
      <w:r>
        <w:rPr>
          <w:rStyle w:val="Voetnootmarkering"/>
          <w:szCs w:val="18"/>
        </w:rPr>
        <w:footnoteReference w:id="1"/>
      </w:r>
      <w:r>
        <w:rPr>
          <w:szCs w:val="18"/>
        </w:rPr>
        <w:t xml:space="preserve"> </w:t>
      </w:r>
      <w:r w:rsidRPr="00173E3F">
        <w:rPr>
          <w:szCs w:val="18"/>
        </w:rPr>
        <w:t>A</w:t>
      </w:r>
      <w:r w:rsidRPr="00173E3F" w:rsidR="003567FA">
        <w:rPr>
          <w:szCs w:val="18"/>
        </w:rPr>
        <w:t>l</w:t>
      </w:r>
      <w:r w:rsidRPr="00173E3F">
        <w:rPr>
          <w:szCs w:val="18"/>
        </w:rPr>
        <w:t>s bijlage bij</w:t>
      </w:r>
      <w:r>
        <w:rPr>
          <w:szCs w:val="18"/>
        </w:rPr>
        <w:t xml:space="preserve"> deze brief treft u het door onderzoeksbureau Ecorys </w:t>
      </w:r>
      <w:r w:rsidR="005B1F7F">
        <w:rPr>
          <w:szCs w:val="18"/>
        </w:rPr>
        <w:t xml:space="preserve">opgestelde evaluatierapport. Dit is </w:t>
      </w:r>
      <w:r>
        <w:rPr>
          <w:szCs w:val="18"/>
        </w:rPr>
        <w:t>in nauwe samenspraak met betrokkenen op de eilanden tot stand gekomen</w:t>
      </w:r>
      <w:r w:rsidR="005B1F7F">
        <w:rPr>
          <w:szCs w:val="18"/>
        </w:rPr>
        <w:t>.</w:t>
      </w:r>
      <w:r>
        <w:rPr>
          <w:szCs w:val="18"/>
        </w:rPr>
        <w:t xml:space="preserve"> </w:t>
      </w:r>
    </w:p>
    <w:p w:rsidR="006A1C92" w:rsidP="006A1C92" w:rsidRDefault="006A1C92" w14:paraId="10363F69" w14:textId="77777777">
      <w:pPr>
        <w:rPr>
          <w:szCs w:val="18"/>
        </w:rPr>
      </w:pPr>
    </w:p>
    <w:p w:rsidR="006A1C92" w:rsidP="006A1C92" w:rsidRDefault="006A1C92" w14:paraId="0C2B4AAE" w14:textId="7AC2B7B8">
      <w:pPr>
        <w:rPr>
          <w:szCs w:val="18"/>
        </w:rPr>
      </w:pPr>
      <w:r>
        <w:rPr>
          <w:szCs w:val="18"/>
        </w:rPr>
        <w:t xml:space="preserve">Een </w:t>
      </w:r>
      <w:r w:rsidR="005B1F7F">
        <w:rPr>
          <w:szCs w:val="18"/>
        </w:rPr>
        <w:t>belangrijke conclusie</w:t>
      </w:r>
      <w:r>
        <w:rPr>
          <w:szCs w:val="18"/>
        </w:rPr>
        <w:t xml:space="preserve"> van het rapport is dat “h</w:t>
      </w:r>
      <w:r w:rsidRPr="00F547D2">
        <w:rPr>
          <w:szCs w:val="18"/>
        </w:rPr>
        <w:t>oewel de wet op papier een stevige juridische basis biedt en voldoende ruimte laat voor lokale invulling via de monumenten-eilandsverordeningen, de uitvoering in de praktijk op alle drie de eilanden blijkt te haperen</w:t>
      </w:r>
      <w:r>
        <w:rPr>
          <w:szCs w:val="18"/>
        </w:rPr>
        <w:t>”</w:t>
      </w:r>
      <w:r w:rsidRPr="00F547D2">
        <w:rPr>
          <w:szCs w:val="18"/>
        </w:rPr>
        <w:t>.</w:t>
      </w:r>
      <w:r>
        <w:rPr>
          <w:szCs w:val="18"/>
        </w:rPr>
        <w:t xml:space="preserve"> Dit is een zorgelijke bevinding.</w:t>
      </w:r>
    </w:p>
    <w:p w:rsidR="006A1C92" w:rsidP="006A1C92" w:rsidRDefault="006A1C92" w14:paraId="73DCBD24" w14:textId="77777777">
      <w:pPr>
        <w:rPr>
          <w:szCs w:val="18"/>
        </w:rPr>
      </w:pPr>
    </w:p>
    <w:p w:rsidR="006A1C92" w:rsidP="006A1C92" w:rsidRDefault="006A1C92" w14:paraId="7650F64D" w14:textId="0C816011">
      <w:pPr>
        <w:rPr>
          <w:szCs w:val="18"/>
        </w:rPr>
      </w:pPr>
      <w:r>
        <w:rPr>
          <w:szCs w:val="18"/>
        </w:rPr>
        <w:t>Op 18 mei 2026 is het rapport gepresenteerd aan de Openbare Lichamen van Bonaire, St. Eustatius en Saba. Daarbij is afgesproken dat mijn ministerie samen met de eilanden gaat werken aan concrete verbetervoorstellen. Daarbij zal ook gekeken worden welke ondersteuning er mogelijk is vanuit het programma Erfgoed en Overheid. Op basis hiervan kom ik eind 2026 met een uitgebreidere beleidsreactie op het rapport.</w:t>
      </w:r>
    </w:p>
    <w:p w:rsidR="006A1C92" w:rsidP="00EA7AB8" w:rsidRDefault="006A1C92" w14:paraId="665CA714" w14:textId="77777777"/>
    <w:p w:rsidR="00EA7AB8" w:rsidP="00EA7AB8" w:rsidRDefault="002F5DAB" w14:paraId="1EA6BE78" w14:textId="04B25B18">
      <w:pPr>
        <w:contextualSpacing/>
        <w:rPr>
          <w:i/>
          <w:szCs w:val="18"/>
        </w:rPr>
      </w:pPr>
      <w:r>
        <w:rPr>
          <w:i/>
          <w:szCs w:val="18"/>
        </w:rPr>
        <w:t>Motie o</w:t>
      </w:r>
      <w:r w:rsidR="00EA7AB8">
        <w:rPr>
          <w:i/>
          <w:szCs w:val="18"/>
        </w:rPr>
        <w:t xml:space="preserve">ver het uitwerken van een scenario waarbij één van de scheepswrakken bij de rede van Texel wordt </w:t>
      </w:r>
      <w:r w:rsidR="00783C8B">
        <w:rPr>
          <w:i/>
          <w:szCs w:val="18"/>
        </w:rPr>
        <w:t>opgegraven</w:t>
      </w:r>
      <w:r w:rsidR="00EA7AB8">
        <w:rPr>
          <w:i/>
          <w:szCs w:val="18"/>
        </w:rPr>
        <w:t xml:space="preserve">. </w:t>
      </w:r>
    </w:p>
    <w:p w:rsidR="00EF0AC7" w:rsidP="00EF0AC7" w:rsidRDefault="00EF0AC7" w14:paraId="6C99B4BB" w14:textId="5CDA364B">
      <w:pPr>
        <w:contextualSpacing/>
        <w:rPr>
          <w:iCs/>
          <w:szCs w:val="18"/>
        </w:rPr>
      </w:pPr>
      <w:r w:rsidRPr="004F4F90">
        <w:rPr>
          <w:iCs/>
          <w:szCs w:val="18"/>
        </w:rPr>
        <w:t xml:space="preserve">Naar aanleiding van het commissiedebat </w:t>
      </w:r>
      <w:r>
        <w:rPr>
          <w:iCs/>
          <w:szCs w:val="18"/>
        </w:rPr>
        <w:t>Cultuur</w:t>
      </w:r>
      <w:r w:rsidRPr="004F4F90">
        <w:rPr>
          <w:iCs/>
          <w:szCs w:val="18"/>
        </w:rPr>
        <w:t xml:space="preserve"> op </w:t>
      </w:r>
      <w:r>
        <w:rPr>
          <w:iCs/>
          <w:szCs w:val="18"/>
        </w:rPr>
        <w:t>12</w:t>
      </w:r>
      <w:r w:rsidRPr="004F4F90">
        <w:rPr>
          <w:iCs/>
          <w:szCs w:val="18"/>
        </w:rPr>
        <w:t xml:space="preserve"> </w:t>
      </w:r>
      <w:r>
        <w:rPr>
          <w:iCs/>
          <w:szCs w:val="18"/>
        </w:rPr>
        <w:t>juni</w:t>
      </w:r>
      <w:r w:rsidRPr="004F4F90">
        <w:rPr>
          <w:iCs/>
          <w:szCs w:val="18"/>
        </w:rPr>
        <w:t xml:space="preserve"> </w:t>
      </w:r>
      <w:r>
        <w:rPr>
          <w:iCs/>
          <w:szCs w:val="18"/>
        </w:rPr>
        <w:t>2025</w:t>
      </w:r>
      <w:r w:rsidRPr="004F4F90">
        <w:rPr>
          <w:iCs/>
          <w:szCs w:val="18"/>
        </w:rPr>
        <w:t xml:space="preserve"> is een motie van </w:t>
      </w:r>
      <w:r>
        <w:rPr>
          <w:iCs/>
          <w:szCs w:val="18"/>
        </w:rPr>
        <w:t>de</w:t>
      </w:r>
      <w:r w:rsidRPr="004F4F90">
        <w:rPr>
          <w:iCs/>
          <w:szCs w:val="18"/>
        </w:rPr>
        <w:t xml:space="preserve"> </w:t>
      </w:r>
      <w:r>
        <w:rPr>
          <w:iCs/>
          <w:szCs w:val="18"/>
        </w:rPr>
        <w:t>leden</w:t>
      </w:r>
      <w:r w:rsidRPr="004F4F90">
        <w:rPr>
          <w:iCs/>
          <w:szCs w:val="18"/>
        </w:rPr>
        <w:t xml:space="preserve"> Beckerman</w:t>
      </w:r>
      <w:r>
        <w:rPr>
          <w:iCs/>
          <w:szCs w:val="18"/>
        </w:rPr>
        <w:t>, Mohandis en Krul</w:t>
      </w:r>
      <w:r w:rsidRPr="004F4F90">
        <w:rPr>
          <w:iCs/>
          <w:szCs w:val="18"/>
        </w:rPr>
        <w:t xml:space="preserve"> aangenomen</w:t>
      </w:r>
      <w:r>
        <w:rPr>
          <w:iCs/>
          <w:szCs w:val="18"/>
        </w:rPr>
        <w:t xml:space="preserve"> die d</w:t>
      </w:r>
      <w:r w:rsidRPr="004F4F90">
        <w:rPr>
          <w:iCs/>
          <w:szCs w:val="18"/>
        </w:rPr>
        <w:t>e regering</w:t>
      </w:r>
      <w:r>
        <w:rPr>
          <w:iCs/>
          <w:szCs w:val="18"/>
        </w:rPr>
        <w:t xml:space="preserve"> oproept  om – in samenwerking met de R</w:t>
      </w:r>
      <w:r w:rsidR="00183333">
        <w:rPr>
          <w:iCs/>
          <w:szCs w:val="18"/>
        </w:rPr>
        <w:t xml:space="preserve">ijksdienst voor het </w:t>
      </w:r>
      <w:r>
        <w:rPr>
          <w:iCs/>
          <w:szCs w:val="18"/>
        </w:rPr>
        <w:t>C</w:t>
      </w:r>
      <w:r w:rsidR="00183333">
        <w:rPr>
          <w:iCs/>
          <w:szCs w:val="18"/>
        </w:rPr>
        <w:t xml:space="preserve">ultureel </w:t>
      </w:r>
      <w:r>
        <w:rPr>
          <w:iCs/>
          <w:szCs w:val="18"/>
        </w:rPr>
        <w:t>E</w:t>
      </w:r>
      <w:r w:rsidR="00183333">
        <w:rPr>
          <w:iCs/>
          <w:szCs w:val="18"/>
        </w:rPr>
        <w:t>rfgoed (RCE)</w:t>
      </w:r>
      <w:r>
        <w:rPr>
          <w:iCs/>
          <w:szCs w:val="18"/>
        </w:rPr>
        <w:t xml:space="preserve">, overheden en anderen – een scenario uit te werken waarbij één van de </w:t>
      </w:r>
      <w:r>
        <w:rPr>
          <w:iCs/>
          <w:szCs w:val="18"/>
        </w:rPr>
        <w:lastRenderedPageBreak/>
        <w:t xml:space="preserve">scheepswrakken bij de rede van Texel wordt opgegraven. Het </w:t>
      </w:r>
      <w:r w:rsidR="00295FE9">
        <w:rPr>
          <w:iCs/>
          <w:szCs w:val="18"/>
        </w:rPr>
        <w:t>moet</w:t>
      </w:r>
      <w:r w:rsidR="00EA3416">
        <w:rPr>
          <w:iCs/>
          <w:szCs w:val="18"/>
        </w:rPr>
        <w:t xml:space="preserve"> daarbij </w:t>
      </w:r>
      <w:r>
        <w:rPr>
          <w:iCs/>
          <w:szCs w:val="18"/>
        </w:rPr>
        <w:t>gaa</w:t>
      </w:r>
      <w:r w:rsidR="00EA3416">
        <w:rPr>
          <w:iCs/>
          <w:szCs w:val="18"/>
        </w:rPr>
        <w:t>n</w:t>
      </w:r>
      <w:r>
        <w:rPr>
          <w:iCs/>
          <w:szCs w:val="18"/>
        </w:rPr>
        <w:t xml:space="preserve"> om een </w:t>
      </w:r>
      <w:r w:rsidR="00EA3416">
        <w:rPr>
          <w:iCs/>
          <w:szCs w:val="18"/>
        </w:rPr>
        <w:t>opgraving</w:t>
      </w:r>
      <w:r w:rsidR="00E94179">
        <w:rPr>
          <w:iCs/>
          <w:szCs w:val="18"/>
        </w:rPr>
        <w:t xml:space="preserve"> </w:t>
      </w:r>
      <w:r>
        <w:rPr>
          <w:iCs/>
          <w:szCs w:val="18"/>
        </w:rPr>
        <w:t>met een langere doorlooptijd, om zo te komen tot kenniswinst, spin-off richting publiek en verbetering van de maritieme archeologie. De motie vraagt om hierover medio 2026 aan uw Kamer te rapporteren.</w:t>
      </w:r>
      <w:r>
        <w:rPr>
          <w:rStyle w:val="Voetnootmarkering"/>
          <w:iCs/>
          <w:szCs w:val="18"/>
        </w:rPr>
        <w:footnoteReference w:id="2"/>
      </w:r>
    </w:p>
    <w:p w:rsidR="00393E9F" w:rsidP="00EF0AC7" w:rsidRDefault="00393E9F" w14:paraId="273D3264" w14:textId="77777777">
      <w:pPr>
        <w:contextualSpacing/>
        <w:rPr>
          <w:iCs/>
          <w:szCs w:val="18"/>
        </w:rPr>
      </w:pPr>
    </w:p>
    <w:p w:rsidR="00393E9F" w:rsidP="00393E9F" w:rsidRDefault="00393E9F" w14:paraId="3646CE2B" w14:textId="07013E93">
      <w:pPr>
        <w:contextualSpacing/>
        <w:rPr>
          <w:iCs/>
          <w:szCs w:val="18"/>
        </w:rPr>
      </w:pPr>
      <w:r>
        <w:rPr>
          <w:iCs/>
          <w:szCs w:val="18"/>
        </w:rPr>
        <w:t xml:space="preserve">In de afgelopen periode heeft de RCE op mijn verzoek dit scenario verkend. </w:t>
      </w:r>
      <w:r w:rsidR="005E1936">
        <w:rPr>
          <w:iCs/>
          <w:szCs w:val="18"/>
        </w:rPr>
        <w:t>Vanuit de bestaande</w:t>
      </w:r>
      <w:r>
        <w:rPr>
          <w:iCs/>
          <w:szCs w:val="18"/>
        </w:rPr>
        <w:t xml:space="preserve"> expertise en ervaringen komen zij tot onderstaande bevindingen. </w:t>
      </w:r>
      <w:r w:rsidR="005E1936">
        <w:rPr>
          <w:iCs/>
          <w:szCs w:val="18"/>
        </w:rPr>
        <w:t xml:space="preserve">Op basis daarvan constateer ik </w:t>
      </w:r>
      <w:r>
        <w:rPr>
          <w:iCs/>
          <w:szCs w:val="18"/>
        </w:rPr>
        <w:t>dat het gevraagde scenario om dermate forse randvoorwaarden vraagt wat betreft organisatie en financiering, dat uitvoering op korte termijn niet mogelijk is. In de eerste plaats omdat hiertoe de middelen ontbreken, in de tweede plaats omdat de bestaande faciliteiten en capaciteit voor onderzoek, conservering, beheer en presentatie niet toereikend</w:t>
      </w:r>
      <w:r w:rsidR="002546F5">
        <w:rPr>
          <w:iCs/>
          <w:szCs w:val="18"/>
        </w:rPr>
        <w:t xml:space="preserve"> zijn </w:t>
      </w:r>
      <w:r>
        <w:rPr>
          <w:iCs/>
          <w:szCs w:val="18"/>
        </w:rPr>
        <w:t>en het tijd kost om deze op te bouwen.</w:t>
      </w:r>
    </w:p>
    <w:p w:rsidR="00393E9F" w:rsidP="00393E9F" w:rsidRDefault="00393E9F" w14:paraId="556028A7" w14:textId="77777777">
      <w:pPr>
        <w:contextualSpacing/>
        <w:rPr>
          <w:iCs/>
          <w:szCs w:val="18"/>
        </w:rPr>
      </w:pPr>
    </w:p>
    <w:p w:rsidR="005E1936" w:rsidP="002546F5" w:rsidRDefault="00393E9F" w14:paraId="2B1B574B" w14:textId="3F5ADDFD">
      <w:pPr>
        <w:contextualSpacing/>
        <w:rPr>
          <w:iCs/>
          <w:szCs w:val="18"/>
        </w:rPr>
      </w:pPr>
      <w:r>
        <w:rPr>
          <w:iCs/>
          <w:szCs w:val="18"/>
        </w:rPr>
        <w:t>Een langjarig en grootschalig onderzoek zoals in de motie beschreven,</w:t>
      </w:r>
      <w:r>
        <w:rPr>
          <w:rStyle w:val="Voetnootmarkering"/>
          <w:iCs/>
          <w:szCs w:val="18"/>
        </w:rPr>
        <w:footnoteReference w:id="3"/>
      </w:r>
      <w:r>
        <w:rPr>
          <w:iCs/>
          <w:szCs w:val="18"/>
        </w:rPr>
        <w:t xml:space="preserve"> vraagt om stabiele, meerjarige financiering. Het </w:t>
      </w:r>
      <w:r w:rsidR="00786ADF">
        <w:rPr>
          <w:iCs/>
          <w:szCs w:val="18"/>
        </w:rPr>
        <w:t xml:space="preserve">voorbereiden van het onderzoek (waaronder het </w:t>
      </w:r>
      <w:r w:rsidR="005E1936">
        <w:rPr>
          <w:iCs/>
          <w:szCs w:val="18"/>
        </w:rPr>
        <w:t xml:space="preserve">opbouwen van </w:t>
      </w:r>
      <w:r w:rsidR="00786ADF">
        <w:rPr>
          <w:iCs/>
          <w:szCs w:val="18"/>
        </w:rPr>
        <w:t xml:space="preserve">de nodige </w:t>
      </w:r>
      <w:r w:rsidR="005E1936">
        <w:rPr>
          <w:iCs/>
          <w:szCs w:val="18"/>
        </w:rPr>
        <w:t>capaciteit en faciliteiten</w:t>
      </w:r>
      <w:r w:rsidR="00786ADF">
        <w:rPr>
          <w:iCs/>
          <w:szCs w:val="18"/>
        </w:rPr>
        <w:t>)</w:t>
      </w:r>
      <w:r w:rsidR="005E1936">
        <w:rPr>
          <w:iCs/>
          <w:szCs w:val="18"/>
        </w:rPr>
        <w:t xml:space="preserve">, het uitvoeren </w:t>
      </w:r>
      <w:r w:rsidR="00786ADF">
        <w:rPr>
          <w:iCs/>
          <w:szCs w:val="18"/>
        </w:rPr>
        <w:t>daar</w:t>
      </w:r>
      <w:r w:rsidR="005E1936">
        <w:rPr>
          <w:iCs/>
          <w:szCs w:val="18"/>
        </w:rPr>
        <w:t>van</w:t>
      </w:r>
      <w:r>
        <w:rPr>
          <w:iCs/>
          <w:szCs w:val="18"/>
        </w:rPr>
        <w:t>,</w:t>
      </w:r>
      <w:r w:rsidR="00786ADF">
        <w:rPr>
          <w:iCs/>
          <w:szCs w:val="18"/>
        </w:rPr>
        <w:t xml:space="preserve"> het</w:t>
      </w:r>
      <w:r>
        <w:rPr>
          <w:iCs/>
          <w:szCs w:val="18"/>
        </w:rPr>
        <w:t xml:space="preserve"> verwerken van de gegevens, conserveren van de vondsten en </w:t>
      </w:r>
      <w:r w:rsidR="00786ADF">
        <w:rPr>
          <w:iCs/>
          <w:szCs w:val="18"/>
        </w:rPr>
        <w:t>het vormgeven van de</w:t>
      </w:r>
      <w:r>
        <w:rPr>
          <w:iCs/>
          <w:szCs w:val="18"/>
        </w:rPr>
        <w:t xml:space="preserve"> gewenste publieksactiviteiten</w:t>
      </w:r>
      <w:r w:rsidR="00786ADF">
        <w:rPr>
          <w:iCs/>
          <w:szCs w:val="18"/>
        </w:rPr>
        <w:t>,</w:t>
      </w:r>
      <w:r>
        <w:rPr>
          <w:iCs/>
          <w:szCs w:val="18"/>
        </w:rPr>
        <w:t xml:space="preserve"> beslaa</w:t>
      </w:r>
      <w:r w:rsidR="00786ADF">
        <w:rPr>
          <w:iCs/>
          <w:szCs w:val="18"/>
        </w:rPr>
        <w:t>t</w:t>
      </w:r>
      <w:r>
        <w:rPr>
          <w:iCs/>
          <w:szCs w:val="18"/>
        </w:rPr>
        <w:t xml:space="preserve"> naar verwachting ten minste tien jaar. In een eerdere studie, schatte de RCE dat </w:t>
      </w:r>
      <w:r w:rsidR="00E04556">
        <w:rPr>
          <w:iCs/>
          <w:szCs w:val="18"/>
        </w:rPr>
        <w:t>daarvoor</w:t>
      </w:r>
      <w:r>
        <w:rPr>
          <w:iCs/>
          <w:szCs w:val="18"/>
        </w:rPr>
        <w:t xml:space="preserve"> een bedrag tussen de €15 en €20 miljoen nodig is.</w:t>
      </w:r>
      <w:r>
        <w:rPr>
          <w:rStyle w:val="Voetnootmarkering"/>
          <w:iCs/>
          <w:szCs w:val="18"/>
        </w:rPr>
        <w:footnoteReference w:id="4"/>
      </w:r>
      <w:r>
        <w:rPr>
          <w:iCs/>
          <w:szCs w:val="18"/>
        </w:rPr>
        <w:t xml:space="preserve"> </w:t>
      </w:r>
    </w:p>
    <w:p w:rsidR="005E1936" w:rsidP="002546F5" w:rsidRDefault="005E1936" w14:paraId="5B4E7531" w14:textId="77777777">
      <w:pPr>
        <w:contextualSpacing/>
        <w:rPr>
          <w:iCs/>
          <w:szCs w:val="18"/>
        </w:rPr>
      </w:pPr>
    </w:p>
    <w:p w:rsidR="002546F5" w:rsidP="002546F5" w:rsidRDefault="005E1936" w14:paraId="78EED01F" w14:textId="5A4F306F">
      <w:pPr>
        <w:contextualSpacing/>
        <w:rPr>
          <w:iCs/>
          <w:szCs w:val="18"/>
        </w:rPr>
      </w:pPr>
      <w:r>
        <w:rPr>
          <w:iCs/>
          <w:szCs w:val="18"/>
        </w:rPr>
        <w:t xml:space="preserve">Vanwege de grote schaal vereist </w:t>
      </w:r>
      <w:r w:rsidR="00786ADF">
        <w:rPr>
          <w:iCs/>
          <w:szCs w:val="18"/>
        </w:rPr>
        <w:t xml:space="preserve">zowel het onderzoek zelf, als de voorbereiding, uitwerking en presentatie daarvan, </w:t>
      </w:r>
      <w:r w:rsidR="00393E9F">
        <w:rPr>
          <w:iCs/>
          <w:szCs w:val="18"/>
        </w:rPr>
        <w:t xml:space="preserve">een aanpak waarbij diverse partijen samenwerken. De </w:t>
      </w:r>
      <w:r w:rsidR="00786ADF">
        <w:rPr>
          <w:iCs/>
          <w:szCs w:val="18"/>
        </w:rPr>
        <w:t xml:space="preserve">bestaande </w:t>
      </w:r>
      <w:r w:rsidR="00393E9F">
        <w:rPr>
          <w:iCs/>
          <w:szCs w:val="18"/>
        </w:rPr>
        <w:t xml:space="preserve">netwerken van (inter)nationale kennis-, onderzoeks- en opleidingsinstellingen, gespecialiseerde marktpartijen, vrijwilligers, musea en overheden moeten </w:t>
      </w:r>
      <w:r w:rsidR="00786ADF">
        <w:rPr>
          <w:iCs/>
          <w:szCs w:val="18"/>
        </w:rPr>
        <w:t xml:space="preserve">daarvoor </w:t>
      </w:r>
      <w:r w:rsidR="00393E9F">
        <w:rPr>
          <w:iCs/>
          <w:szCs w:val="18"/>
        </w:rPr>
        <w:t xml:space="preserve">worden uitgebouwd en versterkt. Dit vraagt om </w:t>
      </w:r>
      <w:r w:rsidR="002546F5">
        <w:rPr>
          <w:iCs/>
          <w:szCs w:val="18"/>
        </w:rPr>
        <w:t xml:space="preserve"> </w:t>
      </w:r>
      <w:r w:rsidR="00393E9F">
        <w:rPr>
          <w:iCs/>
          <w:szCs w:val="18"/>
        </w:rPr>
        <w:t>meerjarige coördinatie</w:t>
      </w:r>
      <w:r w:rsidR="00786ADF">
        <w:rPr>
          <w:iCs/>
          <w:szCs w:val="18"/>
        </w:rPr>
        <w:t xml:space="preserve">, vanuit </w:t>
      </w:r>
      <w:r w:rsidR="002546F5">
        <w:rPr>
          <w:iCs/>
          <w:szCs w:val="18"/>
        </w:rPr>
        <w:t xml:space="preserve">een </w:t>
      </w:r>
      <w:r>
        <w:rPr>
          <w:iCs/>
          <w:szCs w:val="18"/>
        </w:rPr>
        <w:t>project</w:t>
      </w:r>
      <w:r w:rsidR="002546F5">
        <w:rPr>
          <w:iCs/>
          <w:szCs w:val="18"/>
        </w:rPr>
        <w:t>organisatie die wordt ingericht voor de volledige looptijd van het project. Deze projectorganisatie scherpt de projectdoelen aan, selecteert het scheepswrak dat daar het beste bij aansluit</w:t>
      </w:r>
      <w:r w:rsidR="00551CA3">
        <w:rPr>
          <w:iCs/>
          <w:szCs w:val="18"/>
        </w:rPr>
        <w:t>,</w:t>
      </w:r>
      <w:r w:rsidR="002546F5">
        <w:rPr>
          <w:iCs/>
          <w:szCs w:val="18"/>
        </w:rPr>
        <w:t xml:space="preserve"> </w:t>
      </w:r>
      <w:r w:rsidR="00786ADF">
        <w:rPr>
          <w:iCs/>
          <w:szCs w:val="18"/>
        </w:rPr>
        <w:t xml:space="preserve">komt </w:t>
      </w:r>
      <w:r w:rsidR="00AB36FB">
        <w:rPr>
          <w:iCs/>
          <w:szCs w:val="18"/>
        </w:rPr>
        <w:t xml:space="preserve">voor dit specifieke wrak tot een </w:t>
      </w:r>
      <w:r w:rsidR="002546F5">
        <w:rPr>
          <w:iCs/>
          <w:szCs w:val="18"/>
        </w:rPr>
        <w:t xml:space="preserve">strategie </w:t>
      </w:r>
      <w:r w:rsidR="00786ADF">
        <w:rPr>
          <w:iCs/>
          <w:szCs w:val="18"/>
        </w:rPr>
        <w:t>voor de voorbereiding en uitvoering van het onderzoek e</w:t>
      </w:r>
      <w:r w:rsidR="00551CA3">
        <w:rPr>
          <w:iCs/>
          <w:szCs w:val="18"/>
        </w:rPr>
        <w:t>n</w:t>
      </w:r>
      <w:r w:rsidR="002546F5">
        <w:rPr>
          <w:iCs/>
          <w:szCs w:val="18"/>
        </w:rPr>
        <w:t xml:space="preserve"> </w:t>
      </w:r>
      <w:r w:rsidR="00551CA3">
        <w:rPr>
          <w:iCs/>
          <w:szCs w:val="18"/>
        </w:rPr>
        <w:t xml:space="preserve">ziet </w:t>
      </w:r>
      <w:r w:rsidR="002546F5">
        <w:rPr>
          <w:iCs/>
          <w:szCs w:val="18"/>
        </w:rPr>
        <w:t xml:space="preserve">toe op de voortgang.  </w:t>
      </w:r>
    </w:p>
    <w:p w:rsidR="00551CA3" w:rsidP="002546F5" w:rsidRDefault="00551CA3" w14:paraId="2CB022EF" w14:textId="77777777">
      <w:pPr>
        <w:contextualSpacing/>
        <w:rPr>
          <w:iCs/>
          <w:szCs w:val="18"/>
        </w:rPr>
      </w:pPr>
    </w:p>
    <w:p w:rsidR="002546F5" w:rsidP="00786ADF" w:rsidRDefault="00551CA3" w14:paraId="5F0B5FD1" w14:textId="513D2A16">
      <w:pPr>
        <w:contextualSpacing/>
        <w:rPr>
          <w:iCs/>
          <w:szCs w:val="18"/>
        </w:rPr>
      </w:pPr>
      <w:r>
        <w:rPr>
          <w:iCs/>
          <w:szCs w:val="18"/>
        </w:rPr>
        <w:t xml:space="preserve">Vanwege het bestuurlijk en maatschappelijk draagvlak, is het belangrijk dat in deze projectorganisatie diverse belanghebbende partijen en netwerken zijn vertegenwoordigd. </w:t>
      </w:r>
      <w:r w:rsidR="00786ADF">
        <w:rPr>
          <w:iCs/>
          <w:szCs w:val="18"/>
        </w:rPr>
        <w:t>Met het oog op</w:t>
      </w:r>
      <w:r w:rsidR="002546F5">
        <w:rPr>
          <w:iCs/>
          <w:szCs w:val="18"/>
        </w:rPr>
        <w:t xml:space="preserve"> de daar aanwezige expertise, ligt het voor de hand om de</w:t>
      </w:r>
      <w:r w:rsidR="005B1F7F">
        <w:rPr>
          <w:iCs/>
          <w:szCs w:val="18"/>
        </w:rPr>
        <w:t>ze</w:t>
      </w:r>
      <w:r w:rsidR="002546F5">
        <w:rPr>
          <w:iCs/>
          <w:szCs w:val="18"/>
        </w:rPr>
        <w:t xml:space="preserve"> organisatie onder te brengen bij de RCE</w:t>
      </w:r>
      <w:r w:rsidR="00786ADF">
        <w:rPr>
          <w:iCs/>
          <w:szCs w:val="18"/>
        </w:rPr>
        <w:t xml:space="preserve">. Door </w:t>
      </w:r>
      <w:r w:rsidR="00AB36FB">
        <w:rPr>
          <w:iCs/>
          <w:szCs w:val="18"/>
        </w:rPr>
        <w:t>tevens</w:t>
      </w:r>
      <w:r w:rsidR="00786ADF">
        <w:rPr>
          <w:iCs/>
          <w:szCs w:val="18"/>
        </w:rPr>
        <w:t xml:space="preserve"> </w:t>
      </w:r>
      <w:r>
        <w:rPr>
          <w:iCs/>
          <w:szCs w:val="18"/>
        </w:rPr>
        <w:t xml:space="preserve">nauw samen te werken met een onderwijsinstelling, </w:t>
      </w:r>
      <w:r w:rsidR="00786ADF">
        <w:rPr>
          <w:iCs/>
          <w:szCs w:val="18"/>
        </w:rPr>
        <w:t>komt</w:t>
      </w:r>
      <w:r>
        <w:rPr>
          <w:iCs/>
          <w:szCs w:val="18"/>
        </w:rPr>
        <w:t xml:space="preserve"> de nieuwe generatie maritieme archeologen intensief in aanraking met alle facetten van de voorbereiding en uitvoering van een grootschalig onderzoek. </w:t>
      </w:r>
      <w:r w:rsidR="00786ADF">
        <w:rPr>
          <w:iCs/>
          <w:szCs w:val="18"/>
        </w:rPr>
        <w:t>H</w:t>
      </w:r>
      <w:r w:rsidR="002546F5">
        <w:rPr>
          <w:iCs/>
          <w:szCs w:val="18"/>
        </w:rPr>
        <w:t>et inpassen van deze werkzaamheden binnen de bestaande taken, capaciteit en middelen van de RCE</w:t>
      </w:r>
      <w:r>
        <w:rPr>
          <w:iCs/>
          <w:szCs w:val="18"/>
        </w:rPr>
        <w:t xml:space="preserve"> </w:t>
      </w:r>
      <w:r w:rsidR="002546F5">
        <w:rPr>
          <w:iCs/>
          <w:szCs w:val="18"/>
        </w:rPr>
        <w:t xml:space="preserve"> </w:t>
      </w:r>
      <w:r w:rsidR="00786ADF">
        <w:rPr>
          <w:iCs/>
          <w:szCs w:val="18"/>
        </w:rPr>
        <w:t xml:space="preserve">zal echter </w:t>
      </w:r>
      <w:r w:rsidR="002546F5">
        <w:rPr>
          <w:iCs/>
          <w:szCs w:val="18"/>
        </w:rPr>
        <w:t xml:space="preserve">zonder meer ten koste </w:t>
      </w:r>
      <w:r w:rsidR="0084288C">
        <w:rPr>
          <w:iCs/>
          <w:szCs w:val="18"/>
        </w:rPr>
        <w:t xml:space="preserve">gaan </w:t>
      </w:r>
      <w:r w:rsidR="002546F5">
        <w:rPr>
          <w:iCs/>
          <w:szCs w:val="18"/>
        </w:rPr>
        <w:t xml:space="preserve">van het beheer en de instandhouding van veel ander belangrijk erfgoed onder water. De projectorganisatie moet daarom financieel en organisatorisch losstaan van de reguliere werkzaamheden. Zo kan continuïteit worden geborgd, ook over meerdere kabinetsperiodes heen. </w:t>
      </w:r>
    </w:p>
    <w:p w:rsidR="00393E9F" w:rsidP="00393E9F" w:rsidRDefault="00393E9F" w14:paraId="3CF20AA7" w14:textId="77777777">
      <w:pPr>
        <w:contextualSpacing/>
        <w:rPr>
          <w:iCs/>
          <w:szCs w:val="18"/>
        </w:rPr>
      </w:pPr>
    </w:p>
    <w:p w:rsidR="00232AD9" w:rsidP="00232AD9" w:rsidRDefault="00232AD9" w14:paraId="5D4CB747" w14:textId="0F2FDF95">
      <w:pPr>
        <w:contextualSpacing/>
        <w:rPr>
          <w:iCs/>
          <w:szCs w:val="18"/>
        </w:rPr>
      </w:pPr>
      <w:r>
        <w:rPr>
          <w:iCs/>
          <w:szCs w:val="18"/>
        </w:rPr>
        <w:t xml:space="preserve">Zoals gezegd, ontbreekt het op dit moment aan afdoende financiering, </w:t>
      </w:r>
      <w:r w:rsidRPr="00C7308A">
        <w:rPr>
          <w:iCs/>
          <w:szCs w:val="18"/>
        </w:rPr>
        <w:t>capaciteit</w:t>
      </w:r>
      <w:r>
        <w:rPr>
          <w:iCs/>
          <w:szCs w:val="18"/>
        </w:rPr>
        <w:t xml:space="preserve"> en faciliteiten</w:t>
      </w:r>
      <w:r w:rsidRPr="00C7308A">
        <w:rPr>
          <w:iCs/>
          <w:szCs w:val="18"/>
        </w:rPr>
        <w:t xml:space="preserve"> </w:t>
      </w:r>
      <w:r>
        <w:rPr>
          <w:iCs/>
          <w:szCs w:val="18"/>
        </w:rPr>
        <w:t>voor het op korte termijn laten uitvoeren van een grote opgraving conform</w:t>
      </w:r>
      <w:r w:rsidRPr="00C7308A">
        <w:rPr>
          <w:iCs/>
          <w:szCs w:val="18"/>
        </w:rPr>
        <w:t xml:space="preserve"> een scenario zoals </w:t>
      </w:r>
      <w:r>
        <w:rPr>
          <w:iCs/>
          <w:szCs w:val="18"/>
        </w:rPr>
        <w:t xml:space="preserve">bedoeld </w:t>
      </w:r>
      <w:r w:rsidRPr="00C7308A">
        <w:rPr>
          <w:iCs/>
          <w:szCs w:val="18"/>
        </w:rPr>
        <w:t>in de motie</w:t>
      </w:r>
      <w:r w:rsidR="005B1F7F">
        <w:rPr>
          <w:iCs/>
          <w:szCs w:val="18"/>
        </w:rPr>
        <w:t>.</w:t>
      </w:r>
      <w:r>
        <w:rPr>
          <w:iCs/>
          <w:szCs w:val="18"/>
        </w:rPr>
        <w:t xml:space="preserve"> </w:t>
      </w:r>
      <w:r w:rsidR="005B1F7F">
        <w:rPr>
          <w:iCs/>
          <w:szCs w:val="18"/>
        </w:rPr>
        <w:t>I</w:t>
      </w:r>
      <w:r>
        <w:rPr>
          <w:iCs/>
          <w:szCs w:val="18"/>
        </w:rPr>
        <w:t xml:space="preserve">k </w:t>
      </w:r>
      <w:r w:rsidR="005B1F7F">
        <w:rPr>
          <w:iCs/>
          <w:szCs w:val="18"/>
        </w:rPr>
        <w:t xml:space="preserve">zie </w:t>
      </w:r>
      <w:r>
        <w:rPr>
          <w:iCs/>
          <w:szCs w:val="18"/>
        </w:rPr>
        <w:t>dus nu geen mogelijkheid om deze in gang te zetten. Via onder meer het Impulsprogramma Maritieme Archeologie, dat dit jaar is gestart bij de RCE, blijf ik echter werken aan verbetering van de maritieme erfgoedzorg in Nederland. De kennis en ervaring die binnen dit programma wordt opgedaan kan ook worden benut bij een grootschalige opgraving onder water, mocht hiertoe in de toekomst worden besloten.</w:t>
      </w:r>
    </w:p>
    <w:p w:rsidR="005B1F7F" w:rsidP="00232AD9" w:rsidRDefault="005B1F7F" w14:paraId="568730A8" w14:textId="77777777">
      <w:pPr>
        <w:contextualSpacing/>
        <w:rPr>
          <w:iCs/>
          <w:szCs w:val="18"/>
        </w:rPr>
      </w:pPr>
    </w:p>
    <w:p w:rsidR="00393E9F" w:rsidP="00393E9F" w:rsidRDefault="00393E9F" w14:paraId="2C8F7A57" w14:textId="0E2D8F1F">
      <w:pPr>
        <w:contextualSpacing/>
        <w:rPr>
          <w:iCs/>
          <w:szCs w:val="18"/>
        </w:rPr>
      </w:pPr>
      <w:r>
        <w:rPr>
          <w:iCs/>
          <w:szCs w:val="18"/>
        </w:rPr>
        <w:t xml:space="preserve">Ik beschouw de motie hiermee als afgedaan. </w:t>
      </w:r>
    </w:p>
    <w:p w:rsidR="00393E9F" w:rsidP="00EF0AC7" w:rsidRDefault="00393E9F" w14:paraId="467053D9" w14:textId="77777777">
      <w:pPr>
        <w:contextualSpacing/>
        <w:rPr>
          <w:iCs/>
          <w:szCs w:val="18"/>
        </w:rPr>
      </w:pPr>
    </w:p>
    <w:p w:rsidRPr="001350A9" w:rsidR="006A1C92" w:rsidP="006A1C92" w:rsidRDefault="006A1C92" w14:paraId="445BBC90" w14:textId="14B35862">
      <w:pPr>
        <w:rPr>
          <w:b/>
          <w:bCs/>
        </w:rPr>
      </w:pPr>
      <w:r>
        <w:rPr>
          <w:b/>
          <w:bCs/>
        </w:rPr>
        <w:t>2</w:t>
      </w:r>
      <w:r w:rsidR="00A749A1">
        <w:rPr>
          <w:b/>
          <w:bCs/>
        </w:rPr>
        <w:t>.</w:t>
      </w:r>
      <w:r>
        <w:rPr>
          <w:b/>
          <w:bCs/>
        </w:rPr>
        <w:t xml:space="preserve"> Stand van zak</w:t>
      </w:r>
      <w:r w:rsidRPr="001350A9">
        <w:rPr>
          <w:b/>
          <w:bCs/>
        </w:rPr>
        <w:t>en toezeggingen</w:t>
      </w:r>
      <w:r>
        <w:rPr>
          <w:b/>
          <w:bCs/>
        </w:rPr>
        <w:t xml:space="preserve"> </w:t>
      </w:r>
    </w:p>
    <w:p w:rsidR="00A749A1" w:rsidP="00A749A1" w:rsidRDefault="00A749A1" w14:paraId="4C85298C" w14:textId="77777777">
      <w:pPr>
        <w:rPr>
          <w:szCs w:val="18"/>
          <w:highlight w:val="yellow"/>
        </w:rPr>
      </w:pPr>
    </w:p>
    <w:p w:rsidR="006942F9" w:rsidP="006942F9" w:rsidRDefault="006942F9" w14:paraId="76F42A10" w14:textId="08DAE596">
      <w:pPr>
        <w:rPr>
          <w:i/>
          <w:iCs/>
          <w:szCs w:val="18"/>
        </w:rPr>
      </w:pPr>
      <w:r>
        <w:rPr>
          <w:i/>
          <w:iCs/>
          <w:szCs w:val="18"/>
        </w:rPr>
        <w:t xml:space="preserve">Toezegging over de aankoop van </w:t>
      </w:r>
      <w:r w:rsidR="009F429B">
        <w:rPr>
          <w:i/>
          <w:iCs/>
          <w:szCs w:val="18"/>
        </w:rPr>
        <w:t>een</w:t>
      </w:r>
      <w:r>
        <w:rPr>
          <w:i/>
          <w:iCs/>
          <w:szCs w:val="18"/>
        </w:rPr>
        <w:t xml:space="preserve"> middeleeuwse gouden ring</w:t>
      </w:r>
    </w:p>
    <w:p w:rsidRPr="006942F9" w:rsidR="006942F9" w:rsidP="006942F9" w:rsidRDefault="006942F9" w14:paraId="651C4A6C" w14:textId="07087317">
      <w:pPr>
        <w:rPr>
          <w:szCs w:val="18"/>
        </w:rPr>
      </w:pPr>
      <w:r w:rsidRPr="006942F9">
        <w:rPr>
          <w:szCs w:val="18"/>
        </w:rPr>
        <w:t>Mijn ambtsvoorganger Bruins heeft toegezegd uw Kamer te informeren over het vervolg van de aankoop van de middeleeuwse gouden ring. Deze ring is een beschermd cultuurgoed in de zin van artikel</w:t>
      </w:r>
      <w:r w:rsidR="00547A64">
        <w:rPr>
          <w:szCs w:val="18"/>
        </w:rPr>
        <w:t xml:space="preserve"> 3.7 van</w:t>
      </w:r>
      <w:r w:rsidRPr="006942F9">
        <w:rPr>
          <w:szCs w:val="18"/>
        </w:rPr>
        <w:t xml:space="preserve"> de Erfgoedwet. Mijn ambtsvoorganger Bruins heeft eerder bedenkingen geuit tegen de mogelijke uitvoer buiten Nederland van deze ring.</w:t>
      </w:r>
      <w:r>
        <w:rPr>
          <w:rStyle w:val="Voetnootmarkering"/>
          <w:szCs w:val="18"/>
        </w:rPr>
        <w:footnoteReference w:id="5"/>
      </w:r>
      <w:r w:rsidRPr="006942F9">
        <w:rPr>
          <w:szCs w:val="18"/>
        </w:rPr>
        <w:t xml:space="preserve"> Ik kan u melden dat de ring wordt aangekocht voor de Rijkscollectie voor een bedrag van €83.150. Deze middelen komen uit het Museaal Aankoopfonds. De ring zal in bruikleen worden gegeven aan een nog nader te bepalen museum in Nederland. Met deze aankoop is dit bijzondere culturele erfgoed behouden voor de Collectie Nederland en voor toekomstige generaties. </w:t>
      </w:r>
    </w:p>
    <w:p w:rsidR="006942F9" w:rsidP="00142034" w:rsidRDefault="006942F9" w14:paraId="47E515FE" w14:textId="77777777">
      <w:pPr>
        <w:rPr>
          <w:i/>
          <w:iCs/>
          <w:szCs w:val="18"/>
        </w:rPr>
      </w:pPr>
    </w:p>
    <w:p w:rsidRPr="00295FE9" w:rsidR="00142034" w:rsidP="00142034" w:rsidRDefault="00142034" w14:paraId="395D9715" w14:textId="1FA995D0">
      <w:pPr>
        <w:rPr>
          <w:szCs w:val="18"/>
        </w:rPr>
      </w:pPr>
      <w:r w:rsidRPr="00295FE9">
        <w:rPr>
          <w:i/>
          <w:iCs/>
          <w:szCs w:val="18"/>
        </w:rPr>
        <w:t xml:space="preserve">Toezegging over het uitwerken van een nationaal uitvoervergunningensysteem voor cultuurgoederen en verzamelingen in particulier bezit </w:t>
      </w:r>
      <w:r w:rsidRPr="00295FE9">
        <w:rPr>
          <w:b/>
          <w:bCs/>
          <w:szCs w:val="18"/>
        </w:rPr>
        <w:br/>
      </w:r>
      <w:r w:rsidRPr="00295FE9">
        <w:rPr>
          <w:szCs w:val="18"/>
        </w:rPr>
        <w:t>Naar aanleiding van het advies van de Commissie Collectie Nederland heeft mijn ambtsvoorganger staatssecretaris Uslu toegezegd de invoering van een nationaal uitvoervergunningensysteem voor cultuurgoederen en verzamelingen in particulier bezit nader uit te werken.</w:t>
      </w:r>
      <w:r w:rsidRPr="00295FE9">
        <w:rPr>
          <w:rStyle w:val="Voetnootmarkering"/>
          <w:szCs w:val="18"/>
        </w:rPr>
        <w:footnoteReference w:id="6"/>
      </w:r>
      <w:r w:rsidRPr="00295FE9">
        <w:rPr>
          <w:szCs w:val="18"/>
        </w:rPr>
        <w:t xml:space="preserve"> Mijn ambtsvoorganger minister Bruins gaf vervolgens aan dat hij werkte aan een oplossing die bescherming regelt, met oog voor proportionaliteit en uitvoerbaarheid.</w:t>
      </w:r>
      <w:r w:rsidRPr="00295FE9">
        <w:rPr>
          <w:rStyle w:val="Voetnootmarkering"/>
          <w:szCs w:val="18"/>
        </w:rPr>
        <w:footnoteReference w:id="7"/>
      </w:r>
      <w:r w:rsidRPr="00295FE9">
        <w:rPr>
          <w:szCs w:val="18"/>
        </w:rPr>
        <w:t xml:space="preserve"> </w:t>
      </w:r>
    </w:p>
    <w:p w:rsidRPr="00295FE9" w:rsidR="00142034" w:rsidP="00142034" w:rsidRDefault="00142034" w14:paraId="44C7C197" w14:textId="77777777">
      <w:pPr>
        <w:rPr>
          <w:szCs w:val="18"/>
        </w:rPr>
      </w:pPr>
    </w:p>
    <w:p w:rsidR="005B4754" w:rsidP="005B4754" w:rsidRDefault="00142034" w14:paraId="1B266E74" w14:textId="77777777">
      <w:pPr>
        <w:rPr>
          <w:sz w:val="20"/>
          <w:szCs w:val="20"/>
        </w:rPr>
      </w:pPr>
      <w:r w:rsidRPr="00295FE9">
        <w:rPr>
          <w:szCs w:val="18"/>
        </w:rPr>
        <w:t xml:space="preserve">De afgelopen periode is een nationaal uitvoervergunningensysteem ambtelijk nader onderzocht. </w:t>
      </w:r>
      <w:r w:rsidRPr="005B4754">
        <w:rPr>
          <w:szCs w:val="18"/>
        </w:rPr>
        <w:t>Daarbij is bezien in hoeverre invoering van een dergelijk systeem een effectieve, proportionele en uitvoerbare bijdrage kan leveren aan de bescherming van cultuurgoederen en verzamelingen in particulier bezit. Op basis van deze afweging is geconcludeerd dat dit niet het geval is.</w:t>
      </w:r>
      <w:r w:rsidRPr="005B4754" w:rsidR="005B4754">
        <w:rPr>
          <w:szCs w:val="18"/>
        </w:rPr>
        <w:t xml:space="preserve"> Onderdeel van deze afweging is dat invoering van een nationaal uitvoervergunningensysteem zou leiden tot (hoge) administratieve lasten en aanzienlijk benodigde middelen en ambtelijke capaciteit.</w:t>
      </w:r>
    </w:p>
    <w:p w:rsidRPr="00295FE9" w:rsidR="00142034" w:rsidP="00142034" w:rsidRDefault="00142034" w14:paraId="5679D3CC" w14:textId="2C6810AD">
      <w:pPr>
        <w:rPr>
          <w:szCs w:val="18"/>
        </w:rPr>
      </w:pPr>
    </w:p>
    <w:p w:rsidRPr="00295FE9" w:rsidR="00142034" w:rsidP="00142034" w:rsidRDefault="00142034" w14:paraId="1ABF2AC7" w14:textId="722E569F">
      <w:pPr>
        <w:rPr>
          <w:szCs w:val="18"/>
        </w:rPr>
      </w:pPr>
      <w:r w:rsidRPr="00295FE9">
        <w:rPr>
          <w:szCs w:val="18"/>
        </w:rPr>
        <w:t xml:space="preserve">Nederland beschikt over een beschermingsstelsel op grond van de Erfgoedwet. Naar aanleiding van het Commissie-advies is dit stelsel in de afgelopen jaren verder versterkt, onder andere via een actiever beleid met betrekking tot het aanwijzen van objecten als beschermde cultuurgoederen en verbeterde ondersteuning van particuliere eigenaren. Deze inzet biedt voldoende waarborgen voor het behoud van beschermwaardige cultuurgoederen in Nederland. </w:t>
      </w:r>
    </w:p>
    <w:p w:rsidRPr="00295FE9" w:rsidR="00142034" w:rsidP="00142034" w:rsidRDefault="00142034" w14:paraId="06AE4E21" w14:textId="77777777">
      <w:pPr>
        <w:rPr>
          <w:szCs w:val="18"/>
        </w:rPr>
      </w:pPr>
    </w:p>
    <w:p w:rsidR="005B4754" w:rsidP="00F547D2" w:rsidRDefault="00142034" w14:paraId="74C4F1BA" w14:textId="7406ED7D">
      <w:pPr>
        <w:rPr>
          <w:szCs w:val="18"/>
        </w:rPr>
      </w:pPr>
      <w:r w:rsidRPr="00295FE9">
        <w:rPr>
          <w:szCs w:val="18"/>
        </w:rPr>
        <w:t>Op basis van deze overwegingen zie ik af van de invoering van een nationaal uitvoervergunningensysteem. Hiermee wordt de toezegging als afgedaan beschouwd.</w:t>
      </w:r>
    </w:p>
    <w:p w:rsidRPr="00E94179" w:rsidR="00295FE9" w:rsidP="00687662" w:rsidRDefault="00295FE9" w14:paraId="0BD9BDCA" w14:textId="77777777">
      <w:pPr>
        <w:rPr>
          <w:b/>
          <w:bCs/>
        </w:rPr>
      </w:pPr>
    </w:p>
    <w:p w:rsidRPr="00E94179" w:rsidR="00687662" w:rsidP="00687662" w:rsidRDefault="006A1C92" w14:paraId="41FBD76A" w14:textId="63677878">
      <w:pPr>
        <w:rPr>
          <w:b/>
          <w:bCs/>
        </w:rPr>
      </w:pPr>
      <w:r>
        <w:rPr>
          <w:b/>
          <w:bCs/>
        </w:rPr>
        <w:t>3</w:t>
      </w:r>
      <w:r w:rsidR="00A749A1">
        <w:rPr>
          <w:b/>
          <w:bCs/>
        </w:rPr>
        <w:t>.</w:t>
      </w:r>
      <w:r w:rsidRPr="00E94179" w:rsidR="001B2C4B">
        <w:rPr>
          <w:b/>
          <w:bCs/>
        </w:rPr>
        <w:t xml:space="preserve"> </w:t>
      </w:r>
      <w:r w:rsidRPr="00E94179" w:rsidR="00124762">
        <w:rPr>
          <w:b/>
          <w:bCs/>
        </w:rPr>
        <w:t>A</w:t>
      </w:r>
      <w:r w:rsidRPr="00E94179" w:rsidR="00687662">
        <w:rPr>
          <w:b/>
          <w:bCs/>
        </w:rPr>
        <w:t>ctualiteiten</w:t>
      </w:r>
    </w:p>
    <w:p w:rsidR="00751821" w:rsidP="00EA7AB8" w:rsidRDefault="00751821" w14:paraId="75A14597" w14:textId="77777777">
      <w:pPr>
        <w:contextualSpacing/>
        <w:rPr>
          <w:szCs w:val="18"/>
        </w:rPr>
      </w:pPr>
    </w:p>
    <w:p w:rsidRPr="00096E03" w:rsidR="00096E03" w:rsidP="00EA7AB8" w:rsidRDefault="00096E03" w14:paraId="6814F88D" w14:textId="79E43F74">
      <w:pPr>
        <w:contextualSpacing/>
        <w:rPr>
          <w:i/>
          <w:iCs/>
          <w:szCs w:val="18"/>
        </w:rPr>
      </w:pPr>
      <w:r>
        <w:rPr>
          <w:i/>
          <w:iCs/>
          <w:szCs w:val="18"/>
        </w:rPr>
        <w:t>Kabinetsreactie op advies ‘Kan dit weg? Ja’</w:t>
      </w:r>
    </w:p>
    <w:p w:rsidR="00096E03" w:rsidP="00096E03" w:rsidRDefault="00096E03" w14:paraId="26ABEA13" w14:textId="2F43252F">
      <w:pPr>
        <w:rPr>
          <w:szCs w:val="18"/>
        </w:rPr>
      </w:pPr>
      <w:r w:rsidRPr="00897739">
        <w:rPr>
          <w:szCs w:val="18"/>
        </w:rPr>
        <w:t xml:space="preserve">Uw Kamer </w:t>
      </w:r>
      <w:r>
        <w:rPr>
          <w:szCs w:val="18"/>
        </w:rPr>
        <w:t xml:space="preserve">heeft mij gevraagd </w:t>
      </w:r>
      <w:r w:rsidRPr="00897739">
        <w:rPr>
          <w:szCs w:val="18"/>
        </w:rPr>
        <w:t>om een kabinetsreactie op het advies ‘Kan dit weg? Ja’ van het Adviescollege Openbaarheid en Informatiehuishouding (ACOI)</w:t>
      </w:r>
      <w:r>
        <w:rPr>
          <w:szCs w:val="18"/>
        </w:rPr>
        <w:t>.</w:t>
      </w:r>
      <w:r>
        <w:rPr>
          <w:rStyle w:val="Voetnootmarkering"/>
          <w:szCs w:val="18"/>
        </w:rPr>
        <w:footnoteReference w:id="8"/>
      </w:r>
      <w:r w:rsidRPr="00897739">
        <w:rPr>
          <w:szCs w:val="18"/>
        </w:rPr>
        <w:t xml:space="preserve"> Op dit moment werk ik de aanbevelingen uit in een beleidsreactie, in afstemming met het ministerie van Binnenlandse Zaken en Koninkrijkrelaties. Ik integreer in deze reactie ook het advies van de algemene rijksarchivaris van het Nationaal Archief over het belang en beheer van concepten. U kunt mijn reactie verwachten in het najaar van 2026. </w:t>
      </w:r>
    </w:p>
    <w:p w:rsidR="00AC12A3" w:rsidP="00096E03" w:rsidRDefault="00AC12A3" w14:paraId="205204B9" w14:textId="77777777">
      <w:pPr>
        <w:rPr>
          <w:szCs w:val="18"/>
        </w:rPr>
      </w:pPr>
    </w:p>
    <w:p w:rsidRPr="008A412D" w:rsidR="008A412D" w:rsidP="008A412D" w:rsidRDefault="008A412D" w14:paraId="3947C3F8" w14:textId="77777777">
      <w:pPr>
        <w:rPr>
          <w:szCs w:val="18"/>
        </w:rPr>
      </w:pPr>
      <w:r w:rsidRPr="008A412D">
        <w:rPr>
          <w:i/>
          <w:iCs/>
          <w:szCs w:val="18"/>
        </w:rPr>
        <w:t>Landsdekkende Heritage Impact Assessment</w:t>
      </w:r>
    </w:p>
    <w:p w:rsidRPr="008A412D" w:rsidR="008A412D" w:rsidP="008A412D" w:rsidRDefault="008A412D" w14:paraId="1135C2D0" w14:textId="21715F62">
      <w:pPr>
        <w:rPr>
          <w:szCs w:val="18"/>
        </w:rPr>
      </w:pPr>
      <w:r w:rsidRPr="008A412D">
        <w:rPr>
          <w:szCs w:val="18"/>
        </w:rPr>
        <w:t>In opdracht van landelijk netbeheerder TenneT is onderzoek uitgevoerd naar de mogelijke impact van hoogspanningsprojecten op werelderfgoed. Het doel hiervan is het zorgdragen voor een zorgvuldige inpassing van deze projecten in de omgeving van werelderfgoed, om zo mogelijke vertraging in de realisatie van deze projecten te voorkomen. De bevindingen van deze ‘landsdekkende’ Heritage Impact Assessment</w:t>
      </w:r>
      <w:bookmarkStart w:name="_ftnref1" w:id="0"/>
      <w:r>
        <w:rPr>
          <w:rStyle w:val="Voetnootmarkering"/>
          <w:szCs w:val="18"/>
        </w:rPr>
        <w:footnoteReference w:id="9"/>
      </w:r>
      <w:bookmarkEnd w:id="0"/>
      <w:r>
        <w:rPr>
          <w:szCs w:val="18"/>
        </w:rPr>
        <w:t xml:space="preserve"> </w:t>
      </w:r>
      <w:r w:rsidRPr="008A412D">
        <w:rPr>
          <w:szCs w:val="18"/>
        </w:rPr>
        <w:t>en mijn advies hierover zullen worden meegenomen in de ontwerp-voorkeursbesluiten die in 2026 en 2027 worden genomen door de Staatssecretaris van Klimaat en Groene Groei en de minister van Volkshuisvesting en Ruimtelijke Ordening.</w:t>
      </w:r>
    </w:p>
    <w:p w:rsidRPr="00E94179" w:rsidR="00096E03" w:rsidP="00EA7AB8" w:rsidRDefault="00096E03" w14:paraId="14F433B2" w14:textId="77777777">
      <w:pPr>
        <w:contextualSpacing/>
        <w:rPr>
          <w:szCs w:val="18"/>
        </w:rPr>
      </w:pPr>
    </w:p>
    <w:p w:rsidRPr="00687662" w:rsidR="00751821" w:rsidP="00751821" w:rsidRDefault="00751821" w14:paraId="7ED2701D" w14:textId="437E7BB6">
      <w:pPr>
        <w:rPr>
          <w:i/>
          <w:iCs/>
          <w:szCs w:val="18"/>
        </w:rPr>
      </w:pPr>
      <w:r w:rsidRPr="00687662">
        <w:rPr>
          <w:i/>
          <w:iCs/>
          <w:szCs w:val="18"/>
        </w:rPr>
        <w:t>Subsidie grote restauraties</w:t>
      </w:r>
    </w:p>
    <w:p w:rsidR="00751821" w:rsidP="00751821" w:rsidRDefault="00751821" w14:paraId="02DD72EF" w14:textId="02BDE580">
      <w:pPr>
        <w:rPr>
          <w:sz w:val="20"/>
          <w:szCs w:val="20"/>
        </w:rPr>
      </w:pPr>
      <w:r w:rsidRPr="00687662">
        <w:rPr>
          <w:szCs w:val="18"/>
        </w:rPr>
        <w:t>Op 19 februari 2026 is de subsidieregeling voor grote restauraties gepubliceerd. Over de inhoud en uitgangspunten van deze subsidieregeling is uw Kamer eerder geïnformeerd.</w:t>
      </w:r>
      <w:r w:rsidRPr="00687662">
        <w:rPr>
          <w:rStyle w:val="Voetnootmarkering"/>
          <w:szCs w:val="18"/>
        </w:rPr>
        <w:footnoteReference w:id="10"/>
      </w:r>
      <w:r w:rsidRPr="00687662">
        <w:rPr>
          <w:szCs w:val="18"/>
        </w:rPr>
        <w:t xml:space="preserve"> Voor de regeling is in totaal €45 miljoen beschikbaar</w:t>
      </w:r>
      <w:r w:rsidR="00124762">
        <w:rPr>
          <w:szCs w:val="18"/>
        </w:rPr>
        <w:t>,</w:t>
      </w:r>
      <w:r w:rsidRPr="00687662">
        <w:rPr>
          <w:szCs w:val="18"/>
        </w:rPr>
        <w:t xml:space="preserve"> verdeeld over twee aanvraagrondes in het najaar van 2026 en 2027. Zoals toegezegd in het tweeminutendebat over de </w:t>
      </w:r>
      <w:r w:rsidRPr="00A749A1">
        <w:rPr>
          <w:szCs w:val="18"/>
        </w:rPr>
        <w:t xml:space="preserve">uitgangspunten voor de subsidieregeling voor grote restauraties zal ik uw Kamer na de eerste aanvraagronde informeren over het verloop van de aanvraagronde. </w:t>
      </w:r>
      <w:r w:rsidRPr="00A749A1" w:rsidR="00395A95">
        <w:rPr>
          <w:szCs w:val="18"/>
        </w:rPr>
        <w:t>Ik verwacht dat dit in het voorjaar van 2027 zal zijn.</w:t>
      </w:r>
    </w:p>
    <w:p w:rsidRPr="00C44B58" w:rsidR="00395A95" w:rsidP="00751821" w:rsidRDefault="00395A95" w14:paraId="350188E0" w14:textId="77777777">
      <w:pPr>
        <w:rPr>
          <w:b/>
          <w:bCs/>
          <w:sz w:val="20"/>
          <w:szCs w:val="20"/>
        </w:rPr>
      </w:pPr>
    </w:p>
    <w:p w:rsidRPr="00687662" w:rsidR="00751821" w:rsidP="00751821" w:rsidRDefault="00751821" w14:paraId="048ED9D9" w14:textId="42698907">
      <w:pPr>
        <w:rPr>
          <w:i/>
          <w:iCs/>
          <w:szCs w:val="18"/>
        </w:rPr>
      </w:pPr>
      <w:r w:rsidRPr="00687662">
        <w:rPr>
          <w:i/>
          <w:iCs/>
          <w:szCs w:val="18"/>
        </w:rPr>
        <w:t>Subsidie monumentale woonhuizen in Caribisch Nederland</w:t>
      </w:r>
    </w:p>
    <w:p w:rsidR="00751821" w:rsidP="00751821" w:rsidRDefault="00751821" w14:paraId="774814F3" w14:textId="6A1CA976">
      <w:pPr>
        <w:rPr>
          <w:szCs w:val="18"/>
        </w:rPr>
      </w:pPr>
      <w:r w:rsidRPr="00687662">
        <w:rPr>
          <w:szCs w:val="18"/>
        </w:rPr>
        <w:t xml:space="preserve">Op 8 april 2026 is een subsidieregeling gepubliceerd voor restauratie van monumentale woonhuizen in Caribisch Nederland. Voor de uitvoering van deze regeling is een bedrag van eenmalig $1,1 miljoen (€1 miljoen) beschikbaar. </w:t>
      </w:r>
      <w:bookmarkStart w:name="_Hlk221543595" w:id="1"/>
      <w:r w:rsidRPr="00687662">
        <w:rPr>
          <w:szCs w:val="18"/>
        </w:rPr>
        <w:t xml:space="preserve">Op 20 juni 2024 is </w:t>
      </w:r>
      <w:r w:rsidR="005B1F7F">
        <w:rPr>
          <w:szCs w:val="18"/>
        </w:rPr>
        <w:t>uw</w:t>
      </w:r>
      <w:r w:rsidRPr="00687662">
        <w:rPr>
          <w:szCs w:val="18"/>
        </w:rPr>
        <w:t xml:space="preserve"> Kamer hierover geïnformeerd.</w:t>
      </w:r>
      <w:r w:rsidRPr="00687662">
        <w:rPr>
          <w:rStyle w:val="Voetnootmarkering"/>
          <w:szCs w:val="18"/>
        </w:rPr>
        <w:footnoteReference w:id="11"/>
      </w:r>
      <w:r w:rsidRPr="00687662">
        <w:rPr>
          <w:szCs w:val="18"/>
        </w:rPr>
        <w:t xml:space="preserve"> </w:t>
      </w:r>
      <w:bookmarkEnd w:id="1"/>
      <w:r w:rsidRPr="00687662">
        <w:rPr>
          <w:szCs w:val="18"/>
        </w:rPr>
        <w:t>De regeling is bedoeld als pilot om praktijkervaring op te doen met het verstrekken van subsidies voor instandhouding in Caribisch Nederland. De lessen uit dit traject zullen</w:t>
      </w:r>
      <w:r w:rsidR="005B1F7F">
        <w:rPr>
          <w:szCs w:val="18"/>
        </w:rPr>
        <w:t>,</w:t>
      </w:r>
      <w:r w:rsidRPr="00687662">
        <w:rPr>
          <w:szCs w:val="18"/>
        </w:rPr>
        <w:t xml:space="preserve"> samen met de uitkomsten van de evaluatie </w:t>
      </w:r>
      <w:r w:rsidR="00124762">
        <w:rPr>
          <w:szCs w:val="18"/>
        </w:rPr>
        <w:t>van</w:t>
      </w:r>
      <w:r w:rsidRPr="00687662" w:rsidR="00124762">
        <w:rPr>
          <w:szCs w:val="18"/>
        </w:rPr>
        <w:t xml:space="preserve"> </w:t>
      </w:r>
      <w:r w:rsidRPr="00687662">
        <w:rPr>
          <w:szCs w:val="18"/>
        </w:rPr>
        <w:t>de Monumentenwet B</w:t>
      </w:r>
      <w:r w:rsidR="00124762">
        <w:rPr>
          <w:szCs w:val="18"/>
        </w:rPr>
        <w:t>ES</w:t>
      </w:r>
      <w:r w:rsidR="005B1F7F">
        <w:rPr>
          <w:szCs w:val="18"/>
        </w:rPr>
        <w:t>,</w:t>
      </w:r>
      <w:r w:rsidRPr="00687662">
        <w:rPr>
          <w:szCs w:val="18"/>
        </w:rPr>
        <w:t xml:space="preserve"> worden gebruikt bij de versterking van het monumentenbeleid </w:t>
      </w:r>
      <w:r w:rsidR="00124762">
        <w:rPr>
          <w:szCs w:val="18"/>
        </w:rPr>
        <w:t>op de eilanden</w:t>
      </w:r>
      <w:r w:rsidRPr="00687662">
        <w:rPr>
          <w:szCs w:val="18"/>
        </w:rPr>
        <w:t xml:space="preserve">. In september </w:t>
      </w:r>
      <w:r w:rsidR="00124762">
        <w:rPr>
          <w:szCs w:val="18"/>
        </w:rPr>
        <w:t xml:space="preserve">2026 </w:t>
      </w:r>
      <w:r w:rsidRPr="00687662">
        <w:rPr>
          <w:szCs w:val="18"/>
        </w:rPr>
        <w:t xml:space="preserve">kunnen eigenaren op Bonaire, Sint-Eustatius en Saba de subsidie aanvragen. </w:t>
      </w:r>
    </w:p>
    <w:p w:rsidR="00A749A1" w:rsidP="00751821" w:rsidRDefault="00A749A1" w14:paraId="0333CD68" w14:textId="77777777">
      <w:pPr>
        <w:rPr>
          <w:szCs w:val="18"/>
        </w:rPr>
      </w:pPr>
    </w:p>
    <w:p w:rsidRPr="003567FA" w:rsidR="00A749A1" w:rsidP="00A749A1" w:rsidRDefault="00A749A1" w14:paraId="132D2B85" w14:textId="77777777">
      <w:pPr>
        <w:rPr>
          <w:i/>
          <w:iCs/>
          <w:szCs w:val="18"/>
        </w:rPr>
      </w:pPr>
      <w:r w:rsidRPr="003567FA">
        <w:rPr>
          <w:i/>
          <w:iCs/>
          <w:szCs w:val="18"/>
        </w:rPr>
        <w:t xml:space="preserve">Nominatiebeleid Werelderfgoed </w:t>
      </w:r>
    </w:p>
    <w:p w:rsidRPr="00C02B07" w:rsidR="00A749A1" w:rsidP="00A749A1" w:rsidRDefault="00A749A1" w14:paraId="46EB57CC" w14:textId="5571CB8B">
      <w:pPr>
        <w:rPr>
          <w:szCs w:val="18"/>
          <w:highlight w:val="yellow"/>
        </w:rPr>
      </w:pPr>
      <w:r w:rsidRPr="003567FA">
        <w:rPr>
          <w:szCs w:val="18"/>
        </w:rPr>
        <w:t>Na de inschrijving van het Eise Eisingaplanetarium te Franeker in 2023 kent Nederland een terughoudend nominatiebeleid voor Werelderfgoed. Het westerse deel van de wereld is momenteel oververtegenwoordigd op de lijst; daarom kiest Nederland ervoor om in te zetten op potentiële sites in het Caribisch deel van het koninkrijk. Het natuurlijk en cultureel erfgoed in deze regio is nu nog ondervertegenwoordigd op de Werelderfgoedlijst</w:t>
      </w:r>
      <w:r w:rsidR="003567FA">
        <w:rPr>
          <w:szCs w:val="18"/>
        </w:rPr>
        <w:t>;</w:t>
      </w:r>
      <w:r w:rsidRPr="003567FA" w:rsidR="003567FA">
        <w:rPr>
          <w:szCs w:val="18"/>
        </w:rPr>
        <w:t xml:space="preserve"> </w:t>
      </w:r>
      <w:r w:rsidRPr="00FA20E9" w:rsidR="003567FA">
        <w:t xml:space="preserve">vooralsnog staan </w:t>
      </w:r>
      <w:r w:rsidR="004C4C9E">
        <w:t>het</w:t>
      </w:r>
      <w:r w:rsidRPr="00FA20E9" w:rsidR="003567FA">
        <w:t xml:space="preserve"> Plantages</w:t>
      </w:r>
      <w:r w:rsidR="00106F7C">
        <w:t>yste</w:t>
      </w:r>
      <w:r w:rsidR="004C4C9E">
        <w:t>e</w:t>
      </w:r>
      <w:r w:rsidR="00106F7C">
        <w:t>m van</w:t>
      </w:r>
      <w:r w:rsidRPr="00FA20E9" w:rsidR="003567FA">
        <w:t xml:space="preserve"> West</w:t>
      </w:r>
      <w:r w:rsidR="00106F7C">
        <w:t>-</w:t>
      </w:r>
      <w:r w:rsidRPr="00FA20E9" w:rsidR="003567FA">
        <w:t xml:space="preserve">Curaçao en Bonaire </w:t>
      </w:r>
      <w:r w:rsidR="00106F7C">
        <w:t xml:space="preserve">National Marine Park </w:t>
      </w:r>
      <w:r w:rsidRPr="00FA20E9" w:rsidR="003567FA">
        <w:t>op de Voorlopige Lijst.</w:t>
      </w:r>
      <w:r w:rsidRPr="003567FA">
        <w:rPr>
          <w:szCs w:val="18"/>
        </w:rPr>
        <w:t xml:space="preserve"> </w:t>
      </w:r>
    </w:p>
    <w:p w:rsidRPr="003567FA" w:rsidR="00A749A1" w:rsidP="00A749A1" w:rsidRDefault="00A749A1" w14:paraId="4D93F5B7" w14:textId="77777777">
      <w:pPr>
        <w:rPr>
          <w:szCs w:val="18"/>
        </w:rPr>
      </w:pPr>
    </w:p>
    <w:p w:rsidR="00173E3F" w:rsidP="00A749A1" w:rsidRDefault="00A749A1" w14:paraId="45CE379E" w14:textId="558BABFA">
      <w:r w:rsidRPr="003567FA">
        <w:rPr>
          <w:szCs w:val="18"/>
        </w:rPr>
        <w:t>Ondanks het voor Europees Nederland terughoudende nominatiebeleid</w:t>
      </w:r>
      <w:r w:rsidRPr="003567FA" w:rsidR="003567FA">
        <w:rPr>
          <w:szCs w:val="18"/>
        </w:rPr>
        <w:t>,</w:t>
      </w:r>
      <w:r w:rsidRPr="003567FA">
        <w:rPr>
          <w:szCs w:val="18"/>
        </w:rPr>
        <w:t xml:space="preserve"> </w:t>
      </w:r>
      <w:r w:rsidRPr="003567FA">
        <w:t xml:space="preserve">wil ik </w:t>
      </w:r>
      <w:r w:rsidRPr="003567FA" w:rsidR="003567FA">
        <w:t xml:space="preserve">voor </w:t>
      </w:r>
      <w:r w:rsidRPr="003567FA">
        <w:t>Nederlandse sites</w:t>
      </w:r>
      <w:r w:rsidRPr="003567FA" w:rsidR="003567FA">
        <w:t xml:space="preserve"> de ruimte bieden om aan te sluiten bij bestaande seriële inschrijvingen van andere lidstaten.</w:t>
      </w:r>
      <w:r w:rsidRPr="003567FA" w:rsidR="003567FA">
        <w:rPr>
          <w:rStyle w:val="Voetnootmarkering"/>
        </w:rPr>
        <w:footnoteReference w:id="12"/>
      </w:r>
      <w:r w:rsidRPr="003567FA">
        <w:t xml:space="preserve"> </w:t>
      </w:r>
      <w:r w:rsidRPr="00173E3F" w:rsidR="00173E3F">
        <w:t xml:space="preserve">Dit naar aanleiding van een recent verzoek van de gemeente Breda om aan te sluiten bij de Vlaamse inschrijving van Begijnhoven. </w:t>
      </w:r>
      <w:r w:rsidRPr="003567FA" w:rsidR="003567FA">
        <w:t>Aangezien een voordracht of definitieve aanwijzing verantwoordelijkheden met zich</w:t>
      </w:r>
      <w:r w:rsidR="003567FA">
        <w:t xml:space="preserve"> meebrengt, is bestuurlijk en maatschappelijk draagvlak daarbij onontbeerlijk. </w:t>
      </w:r>
    </w:p>
    <w:p w:rsidR="00C02B07" w:rsidP="00751821" w:rsidRDefault="00C02B07" w14:paraId="51A5CE68" w14:textId="77777777">
      <w:pPr>
        <w:rPr>
          <w:szCs w:val="18"/>
        </w:rPr>
      </w:pPr>
    </w:p>
    <w:p w:rsidRPr="00D717EB" w:rsidR="00C02B07" w:rsidP="00C02B07" w:rsidRDefault="00C02B07" w14:paraId="6330AE39" w14:textId="0FAC16A1">
      <w:pPr>
        <w:rPr>
          <w:i/>
          <w:iCs/>
          <w:szCs w:val="18"/>
        </w:rPr>
      </w:pPr>
      <w:r w:rsidRPr="00D717EB">
        <w:rPr>
          <w:i/>
          <w:iCs/>
          <w:szCs w:val="18"/>
        </w:rPr>
        <w:t xml:space="preserve">Versterking Nationaal Restauratiefonds </w:t>
      </w:r>
    </w:p>
    <w:p w:rsidRPr="002C1C4D" w:rsidR="002C1C4D" w:rsidP="002C1C4D" w:rsidRDefault="00C02B07" w14:paraId="04917039" w14:textId="7E4E3E23">
      <w:pPr>
        <w:rPr>
          <w:szCs w:val="18"/>
        </w:rPr>
      </w:pPr>
      <w:r w:rsidRPr="002C1C4D">
        <w:rPr>
          <w:szCs w:val="18"/>
        </w:rPr>
        <w:t>Vorig jaar is uw Kamer geïnformeerd over de druk die is ontstaan op de laagrentende leenmogelijkheden die via het Nationaal Restauratiefonds (NRF) beschikbaar zijn voor monumenteneigenaren.</w:t>
      </w:r>
      <w:r w:rsidRPr="002C1C4D">
        <w:rPr>
          <w:rStyle w:val="Voetnootmarkering"/>
          <w:szCs w:val="18"/>
        </w:rPr>
        <w:footnoteReference w:id="13"/>
      </w:r>
      <w:r w:rsidRPr="002C1C4D">
        <w:rPr>
          <w:szCs w:val="18"/>
        </w:rPr>
        <w:t xml:space="preserve"> Als onderdeel van de aanpak van de financieringsproblematiek bij grote monumenten zijn toen maatregelen getroffen waarmee </w:t>
      </w:r>
      <w:r w:rsidRPr="002C1C4D" w:rsidR="002C1C4D">
        <w:rPr>
          <w:szCs w:val="18"/>
        </w:rPr>
        <w:t xml:space="preserve">het </w:t>
      </w:r>
      <w:r w:rsidRPr="002C1C4D">
        <w:rPr>
          <w:szCs w:val="18"/>
        </w:rPr>
        <w:t xml:space="preserve">NRF tot en met de eerste helft van 2026 in een groter deel van de leenbehoefte kon voorzien. Omdat de vraag naar leningen nog steeds onverminderd groot is en om te voorkomen dat NRF vanaf de tweede helft van 2026 geen </w:t>
      </w:r>
      <w:r w:rsidR="0049060C">
        <w:rPr>
          <w:szCs w:val="18"/>
        </w:rPr>
        <w:t xml:space="preserve">nieuwe </w:t>
      </w:r>
      <w:r w:rsidRPr="002C1C4D">
        <w:rPr>
          <w:szCs w:val="18"/>
        </w:rPr>
        <w:t xml:space="preserve">leningen </w:t>
      </w:r>
      <w:r w:rsidR="0049060C">
        <w:rPr>
          <w:szCs w:val="18"/>
        </w:rPr>
        <w:t>in behandeling kan nemen</w:t>
      </w:r>
      <w:r w:rsidRPr="002C1C4D">
        <w:rPr>
          <w:szCs w:val="18"/>
        </w:rPr>
        <w:t>, heb ik besloten om een incidenteel bedrag van €</w:t>
      </w:r>
      <w:r w:rsidRPr="002C1C4D" w:rsidR="002C1C4D">
        <w:rPr>
          <w:szCs w:val="18"/>
        </w:rPr>
        <w:t xml:space="preserve">30 </w:t>
      </w:r>
      <w:r w:rsidRPr="002C1C4D">
        <w:rPr>
          <w:szCs w:val="18"/>
        </w:rPr>
        <w:t xml:space="preserve">miljoen beschikbaar te stellen voor versterking van </w:t>
      </w:r>
      <w:r w:rsidRPr="002C1C4D" w:rsidR="002C1C4D">
        <w:rPr>
          <w:szCs w:val="18"/>
        </w:rPr>
        <w:t xml:space="preserve">de leenfaciliteiten bij </w:t>
      </w:r>
      <w:r w:rsidRPr="002C1C4D">
        <w:rPr>
          <w:szCs w:val="18"/>
        </w:rPr>
        <w:t xml:space="preserve">het NRF. </w:t>
      </w:r>
      <w:r w:rsidRPr="002C1C4D" w:rsidR="002C1C4D">
        <w:rPr>
          <w:szCs w:val="18"/>
        </w:rPr>
        <w:t>Ik stel €10 miljoen beschikbaar voor de Restauratiefondsplus-hypotheek (RFH+)</w:t>
      </w:r>
      <w:r w:rsidRPr="002C1C4D" w:rsidR="002C1C4D">
        <w:rPr>
          <w:rStyle w:val="Voetnootmarkering"/>
          <w:szCs w:val="18"/>
        </w:rPr>
        <w:footnoteReference w:id="14"/>
      </w:r>
      <w:r w:rsidRPr="002C1C4D" w:rsidR="002C1C4D">
        <w:rPr>
          <w:szCs w:val="18"/>
        </w:rPr>
        <w:t>, €15 miljoen voor de Duurzame Monumentenplus-Lening (DML+)</w:t>
      </w:r>
      <w:r w:rsidRPr="002C1C4D" w:rsidR="002C1C4D">
        <w:rPr>
          <w:rStyle w:val="Voetnootmarkering"/>
          <w:szCs w:val="18"/>
        </w:rPr>
        <w:footnoteReference w:id="15"/>
      </w:r>
      <w:r w:rsidRPr="002C1C4D" w:rsidR="002C1C4D">
        <w:rPr>
          <w:szCs w:val="18"/>
        </w:rPr>
        <w:t xml:space="preserve"> en €5 miljoen voor de Duurzame Monumentenlening (DML)</w:t>
      </w:r>
      <w:r w:rsidRPr="002C1C4D" w:rsidR="002C1C4D">
        <w:rPr>
          <w:rStyle w:val="Voetnootmarkering"/>
          <w:szCs w:val="18"/>
        </w:rPr>
        <w:footnoteReference w:id="16"/>
      </w:r>
      <w:r w:rsidRPr="002C1C4D" w:rsidR="002C1C4D">
        <w:rPr>
          <w:szCs w:val="18"/>
        </w:rPr>
        <w:t xml:space="preserve">. De maatregel wordt gedekt uit de beschikbare middelen op de OCW begroting voor de monumentenzorg en verduurzaming. </w:t>
      </w:r>
    </w:p>
    <w:p w:rsidRPr="002C1C4D" w:rsidR="00C02B07" w:rsidP="00C02B07" w:rsidRDefault="00C02B07" w14:paraId="24398E94" w14:textId="77777777">
      <w:pPr>
        <w:rPr>
          <w:szCs w:val="18"/>
        </w:rPr>
      </w:pPr>
    </w:p>
    <w:p w:rsidRPr="002C1C4D" w:rsidR="002C1C4D" w:rsidP="002C1C4D" w:rsidRDefault="00C02B07" w14:paraId="176FFB25" w14:textId="345C5EF7">
      <w:pPr>
        <w:rPr>
          <w:szCs w:val="18"/>
        </w:rPr>
      </w:pPr>
      <w:r w:rsidRPr="002C1C4D">
        <w:rPr>
          <w:szCs w:val="18"/>
        </w:rPr>
        <w:t xml:space="preserve">Met deze impuls kan NRF tot medio 2027 in de leenbehoefte van eigenaren voorzien. De versterking is ook van belang voor het functioneren van het financieringsstelsel voor monumentenzorg als geheel. </w:t>
      </w:r>
      <w:r w:rsidRPr="002C1C4D" w:rsidR="002C1C4D">
        <w:rPr>
          <w:szCs w:val="18"/>
        </w:rPr>
        <w:t xml:space="preserve">In het stelsel geldt namelijk ’lenen waar het kan, subsidie waar het moet’ als centraal uitgangspunt. Omdat de fondsen bij het NRF een revolverende werking hebben, kunnen ontvangen rente en aflossingen weer worden benut voor het verstrekken van nieuwe leningen. </w:t>
      </w:r>
    </w:p>
    <w:p w:rsidR="002C1C4D" w:rsidP="00751821" w:rsidRDefault="002C1C4D" w14:paraId="1720F692" w14:textId="77777777">
      <w:pPr>
        <w:rPr>
          <w:szCs w:val="18"/>
        </w:rPr>
      </w:pPr>
    </w:p>
    <w:p w:rsidR="00687662" w:rsidP="00751821" w:rsidRDefault="00687662" w14:paraId="3DCF31E5" w14:textId="584DE551">
      <w:pPr>
        <w:rPr>
          <w:i/>
          <w:iCs/>
          <w:szCs w:val="18"/>
        </w:rPr>
      </w:pPr>
      <w:r w:rsidRPr="00125690">
        <w:rPr>
          <w:i/>
          <w:iCs/>
          <w:szCs w:val="18"/>
        </w:rPr>
        <w:t>Programma Erfgoed en Overheid</w:t>
      </w:r>
    </w:p>
    <w:p w:rsidR="00DC55F7" w:rsidP="00751821" w:rsidRDefault="00DC55F7" w14:paraId="14D2BE4B" w14:textId="6DBBA60E">
      <w:pPr>
        <w:rPr>
          <w:szCs w:val="18"/>
        </w:rPr>
      </w:pPr>
      <w:r>
        <w:rPr>
          <w:szCs w:val="18"/>
        </w:rPr>
        <w:t xml:space="preserve">Mijn ambtsvoorganger </w:t>
      </w:r>
      <w:r w:rsidR="001771CF">
        <w:rPr>
          <w:szCs w:val="18"/>
        </w:rPr>
        <w:t xml:space="preserve">Bruins </w:t>
      </w:r>
      <w:r>
        <w:rPr>
          <w:szCs w:val="18"/>
        </w:rPr>
        <w:t xml:space="preserve">informeerde u </w:t>
      </w:r>
      <w:r w:rsidR="00124762">
        <w:rPr>
          <w:szCs w:val="18"/>
        </w:rPr>
        <w:t xml:space="preserve">eerder </w:t>
      </w:r>
      <w:r>
        <w:rPr>
          <w:szCs w:val="18"/>
        </w:rPr>
        <w:t>over het programma Erfgoed en Overheid</w:t>
      </w:r>
      <w:r w:rsidR="004C0D3D">
        <w:rPr>
          <w:szCs w:val="18"/>
        </w:rPr>
        <w:t>.</w:t>
      </w:r>
      <w:r w:rsidR="004C0D3D">
        <w:rPr>
          <w:rStyle w:val="Voetnootmarkering"/>
          <w:szCs w:val="18"/>
        </w:rPr>
        <w:footnoteReference w:id="17"/>
      </w:r>
      <w:r w:rsidR="004C0D3D">
        <w:rPr>
          <w:szCs w:val="18"/>
        </w:rPr>
        <w:t xml:space="preserve"> Via deze stimuleringsaanpak ondersteunt</w:t>
      </w:r>
      <w:r>
        <w:rPr>
          <w:szCs w:val="18"/>
        </w:rPr>
        <w:t xml:space="preserve"> mijn ministerie – samen met de Vereniging van Nederlandse Gemeenten (VNG) en het Interprovinciaal Overleg (IPO) –</w:t>
      </w:r>
      <w:r w:rsidR="004C0D3D">
        <w:rPr>
          <w:szCs w:val="18"/>
        </w:rPr>
        <w:t xml:space="preserve"> </w:t>
      </w:r>
      <w:r>
        <w:rPr>
          <w:szCs w:val="18"/>
        </w:rPr>
        <w:t xml:space="preserve">gemeenten en </w:t>
      </w:r>
      <w:r w:rsidR="00BF765B">
        <w:rPr>
          <w:szCs w:val="18"/>
        </w:rPr>
        <w:t xml:space="preserve">provincies </w:t>
      </w:r>
      <w:r>
        <w:rPr>
          <w:szCs w:val="18"/>
        </w:rPr>
        <w:t xml:space="preserve">bij het versterken van de uitvoering van </w:t>
      </w:r>
      <w:r w:rsidR="00C73B3A">
        <w:rPr>
          <w:szCs w:val="18"/>
        </w:rPr>
        <w:t xml:space="preserve">hun </w:t>
      </w:r>
      <w:r>
        <w:rPr>
          <w:szCs w:val="18"/>
        </w:rPr>
        <w:t>taken op het gebied van onroerend cultureel erfgoed (archeologie, gebouwd en aangelegd erfgoed, stedenbouw en landschap).</w:t>
      </w:r>
    </w:p>
    <w:p w:rsidR="00DC55F7" w:rsidP="00751821" w:rsidRDefault="00DC55F7" w14:paraId="4AF02922" w14:textId="77777777">
      <w:pPr>
        <w:rPr>
          <w:szCs w:val="18"/>
        </w:rPr>
      </w:pPr>
    </w:p>
    <w:p w:rsidR="00543799" w:rsidP="00751821" w:rsidRDefault="00DC55F7" w14:paraId="0A283D1A" w14:textId="140122BB">
      <w:pPr>
        <w:rPr>
          <w:szCs w:val="18"/>
        </w:rPr>
      </w:pPr>
      <w:r>
        <w:rPr>
          <w:szCs w:val="18"/>
        </w:rPr>
        <w:t xml:space="preserve">De afgelopen </w:t>
      </w:r>
      <w:r w:rsidR="00CA6F43">
        <w:rPr>
          <w:szCs w:val="18"/>
        </w:rPr>
        <w:t>periode</w:t>
      </w:r>
      <w:r w:rsidR="00124762">
        <w:rPr>
          <w:szCs w:val="18"/>
        </w:rPr>
        <w:t xml:space="preserve"> </w:t>
      </w:r>
      <w:r>
        <w:rPr>
          <w:szCs w:val="18"/>
        </w:rPr>
        <w:t xml:space="preserve">zijn er diverse belangrijke stappen gezet. </w:t>
      </w:r>
      <w:r w:rsidR="00C73B3A">
        <w:rPr>
          <w:szCs w:val="18"/>
        </w:rPr>
        <w:t xml:space="preserve">Bij de RCE is een kwartiermakersteam aangesteld met vertegenwoordiging vanuit het </w:t>
      </w:r>
      <w:r w:rsidR="007E3EA7">
        <w:rPr>
          <w:szCs w:val="18"/>
        </w:rPr>
        <w:t>werkveld</w:t>
      </w:r>
      <w:r w:rsidR="00FC5236">
        <w:rPr>
          <w:szCs w:val="18"/>
        </w:rPr>
        <w:t>.</w:t>
      </w:r>
      <w:r w:rsidR="007E3EA7">
        <w:rPr>
          <w:szCs w:val="18"/>
        </w:rPr>
        <w:t xml:space="preserve"> </w:t>
      </w:r>
      <w:r w:rsidR="00FC5236">
        <w:rPr>
          <w:szCs w:val="18"/>
        </w:rPr>
        <w:t>Di</w:t>
      </w:r>
      <w:r w:rsidR="007E3EA7">
        <w:rPr>
          <w:szCs w:val="18"/>
        </w:rPr>
        <w:t xml:space="preserve">t </w:t>
      </w:r>
      <w:r w:rsidR="00FC5236">
        <w:rPr>
          <w:szCs w:val="18"/>
        </w:rPr>
        <w:t xml:space="preserve">team </w:t>
      </w:r>
      <w:r w:rsidR="00C73B3A">
        <w:rPr>
          <w:szCs w:val="18"/>
        </w:rPr>
        <w:t>buigt</w:t>
      </w:r>
      <w:r w:rsidR="00FC5236">
        <w:rPr>
          <w:szCs w:val="18"/>
        </w:rPr>
        <w:t xml:space="preserve"> zich</w:t>
      </w:r>
      <w:r w:rsidR="00C73B3A">
        <w:rPr>
          <w:szCs w:val="18"/>
        </w:rPr>
        <w:t xml:space="preserve"> over</w:t>
      </w:r>
      <w:r w:rsidR="004C0D3D">
        <w:rPr>
          <w:szCs w:val="18"/>
        </w:rPr>
        <w:t xml:space="preserve"> de programmadoelen voor de komende jaren en </w:t>
      </w:r>
      <w:r w:rsidR="007E3EA7">
        <w:rPr>
          <w:szCs w:val="18"/>
        </w:rPr>
        <w:t>een</w:t>
      </w:r>
      <w:r w:rsidR="00BF765B">
        <w:rPr>
          <w:szCs w:val="18"/>
        </w:rPr>
        <w:t xml:space="preserve"> daarbij passende organisatievorm</w:t>
      </w:r>
      <w:r w:rsidR="00FC5236">
        <w:rPr>
          <w:szCs w:val="18"/>
        </w:rPr>
        <w:t xml:space="preserve">, waarbij de duurzame versterking van het werkveld en de betrokkenheid van de drie overheidslagen centraal blijft staan. </w:t>
      </w:r>
      <w:r w:rsidR="007E3EA7">
        <w:rPr>
          <w:szCs w:val="18"/>
        </w:rPr>
        <w:t>Er</w:t>
      </w:r>
      <w:r w:rsidR="00C73B3A">
        <w:rPr>
          <w:szCs w:val="18"/>
        </w:rPr>
        <w:t xml:space="preserve"> is (co-)financiering toegekend aan een eerste ronde van projecten waarmee gemeenten en provincies hun erfgoedzorg kunnen versterken. In totaal hebben 89 initiatieven een bijdrage ontvangen. De tweede aanvraagronde is op 1 mei </w:t>
      </w:r>
      <w:r w:rsidR="00124762">
        <w:rPr>
          <w:szCs w:val="18"/>
        </w:rPr>
        <w:t xml:space="preserve">2026 </w:t>
      </w:r>
      <w:r w:rsidR="00C73B3A">
        <w:rPr>
          <w:szCs w:val="18"/>
        </w:rPr>
        <w:t>gesloten en zal binnenkort leiden tot een nieuwe reeks toekenningen.</w:t>
      </w:r>
      <w:r w:rsidR="00161495">
        <w:rPr>
          <w:szCs w:val="18"/>
        </w:rPr>
        <w:t xml:space="preserve"> Voor deze ronde is dermate veel belangstelling dat de vraag het beschikbare budget (ver) overschrijd</w:t>
      </w:r>
      <w:r w:rsidR="00124762">
        <w:rPr>
          <w:szCs w:val="18"/>
        </w:rPr>
        <w:t>t</w:t>
      </w:r>
      <w:r w:rsidR="00161495">
        <w:rPr>
          <w:szCs w:val="18"/>
        </w:rPr>
        <w:t xml:space="preserve">. Hieruit blijkt dat gemeenten en provincies het programma goed weten te vinden en </w:t>
      </w:r>
      <w:r w:rsidR="00124762">
        <w:rPr>
          <w:szCs w:val="18"/>
        </w:rPr>
        <w:t xml:space="preserve">dat </w:t>
      </w:r>
      <w:r w:rsidR="00161495">
        <w:rPr>
          <w:szCs w:val="18"/>
        </w:rPr>
        <w:t>dit voorziet in een grote behoefte.</w:t>
      </w:r>
      <w:r w:rsidR="00C73B3A">
        <w:rPr>
          <w:szCs w:val="18"/>
        </w:rPr>
        <w:t xml:space="preserve"> </w:t>
      </w:r>
      <w:r w:rsidR="00161495">
        <w:rPr>
          <w:szCs w:val="18"/>
        </w:rPr>
        <w:t xml:space="preserve">De </w:t>
      </w:r>
      <w:r w:rsidR="004C0D3D">
        <w:rPr>
          <w:szCs w:val="18"/>
        </w:rPr>
        <w:t>komende jaren blijft het programma</w:t>
      </w:r>
      <w:r w:rsidR="00161495">
        <w:rPr>
          <w:szCs w:val="18"/>
        </w:rPr>
        <w:t xml:space="preserve"> dan ook </w:t>
      </w:r>
      <w:r w:rsidR="00BF765B">
        <w:rPr>
          <w:szCs w:val="18"/>
        </w:rPr>
        <w:t xml:space="preserve">dergelijke </w:t>
      </w:r>
      <w:r w:rsidR="004C0D3D">
        <w:rPr>
          <w:szCs w:val="18"/>
        </w:rPr>
        <w:t xml:space="preserve">projecten ondersteunen, waarbij de nadruk steeds meer zal komen te liggen op integrale verbeterplannen. </w:t>
      </w:r>
    </w:p>
    <w:p w:rsidR="00EE462D" w:rsidP="00751821" w:rsidRDefault="00EE462D" w14:paraId="0987C34E" w14:textId="77777777">
      <w:pPr>
        <w:rPr>
          <w:szCs w:val="18"/>
        </w:rPr>
      </w:pPr>
    </w:p>
    <w:p w:rsidR="00BF765B" w:rsidP="00751821" w:rsidRDefault="00124762" w14:paraId="5E80EF33" w14:textId="6DC5C9B1">
      <w:pPr>
        <w:rPr>
          <w:szCs w:val="18"/>
        </w:rPr>
      </w:pPr>
      <w:r w:rsidRPr="00D717EB">
        <w:rPr>
          <w:szCs w:val="18"/>
        </w:rPr>
        <w:t>In dit licht</w:t>
      </w:r>
      <w:r w:rsidRPr="00D717EB" w:rsidR="00543799">
        <w:rPr>
          <w:szCs w:val="18"/>
        </w:rPr>
        <w:t xml:space="preserve"> </w:t>
      </w:r>
      <w:r w:rsidRPr="00D717EB" w:rsidR="00EE462D">
        <w:rPr>
          <w:szCs w:val="18"/>
        </w:rPr>
        <w:t xml:space="preserve">is er behoefte aan </w:t>
      </w:r>
      <w:r w:rsidRPr="00D717EB" w:rsidR="00EE462D">
        <w:rPr>
          <w:rFonts w:cs="Calibri"/>
          <w:szCs w:val="18"/>
        </w:rPr>
        <w:t>een onafhankelijk perspectief op de vraag hoe gemeenten, provincies en het rijk samen de erfgoedzorg toekomstgericht kunnen vormgeven en borgen. I</w:t>
      </w:r>
      <w:r w:rsidRPr="00D717EB" w:rsidR="004C0D3D">
        <w:rPr>
          <w:szCs w:val="18"/>
        </w:rPr>
        <w:t xml:space="preserve">k </w:t>
      </w:r>
      <w:r w:rsidRPr="00D717EB" w:rsidR="00EE462D">
        <w:rPr>
          <w:szCs w:val="18"/>
        </w:rPr>
        <w:t xml:space="preserve">heb hierover </w:t>
      </w:r>
      <w:r w:rsidRPr="00D717EB" w:rsidR="004C0D3D">
        <w:rPr>
          <w:szCs w:val="18"/>
        </w:rPr>
        <w:t>advies gevraagd</w:t>
      </w:r>
      <w:r w:rsidRPr="00D717EB" w:rsidR="00D717EB">
        <w:rPr>
          <w:szCs w:val="18"/>
        </w:rPr>
        <w:t xml:space="preserve"> </w:t>
      </w:r>
      <w:r w:rsidRPr="00D717EB" w:rsidR="004C0D3D">
        <w:rPr>
          <w:szCs w:val="18"/>
        </w:rPr>
        <w:t>aan de Raad voor Cultuur</w:t>
      </w:r>
      <w:r w:rsidRPr="00D717EB" w:rsidR="00543799">
        <w:rPr>
          <w:szCs w:val="18"/>
        </w:rPr>
        <w:t>. Aangezien het hier ook duidelijk een bestuurskundig vraagstuk betreft, heb ik de Raad verzocht hier tevens de Raad voor het Openbaar Bestuur (ROB) bij te betrekken.</w:t>
      </w:r>
      <w:r w:rsidRPr="00D717EB" w:rsidR="003567FA">
        <w:rPr>
          <w:szCs w:val="18"/>
        </w:rPr>
        <w:t xml:space="preserve"> Als bijlage bij deze brief treft u mijn adviesvraag aan.</w:t>
      </w:r>
      <w:r w:rsidRPr="00D717EB" w:rsidR="00543799">
        <w:rPr>
          <w:szCs w:val="18"/>
        </w:rPr>
        <w:t xml:space="preserve"> </w:t>
      </w:r>
      <w:r w:rsidRPr="00D717EB" w:rsidR="00BF765B">
        <w:rPr>
          <w:szCs w:val="18"/>
        </w:rPr>
        <w:t xml:space="preserve">Ik verwacht dit advies </w:t>
      </w:r>
      <w:r w:rsidRPr="00D717EB" w:rsidR="007E6394">
        <w:rPr>
          <w:szCs w:val="18"/>
        </w:rPr>
        <w:t xml:space="preserve">in het eerste kwartaal van </w:t>
      </w:r>
      <w:r w:rsidRPr="00D717EB" w:rsidR="00BF765B">
        <w:rPr>
          <w:szCs w:val="18"/>
        </w:rPr>
        <w:t>202</w:t>
      </w:r>
      <w:r w:rsidRPr="00D717EB" w:rsidR="007E6394">
        <w:rPr>
          <w:szCs w:val="18"/>
        </w:rPr>
        <w:t>7</w:t>
      </w:r>
      <w:r w:rsidRPr="00D717EB" w:rsidR="00BF765B">
        <w:rPr>
          <w:szCs w:val="18"/>
        </w:rPr>
        <w:t>, waarna ik het zal delen met uw Kamer.</w:t>
      </w:r>
      <w:r w:rsidR="00BF765B">
        <w:rPr>
          <w:szCs w:val="18"/>
        </w:rPr>
        <w:t xml:space="preserve"> </w:t>
      </w:r>
    </w:p>
    <w:p w:rsidR="00BF765B" w:rsidP="00751821" w:rsidRDefault="00BF765B" w14:paraId="11EFB083" w14:textId="77777777">
      <w:pPr>
        <w:rPr>
          <w:szCs w:val="18"/>
        </w:rPr>
      </w:pPr>
    </w:p>
    <w:p w:rsidR="00BF765B" w:rsidP="00751821" w:rsidRDefault="00BF765B" w14:paraId="36F56BB7" w14:textId="15FE2EEB">
      <w:pPr>
        <w:rPr>
          <w:szCs w:val="18"/>
        </w:rPr>
      </w:pPr>
      <w:r>
        <w:rPr>
          <w:szCs w:val="18"/>
        </w:rPr>
        <w:t xml:space="preserve">Door voor gemeenten en provincies inzichtelijk te maken op welke manier zij hun erfgoedzorg kunnen versterken en ze hierbij concreet te ondersteunen, </w:t>
      </w:r>
      <w:r w:rsidR="007E3EA7">
        <w:rPr>
          <w:szCs w:val="18"/>
        </w:rPr>
        <w:t xml:space="preserve">kunnen zij het belang van </w:t>
      </w:r>
      <w:r>
        <w:rPr>
          <w:szCs w:val="18"/>
        </w:rPr>
        <w:t xml:space="preserve">erfgoed in de </w:t>
      </w:r>
      <w:r w:rsidRPr="002E5AAE">
        <w:rPr>
          <w:szCs w:val="18"/>
        </w:rPr>
        <w:t>fysieke leefomgeving</w:t>
      </w:r>
      <w:r w:rsidRPr="002E5AAE" w:rsidR="007E3EA7">
        <w:rPr>
          <w:szCs w:val="18"/>
        </w:rPr>
        <w:t xml:space="preserve"> </w:t>
      </w:r>
      <w:r w:rsidRPr="002E5AAE" w:rsidR="00E75EF4">
        <w:rPr>
          <w:szCs w:val="18"/>
        </w:rPr>
        <w:t>– als nationaal belang opgenomen in de ontwerp-nota Ruimte</w:t>
      </w:r>
      <w:r w:rsidRPr="002E5AAE" w:rsidR="002E5AAE">
        <w:rPr>
          <w:rStyle w:val="Voetnootmarkering"/>
          <w:szCs w:val="18"/>
        </w:rPr>
        <w:footnoteReference w:id="18"/>
      </w:r>
      <w:r w:rsidRPr="002E5AAE" w:rsidR="00E75EF4">
        <w:rPr>
          <w:szCs w:val="18"/>
        </w:rPr>
        <w:t xml:space="preserve"> – </w:t>
      </w:r>
      <w:r w:rsidRPr="002E5AAE" w:rsidR="007E3EA7">
        <w:rPr>
          <w:szCs w:val="18"/>
        </w:rPr>
        <w:t>op</w:t>
      </w:r>
      <w:r w:rsidRPr="002E5AAE" w:rsidR="00E75EF4">
        <w:rPr>
          <w:szCs w:val="18"/>
        </w:rPr>
        <w:t xml:space="preserve"> </w:t>
      </w:r>
      <w:r w:rsidRPr="002E5AAE" w:rsidR="007E3EA7">
        <w:rPr>
          <w:szCs w:val="18"/>
        </w:rPr>
        <w:t>een steeds</w:t>
      </w:r>
      <w:r w:rsidR="007E3EA7">
        <w:rPr>
          <w:szCs w:val="18"/>
        </w:rPr>
        <w:t xml:space="preserve"> volwaardigere manier betrekken bij </w:t>
      </w:r>
      <w:r>
        <w:rPr>
          <w:szCs w:val="18"/>
        </w:rPr>
        <w:t xml:space="preserve">ruimtelijke ontwikkelingen. Dit stelt hen tevens in staat om </w:t>
      </w:r>
      <w:r w:rsidR="007E3EA7">
        <w:rPr>
          <w:szCs w:val="18"/>
        </w:rPr>
        <w:t xml:space="preserve">op een positieve manier </w:t>
      </w:r>
      <w:r>
        <w:rPr>
          <w:szCs w:val="18"/>
        </w:rPr>
        <w:t xml:space="preserve">bij te dragen aan een soepel verloop van de grote transities in onze leefomgeving en het draagvlak </w:t>
      </w:r>
      <w:r w:rsidR="00161495">
        <w:rPr>
          <w:szCs w:val="18"/>
        </w:rPr>
        <w:t xml:space="preserve">voor deze transities </w:t>
      </w:r>
      <w:r>
        <w:rPr>
          <w:szCs w:val="18"/>
        </w:rPr>
        <w:t>te vergroten</w:t>
      </w:r>
      <w:r w:rsidR="007E3EA7">
        <w:rPr>
          <w:szCs w:val="18"/>
        </w:rPr>
        <w:t>.</w:t>
      </w:r>
      <w:r w:rsidR="005A1CAB">
        <w:rPr>
          <w:szCs w:val="18"/>
        </w:rPr>
        <w:t xml:space="preserve"> </w:t>
      </w:r>
    </w:p>
    <w:p w:rsidR="001B2C4B" w:rsidP="00EA7AB8" w:rsidRDefault="001B2C4B" w14:paraId="41903D11" w14:textId="77777777">
      <w:pPr>
        <w:contextualSpacing/>
        <w:rPr>
          <w:szCs w:val="18"/>
        </w:rPr>
      </w:pPr>
    </w:p>
    <w:p w:rsidRPr="00C84BEB" w:rsidR="001350A9" w:rsidP="00EA7AB8" w:rsidRDefault="00900D67" w14:paraId="31167147" w14:textId="4F25EE1C">
      <w:pPr>
        <w:contextualSpacing/>
        <w:rPr>
          <w:szCs w:val="18"/>
        </w:rPr>
      </w:pPr>
      <w:r>
        <w:rPr>
          <w:szCs w:val="18"/>
        </w:rPr>
        <w:t>Ik hoop uw Kamer hiermee voldoende geïnformeerd te hebben,</w:t>
      </w:r>
    </w:p>
    <w:p w:rsidRPr="00C84BEB" w:rsidR="00820DDA" w:rsidP="00EA7AB8" w:rsidRDefault="00820DDA" w14:paraId="02D0C9DC" w14:textId="77777777">
      <w:pPr>
        <w:rPr>
          <w:szCs w:val="18"/>
        </w:rPr>
      </w:pPr>
    </w:p>
    <w:p w:rsidR="004E1A28" w:rsidP="00EA7AB8" w:rsidRDefault="004E1A28" w14:paraId="007EFAE5" w14:textId="77777777">
      <w:pPr>
        <w:rPr>
          <w:szCs w:val="18"/>
        </w:rPr>
      </w:pPr>
    </w:p>
    <w:p w:rsidR="004E1A28" w:rsidP="00EA7AB8" w:rsidRDefault="004E1A28" w14:paraId="3AAC4748" w14:textId="77777777">
      <w:pPr>
        <w:rPr>
          <w:szCs w:val="18"/>
        </w:rPr>
      </w:pPr>
    </w:p>
    <w:p w:rsidR="004E1A28" w:rsidP="00EA7AB8" w:rsidRDefault="004E1A28" w14:paraId="7DE35B77" w14:textId="77777777">
      <w:pPr>
        <w:rPr>
          <w:szCs w:val="18"/>
        </w:rPr>
      </w:pPr>
    </w:p>
    <w:p w:rsidRPr="00C84BEB" w:rsidR="00820DDA" w:rsidP="00EA7AB8" w:rsidRDefault="008A1490" w14:paraId="1EDCBA84" w14:textId="2315296F">
      <w:pPr>
        <w:rPr>
          <w:szCs w:val="18"/>
        </w:rPr>
      </w:pPr>
      <w:r w:rsidRPr="00C84BEB">
        <w:rPr>
          <w:szCs w:val="18"/>
        </w:rPr>
        <w:t>De minister van Onderwijs, Cultuur en Wetenschap,</w:t>
      </w:r>
    </w:p>
    <w:p w:rsidRPr="00C84BEB" w:rsidR="00950170" w:rsidP="00EA7AB8" w:rsidRDefault="00950170" w14:paraId="14EC1946" w14:textId="77777777">
      <w:pPr>
        <w:rPr>
          <w:szCs w:val="18"/>
        </w:rPr>
      </w:pPr>
    </w:p>
    <w:p w:rsidRPr="00C84BEB" w:rsidR="00950170" w:rsidP="00EA7AB8" w:rsidRDefault="00950170" w14:paraId="40924934" w14:textId="77777777">
      <w:pPr>
        <w:rPr>
          <w:szCs w:val="18"/>
        </w:rPr>
      </w:pPr>
    </w:p>
    <w:p w:rsidRPr="00C84BEB" w:rsidR="00950170" w:rsidP="00EA7AB8" w:rsidRDefault="00950170" w14:paraId="470F2143" w14:textId="77777777">
      <w:pPr>
        <w:rPr>
          <w:szCs w:val="18"/>
        </w:rPr>
      </w:pPr>
    </w:p>
    <w:p w:rsidRPr="00C84BEB" w:rsidR="00950170" w:rsidP="00EA7AB8" w:rsidRDefault="008A1490" w14:paraId="2A7BEB39" w14:textId="77777777">
      <w:pPr>
        <w:rPr>
          <w:szCs w:val="18"/>
        </w:rPr>
      </w:pPr>
      <w:r w:rsidRPr="00C84BEB">
        <w:rPr>
          <w:szCs w:val="18"/>
          <w:lang w:eastAsia="en-US"/>
        </w:rPr>
        <w:t>Rianne Letschert</w:t>
      </w:r>
    </w:p>
    <w:p w:rsidRPr="00820DDA" w:rsidR="00820DDA" w:rsidP="00EA7AB8" w:rsidRDefault="00820DDA" w14:paraId="3E86540C" w14:textId="5E3837F1"/>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ABE7E" w14:textId="77777777" w:rsidR="0033486A" w:rsidRDefault="0033486A">
      <w:r>
        <w:separator/>
      </w:r>
    </w:p>
    <w:p w14:paraId="6C1AE62D" w14:textId="77777777" w:rsidR="0033486A" w:rsidRDefault="0033486A"/>
  </w:endnote>
  <w:endnote w:type="continuationSeparator" w:id="0">
    <w:p w14:paraId="332734BC" w14:textId="77777777" w:rsidR="0033486A" w:rsidRDefault="0033486A">
      <w:r>
        <w:continuationSeparator/>
      </w:r>
    </w:p>
    <w:p w14:paraId="021ED862" w14:textId="77777777" w:rsidR="0033486A" w:rsidRDefault="003348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95D2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107AE" w14:paraId="773B14EB" w14:textId="77777777" w:rsidTr="004C7E1D">
      <w:trPr>
        <w:trHeight w:hRule="exact" w:val="357"/>
      </w:trPr>
      <w:tc>
        <w:tcPr>
          <w:tcW w:w="7603" w:type="dxa"/>
        </w:tcPr>
        <w:p w14:paraId="71371CE5" w14:textId="77777777" w:rsidR="002F71BB" w:rsidRPr="004C7E1D" w:rsidRDefault="002F71BB" w:rsidP="004C7E1D">
          <w:pPr>
            <w:spacing w:line="180" w:lineRule="exact"/>
            <w:rPr>
              <w:sz w:val="13"/>
              <w:szCs w:val="13"/>
            </w:rPr>
          </w:pPr>
        </w:p>
      </w:tc>
      <w:tc>
        <w:tcPr>
          <w:tcW w:w="2172" w:type="dxa"/>
        </w:tcPr>
        <w:p w14:paraId="6A5C6FD4" w14:textId="5BA05028" w:rsidR="002F71BB" w:rsidRPr="004C7E1D" w:rsidRDefault="008A149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65C15">
            <w:rPr>
              <w:szCs w:val="13"/>
            </w:rPr>
            <w:t>7</w:t>
          </w:r>
          <w:r w:rsidRPr="004C7E1D">
            <w:rPr>
              <w:szCs w:val="13"/>
            </w:rPr>
            <w:fldChar w:fldCharType="end"/>
          </w:r>
        </w:p>
      </w:tc>
    </w:tr>
  </w:tbl>
  <w:p w14:paraId="309E73B5"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6107AE" w14:paraId="0E84D1E6" w14:textId="77777777" w:rsidTr="004C7E1D">
      <w:trPr>
        <w:trHeight w:hRule="exact" w:val="357"/>
      </w:trPr>
      <w:tc>
        <w:tcPr>
          <w:tcW w:w="7709" w:type="dxa"/>
        </w:tcPr>
        <w:p w14:paraId="00ABC0A3" w14:textId="77777777" w:rsidR="00D17084" w:rsidRPr="004C7E1D" w:rsidRDefault="00D17084" w:rsidP="004C7E1D">
          <w:pPr>
            <w:spacing w:line="180" w:lineRule="exact"/>
            <w:rPr>
              <w:sz w:val="13"/>
              <w:szCs w:val="13"/>
            </w:rPr>
          </w:pPr>
        </w:p>
      </w:tc>
      <w:tc>
        <w:tcPr>
          <w:tcW w:w="2060" w:type="dxa"/>
        </w:tcPr>
        <w:p w14:paraId="5809E436" w14:textId="093C4D8A" w:rsidR="00D17084" w:rsidRPr="004C7E1D" w:rsidRDefault="008A149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3486A">
            <w:rPr>
              <w:szCs w:val="13"/>
            </w:rPr>
            <w:t>1</w:t>
          </w:r>
          <w:r w:rsidRPr="004C7E1D">
            <w:rPr>
              <w:szCs w:val="13"/>
            </w:rPr>
            <w:fldChar w:fldCharType="end"/>
          </w:r>
        </w:p>
      </w:tc>
    </w:tr>
  </w:tbl>
  <w:p w14:paraId="1875212D"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8EB1D" w14:textId="77777777" w:rsidR="0033486A" w:rsidRDefault="0033486A">
      <w:r>
        <w:separator/>
      </w:r>
    </w:p>
    <w:p w14:paraId="6D60A680" w14:textId="77777777" w:rsidR="0033486A" w:rsidRDefault="0033486A"/>
  </w:footnote>
  <w:footnote w:type="continuationSeparator" w:id="0">
    <w:p w14:paraId="522B366A" w14:textId="77777777" w:rsidR="0033486A" w:rsidRDefault="0033486A">
      <w:r>
        <w:continuationSeparator/>
      </w:r>
    </w:p>
    <w:p w14:paraId="5ED36BA7" w14:textId="77777777" w:rsidR="0033486A" w:rsidRDefault="0033486A"/>
  </w:footnote>
  <w:footnote w:id="1">
    <w:p w14:paraId="1B05DB4A" w14:textId="77777777" w:rsidR="006A1C92" w:rsidRDefault="006A1C92" w:rsidP="006A1C92">
      <w:pPr>
        <w:pStyle w:val="Voetnoottekst"/>
      </w:pPr>
      <w:r>
        <w:rPr>
          <w:rStyle w:val="Voetnootmarkering"/>
        </w:rPr>
        <w:footnoteRef/>
      </w:r>
      <w:r>
        <w:t xml:space="preserve"> </w:t>
      </w:r>
      <w:r w:rsidRPr="00F547D2">
        <w:t>Tweede Kamer, vergaderjaar 2023–2024, 31 511, nr. 63</w:t>
      </w:r>
    </w:p>
  </w:footnote>
  <w:footnote w:id="2">
    <w:p w14:paraId="5FB75AD9" w14:textId="52CD3198" w:rsidR="00EF0AC7" w:rsidRDefault="00EF0AC7" w:rsidP="00183333">
      <w:pPr>
        <w:pStyle w:val="Voetnoottekst"/>
        <w:spacing w:line="240" w:lineRule="auto"/>
      </w:pPr>
      <w:r w:rsidRPr="00183333">
        <w:rPr>
          <w:rStyle w:val="Voetnootmarkering"/>
        </w:rPr>
        <w:footnoteRef/>
      </w:r>
      <w:r w:rsidR="00183333" w:rsidRPr="00183333">
        <w:t xml:space="preserve"> Kamerstuk 32820, nr. 547.</w:t>
      </w:r>
      <w:r w:rsidR="00183333">
        <w:t xml:space="preserve"> </w:t>
      </w:r>
    </w:p>
  </w:footnote>
  <w:footnote w:id="3">
    <w:p w14:paraId="175534FF" w14:textId="77777777" w:rsidR="00393E9F" w:rsidRPr="00324E99" w:rsidRDefault="00393E9F" w:rsidP="00AC35D6">
      <w:pPr>
        <w:pStyle w:val="Voetnoottekst"/>
        <w:spacing w:line="240" w:lineRule="auto"/>
        <w:rPr>
          <w:iCs/>
          <w:sz w:val="16"/>
          <w:szCs w:val="16"/>
        </w:rPr>
      </w:pPr>
      <w:r w:rsidRPr="008716CB">
        <w:rPr>
          <w:vertAlign w:val="superscript"/>
        </w:rPr>
        <w:footnoteRef/>
      </w:r>
      <w:r w:rsidRPr="008716CB">
        <w:rPr>
          <w:vertAlign w:val="superscript"/>
        </w:rPr>
        <w:t xml:space="preserve"> </w:t>
      </w:r>
      <w:r w:rsidRPr="00E94179">
        <w:t xml:space="preserve">Het uitvoeren van een opgraving is één methode om een archeologische vindplaats te onderzoeken. Dergelijk onderzoek bestaat in de regel echter uit diverse onderzoeksmethoden en -stadia; zeker wanneer het gaat om een project van de schaal en doorlooptijd waartoe de motie oproept. </w:t>
      </w:r>
      <w:r>
        <w:t>Daarom wordt in deze brief de term onderzoek gehanteerd in plaats van de term opgraving.</w:t>
      </w:r>
    </w:p>
  </w:footnote>
  <w:footnote w:id="4">
    <w:p w14:paraId="341DD82F" w14:textId="77777777" w:rsidR="00393E9F" w:rsidRPr="00204036" w:rsidRDefault="00393E9F" w:rsidP="005B1F7F">
      <w:pPr>
        <w:pStyle w:val="Voetnoottekst"/>
        <w:spacing w:line="240" w:lineRule="auto"/>
      </w:pPr>
      <w:r>
        <w:rPr>
          <w:rStyle w:val="Voetnootmarkering"/>
        </w:rPr>
        <w:footnoteRef/>
      </w:r>
      <w:r>
        <w:t xml:space="preserve"> Rijksdienst voor het Cultureel Erfgoed, 2025: </w:t>
      </w:r>
      <w:r>
        <w:rPr>
          <w:i/>
          <w:iCs/>
        </w:rPr>
        <w:t xml:space="preserve">De BZN17 op koers! Perspectieven voor onderzoek en behoud van de BZN17 – ‘het Palmhoutwrak’, </w:t>
      </w:r>
      <w:r>
        <w:t xml:space="preserve">Amersfoort. </w:t>
      </w:r>
    </w:p>
  </w:footnote>
  <w:footnote w:id="5">
    <w:p w14:paraId="3FCE22B1" w14:textId="07F96E07" w:rsidR="006942F9" w:rsidRDefault="006942F9">
      <w:pPr>
        <w:pStyle w:val="Voetnoottekst"/>
      </w:pPr>
      <w:r w:rsidRPr="00983ED5">
        <w:rPr>
          <w:rStyle w:val="Voetnootmarkering"/>
        </w:rPr>
        <w:footnoteRef/>
      </w:r>
      <w:r w:rsidRPr="00983ED5">
        <w:t xml:space="preserve"> </w:t>
      </w:r>
      <w:r w:rsidR="00983ED5" w:rsidRPr="00983ED5">
        <w:t>Kamerstuk 32 820, nr. 537.</w:t>
      </w:r>
    </w:p>
  </w:footnote>
  <w:footnote w:id="6">
    <w:p w14:paraId="449C5DE6" w14:textId="77777777" w:rsidR="00142034" w:rsidRDefault="00142034" w:rsidP="003567FA">
      <w:pPr>
        <w:pStyle w:val="Voetnoottekst"/>
        <w:spacing w:line="240" w:lineRule="auto"/>
      </w:pPr>
      <w:r>
        <w:rPr>
          <w:rStyle w:val="Voetnootmarkering"/>
        </w:rPr>
        <w:footnoteRef/>
      </w:r>
      <w:r>
        <w:t xml:space="preserve"> </w:t>
      </w:r>
      <w:r w:rsidRPr="00A45205">
        <w:t>Kamerstukken II 2022/23, 32 820, nr. 489</w:t>
      </w:r>
      <w:r>
        <w:t>.</w:t>
      </w:r>
      <w:r w:rsidRPr="00A45205">
        <w:t xml:space="preserve"> </w:t>
      </w:r>
    </w:p>
  </w:footnote>
  <w:footnote w:id="7">
    <w:p w14:paraId="3DCB12D4" w14:textId="77777777" w:rsidR="00142034" w:rsidRDefault="00142034" w:rsidP="003567FA">
      <w:pPr>
        <w:pStyle w:val="Voetnoottekst"/>
        <w:spacing w:line="240" w:lineRule="auto"/>
      </w:pPr>
      <w:r>
        <w:rPr>
          <w:rStyle w:val="Voetnootmarkering"/>
        </w:rPr>
        <w:footnoteRef/>
      </w:r>
      <w:r>
        <w:t xml:space="preserve"> </w:t>
      </w:r>
      <w:r w:rsidRPr="00A45205">
        <w:t>Kamerstukken II 2024/25, 32 820, nr. 533.</w:t>
      </w:r>
    </w:p>
  </w:footnote>
  <w:footnote w:id="8">
    <w:p w14:paraId="3297976D" w14:textId="1D36DD84" w:rsidR="00096E03" w:rsidRDefault="00096E03" w:rsidP="008A412D">
      <w:pPr>
        <w:pStyle w:val="Voetnoottekst"/>
        <w:spacing w:line="240" w:lineRule="auto"/>
        <w:contextualSpacing/>
      </w:pPr>
      <w:r>
        <w:rPr>
          <w:rStyle w:val="Voetnootmarkering"/>
        </w:rPr>
        <w:footnoteRef/>
      </w:r>
      <w:r>
        <w:t xml:space="preserve"> </w:t>
      </w:r>
      <w:r w:rsidRPr="00897739">
        <w:rPr>
          <w:szCs w:val="18"/>
        </w:rPr>
        <w:t xml:space="preserve">Brief van de vaste commissie voor Onderwijs, Cultuur en Wetenschap aan </w:t>
      </w:r>
      <w:r w:rsidR="00B04150">
        <w:rPr>
          <w:szCs w:val="18"/>
        </w:rPr>
        <w:t xml:space="preserve">de minister van OCW, </w:t>
      </w:r>
      <w:r w:rsidRPr="00897739">
        <w:rPr>
          <w:szCs w:val="18"/>
        </w:rPr>
        <w:t xml:space="preserve">d.d. 5 maart </w:t>
      </w:r>
      <w:r w:rsidR="00B04150">
        <w:rPr>
          <w:szCs w:val="18"/>
        </w:rPr>
        <w:t>2026, briefk</w:t>
      </w:r>
      <w:r w:rsidRPr="00897739">
        <w:rPr>
          <w:szCs w:val="18"/>
        </w:rPr>
        <w:t>enmerk 2026D09999</w:t>
      </w:r>
      <w:r w:rsidR="00B04150">
        <w:rPr>
          <w:szCs w:val="18"/>
        </w:rPr>
        <w:t>.</w:t>
      </w:r>
    </w:p>
  </w:footnote>
  <w:footnote w:id="9">
    <w:p w14:paraId="3689CC15" w14:textId="4B4F038D" w:rsidR="008A412D" w:rsidRDefault="008A412D" w:rsidP="008A412D">
      <w:pPr>
        <w:pStyle w:val="Voetnoottekst"/>
        <w:spacing w:line="240" w:lineRule="auto"/>
        <w:contextualSpacing/>
      </w:pPr>
      <w:r w:rsidRPr="00A71CC6">
        <w:rPr>
          <w:rStyle w:val="Voetnootmarkering"/>
        </w:rPr>
        <w:footnoteRef/>
      </w:r>
      <w:r w:rsidRPr="00A71CC6">
        <w:t xml:space="preserve"> </w:t>
      </w:r>
      <w:hyperlink r:id="rId1" w:history="1">
        <w:r w:rsidR="00A71CC6" w:rsidRPr="00A71CC6">
          <w:rPr>
            <w:rStyle w:val="Hyperlink"/>
          </w:rPr>
          <w:t>Hoofdrapport Landsdekkende Heritage Impact Assessment (april 2026) - HSV 380 kV Vierverlaten - Ens</w:t>
        </w:r>
      </w:hyperlink>
    </w:p>
  </w:footnote>
  <w:footnote w:id="10">
    <w:p w14:paraId="1BABA01C" w14:textId="60A79E89" w:rsidR="00751821" w:rsidRDefault="00751821" w:rsidP="008A412D">
      <w:pPr>
        <w:pStyle w:val="Voetnoottekst"/>
        <w:spacing w:line="240" w:lineRule="auto"/>
        <w:contextualSpacing/>
      </w:pPr>
      <w:r>
        <w:rPr>
          <w:rStyle w:val="Voetnootmarkering"/>
        </w:rPr>
        <w:footnoteRef/>
      </w:r>
      <w:r>
        <w:t xml:space="preserve"> O.a. kamerstukken </w:t>
      </w:r>
      <w:r w:rsidRPr="00A05A0B">
        <w:t>32820, nr. 562</w:t>
      </w:r>
      <w:r>
        <w:t xml:space="preserve"> en 556</w:t>
      </w:r>
      <w:r w:rsidRPr="00A05A0B">
        <w:t xml:space="preserve">. </w:t>
      </w:r>
    </w:p>
  </w:footnote>
  <w:footnote w:id="11">
    <w:p w14:paraId="222A25F2" w14:textId="77777777" w:rsidR="00751821" w:rsidRDefault="00751821" w:rsidP="00183333">
      <w:pPr>
        <w:pStyle w:val="Voetnoottekst"/>
        <w:spacing w:line="240" w:lineRule="auto"/>
      </w:pPr>
      <w:r>
        <w:rPr>
          <w:rStyle w:val="Voetnootmarkering"/>
        </w:rPr>
        <w:footnoteRef/>
      </w:r>
      <w:r>
        <w:t xml:space="preserve"> Kamerstuk</w:t>
      </w:r>
      <w:r w:rsidRPr="00367992">
        <w:t xml:space="preserve"> 32 156, nr. 128.</w:t>
      </w:r>
    </w:p>
  </w:footnote>
  <w:footnote w:id="12">
    <w:p w14:paraId="44F76897" w14:textId="7E6B656E" w:rsidR="003567FA" w:rsidRDefault="003567FA" w:rsidP="00786ADF">
      <w:pPr>
        <w:spacing w:line="240" w:lineRule="auto"/>
      </w:pPr>
      <w:r w:rsidRPr="003567FA">
        <w:rPr>
          <w:rStyle w:val="Voetnootmarkering"/>
          <w:sz w:val="13"/>
          <w:szCs w:val="13"/>
        </w:rPr>
        <w:footnoteRef/>
      </w:r>
      <w:r w:rsidRPr="003567FA">
        <w:rPr>
          <w:sz w:val="13"/>
          <w:szCs w:val="13"/>
        </w:rPr>
        <w:t xml:space="preserve"> Een seriële nominatie is een voordracht of bestaande inschrijving bij UNESCO</w:t>
      </w:r>
      <w:r>
        <w:rPr>
          <w:sz w:val="13"/>
          <w:szCs w:val="13"/>
        </w:rPr>
        <w:t>,</w:t>
      </w:r>
      <w:r w:rsidRPr="003567FA">
        <w:rPr>
          <w:sz w:val="13"/>
          <w:szCs w:val="13"/>
        </w:rPr>
        <w:t xml:space="preserve"> waarbij meerdere afzonderlijke locaties samen één </w:t>
      </w:r>
      <w:r w:rsidR="005A1CAB">
        <w:rPr>
          <w:sz w:val="13"/>
          <w:szCs w:val="13"/>
        </w:rPr>
        <w:t>W</w:t>
      </w:r>
      <w:r w:rsidRPr="003567FA">
        <w:rPr>
          <w:sz w:val="13"/>
          <w:szCs w:val="13"/>
        </w:rPr>
        <w:t>erelderfgoed vormen, omdat ze gezamenlijk een uniek verhaal vertellen. Deze locaties kunnen in hetzelfde land</w:t>
      </w:r>
      <w:r>
        <w:rPr>
          <w:sz w:val="13"/>
          <w:szCs w:val="13"/>
        </w:rPr>
        <w:t xml:space="preserve"> liggen,</w:t>
      </w:r>
      <w:r w:rsidRPr="003567FA">
        <w:rPr>
          <w:sz w:val="13"/>
          <w:szCs w:val="13"/>
        </w:rPr>
        <w:t xml:space="preserve"> of verspreid over verschillende landen (transnationale nominatie) zoals de Koloniën van Weldadigheid (met België) of de Neder-Germaanse Limes (met Duitsland).</w:t>
      </w:r>
    </w:p>
  </w:footnote>
  <w:footnote w:id="13">
    <w:p w14:paraId="650B671B" w14:textId="5580E347" w:rsidR="00C02B07" w:rsidRDefault="00C02B07" w:rsidP="002C1C4D">
      <w:pPr>
        <w:pStyle w:val="Voetnoottekst"/>
        <w:spacing w:line="240" w:lineRule="auto"/>
      </w:pPr>
      <w:r>
        <w:rPr>
          <w:rStyle w:val="Voetnootmarkering"/>
        </w:rPr>
        <w:footnoteRef/>
      </w:r>
      <w:r>
        <w:t xml:space="preserve"> </w:t>
      </w:r>
      <w:r w:rsidR="00295FE9">
        <w:t>Kamerstuk II 2024/25, 32156, nr. 140.</w:t>
      </w:r>
    </w:p>
  </w:footnote>
  <w:footnote w:id="14">
    <w:p w14:paraId="20F6FAB2" w14:textId="77777777" w:rsidR="002C1C4D" w:rsidRPr="002C1C4D" w:rsidRDefault="002C1C4D" w:rsidP="002C1C4D">
      <w:pPr>
        <w:pStyle w:val="Voetnoottekst"/>
        <w:spacing w:line="240" w:lineRule="auto"/>
        <w:rPr>
          <w:szCs w:val="13"/>
        </w:rPr>
      </w:pPr>
      <w:r w:rsidRPr="002C1C4D">
        <w:rPr>
          <w:rStyle w:val="Voetnootmarkering"/>
          <w:szCs w:val="13"/>
        </w:rPr>
        <w:footnoteRef/>
      </w:r>
      <w:r w:rsidRPr="002C1C4D">
        <w:rPr>
          <w:szCs w:val="13"/>
        </w:rPr>
        <w:t xml:space="preserve"> Fonds voor restauratie niet-woonhuisrijksmonumenten</w:t>
      </w:r>
    </w:p>
  </w:footnote>
  <w:footnote w:id="15">
    <w:p w14:paraId="3DFC3271" w14:textId="77777777" w:rsidR="002C1C4D" w:rsidRPr="002C1C4D" w:rsidRDefault="002C1C4D" w:rsidP="002C1C4D">
      <w:pPr>
        <w:pStyle w:val="Voetnoottekst"/>
        <w:spacing w:line="240" w:lineRule="auto"/>
        <w:rPr>
          <w:szCs w:val="13"/>
        </w:rPr>
      </w:pPr>
      <w:r w:rsidRPr="002C1C4D">
        <w:rPr>
          <w:rStyle w:val="Voetnootmarkering"/>
          <w:szCs w:val="13"/>
        </w:rPr>
        <w:footnoteRef/>
      </w:r>
      <w:r w:rsidRPr="002C1C4D">
        <w:rPr>
          <w:szCs w:val="13"/>
        </w:rPr>
        <w:t xml:space="preserve"> Fonds voor verduurzaming niet-woonhuisrijksmonumenten</w:t>
      </w:r>
    </w:p>
  </w:footnote>
  <w:footnote w:id="16">
    <w:p w14:paraId="0F27E03C" w14:textId="77777777" w:rsidR="002C1C4D" w:rsidRDefault="002C1C4D" w:rsidP="002C1C4D">
      <w:pPr>
        <w:pStyle w:val="Voetnoottekst"/>
        <w:spacing w:line="240" w:lineRule="auto"/>
      </w:pPr>
      <w:r w:rsidRPr="002C1C4D">
        <w:rPr>
          <w:rStyle w:val="Voetnootmarkering"/>
          <w:szCs w:val="13"/>
        </w:rPr>
        <w:footnoteRef/>
      </w:r>
      <w:r w:rsidRPr="002C1C4D">
        <w:rPr>
          <w:szCs w:val="13"/>
        </w:rPr>
        <w:t xml:space="preserve"> Fonds voor verduurzaming woonhuisrijksmonumenten</w:t>
      </w:r>
    </w:p>
  </w:footnote>
  <w:footnote w:id="17">
    <w:p w14:paraId="739B1CD6" w14:textId="6F657A5E" w:rsidR="004C0D3D" w:rsidRDefault="004C0D3D" w:rsidP="00A71CC6">
      <w:pPr>
        <w:pStyle w:val="Voetnoottekst"/>
        <w:spacing w:line="240" w:lineRule="auto"/>
      </w:pPr>
      <w:r>
        <w:rPr>
          <w:rStyle w:val="Voetnootmarkering"/>
        </w:rPr>
        <w:footnoteRef/>
      </w:r>
      <w:r>
        <w:t xml:space="preserve"> </w:t>
      </w:r>
      <w:r w:rsidR="001771CF">
        <w:t>Kamerstuk II 2024/25, 32156, nr. 140</w:t>
      </w:r>
      <w:r>
        <w:t xml:space="preserve">. </w:t>
      </w:r>
    </w:p>
  </w:footnote>
  <w:footnote w:id="18">
    <w:p w14:paraId="535AB467" w14:textId="396FCEB3" w:rsidR="002E5AAE" w:rsidRDefault="002E5AAE" w:rsidP="00A71CC6">
      <w:pPr>
        <w:pStyle w:val="Voetnoottekst"/>
        <w:spacing w:line="240" w:lineRule="auto"/>
      </w:pPr>
      <w:r w:rsidRPr="00533994">
        <w:rPr>
          <w:rStyle w:val="Voetnootmarkering"/>
        </w:rPr>
        <w:footnoteRef/>
      </w:r>
      <w:r w:rsidRPr="00533994">
        <w:t xml:space="preserve"> </w:t>
      </w:r>
      <w:hyperlink r:id="rId2" w:history="1">
        <w:r w:rsidR="00533994" w:rsidRPr="00533994">
          <w:rPr>
            <w:rStyle w:val="Hyperlink"/>
          </w:rPr>
          <w:t>https://open.overheid.nl/documenten/92b68715-89c4-41a7-9053-4d7c2f4e91f9/file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6107AE" w14:paraId="5A5BAB11" w14:textId="77777777" w:rsidTr="006D2D53">
      <w:trPr>
        <w:trHeight w:hRule="exact" w:val="400"/>
      </w:trPr>
      <w:tc>
        <w:tcPr>
          <w:tcW w:w="7518" w:type="dxa"/>
        </w:tcPr>
        <w:p w14:paraId="18FDC42D" w14:textId="77777777" w:rsidR="00527BD4" w:rsidRPr="00275984" w:rsidRDefault="00527BD4" w:rsidP="00BF4427">
          <w:pPr>
            <w:pStyle w:val="Huisstijl-Rubricering"/>
          </w:pPr>
        </w:p>
      </w:tc>
    </w:tr>
  </w:tbl>
  <w:p w14:paraId="09BE984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107AE" w14:paraId="2B4B3EEB" w14:textId="77777777" w:rsidTr="003B528D">
      <w:tc>
        <w:tcPr>
          <w:tcW w:w="2160" w:type="dxa"/>
        </w:tcPr>
        <w:p w14:paraId="6FE47AE3" w14:textId="77777777" w:rsidR="002F71BB" w:rsidRPr="000407BB" w:rsidRDefault="008A1490" w:rsidP="005D283A">
          <w:pPr>
            <w:pStyle w:val="Colofonkop"/>
            <w:framePr w:hSpace="0" w:wrap="auto" w:vAnchor="margin" w:hAnchor="text" w:xAlign="left" w:yAlign="inline"/>
          </w:pPr>
          <w:r>
            <w:t>Onze referentie</w:t>
          </w:r>
        </w:p>
      </w:tc>
    </w:tr>
    <w:tr w:rsidR="006107AE" w14:paraId="66617889" w14:textId="77777777" w:rsidTr="002F71BB">
      <w:trPr>
        <w:trHeight w:val="259"/>
      </w:trPr>
      <w:tc>
        <w:tcPr>
          <w:tcW w:w="2160" w:type="dxa"/>
        </w:tcPr>
        <w:p w14:paraId="00B978F1" w14:textId="6BCDD841" w:rsidR="00E35CF4" w:rsidRPr="005D283A" w:rsidRDefault="008A1490" w:rsidP="0049501A">
          <w:pPr>
            <w:spacing w:line="180" w:lineRule="exact"/>
            <w:rPr>
              <w:sz w:val="13"/>
              <w:szCs w:val="13"/>
            </w:rPr>
          </w:pPr>
          <w:r>
            <w:rPr>
              <w:sz w:val="13"/>
              <w:szCs w:val="13"/>
            </w:rPr>
            <w:t>63</w:t>
          </w:r>
          <w:r w:rsidR="00A61A12">
            <w:rPr>
              <w:sz w:val="13"/>
              <w:szCs w:val="13"/>
            </w:rPr>
            <w:t>955359</w:t>
          </w:r>
        </w:p>
      </w:tc>
    </w:tr>
  </w:tbl>
  <w:p w14:paraId="445A087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107AE" w14:paraId="6F0E8DA7" w14:textId="77777777" w:rsidTr="001377D4">
      <w:trPr>
        <w:trHeight w:val="2636"/>
      </w:trPr>
      <w:tc>
        <w:tcPr>
          <w:tcW w:w="737" w:type="dxa"/>
        </w:tcPr>
        <w:p w14:paraId="5A506B83" w14:textId="77777777" w:rsidR="00704845" w:rsidRDefault="00704845" w:rsidP="0047126E">
          <w:pPr>
            <w:framePr w:w="6339" w:h="2750" w:hRule="exact" w:hSpace="181" w:wrap="around" w:vAnchor="page" w:hAnchor="page" w:x="5586" w:y="1"/>
            <w:spacing w:line="240" w:lineRule="auto"/>
          </w:pPr>
        </w:p>
      </w:tc>
      <w:tc>
        <w:tcPr>
          <w:tcW w:w="5156" w:type="dxa"/>
        </w:tcPr>
        <w:p w14:paraId="5A396BF6" w14:textId="77777777" w:rsidR="00704845" w:rsidRDefault="008A1490" w:rsidP="0047126E">
          <w:pPr>
            <w:framePr w:w="3873" w:h="2625" w:hRule="exact" w:wrap="around" w:vAnchor="page" w:hAnchor="page" w:x="6323" w:y="1"/>
          </w:pPr>
          <w:r>
            <w:rPr>
              <w:noProof/>
              <w:lang w:val="en-US" w:eastAsia="en-US"/>
            </w:rPr>
            <w:drawing>
              <wp:inline distT="0" distB="0" distL="0" distR="0" wp14:anchorId="0C332C7F" wp14:editId="223EC84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7EFA15E" w14:textId="77777777" w:rsidR="00483ECA" w:rsidRDefault="00483ECA" w:rsidP="00D037A9"/>
      </w:tc>
    </w:tr>
  </w:tbl>
  <w:p w14:paraId="1C5D3F33"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107AE" w14:paraId="15205CB1" w14:textId="77777777" w:rsidTr="0008539E">
      <w:trPr>
        <w:trHeight w:hRule="exact" w:val="572"/>
      </w:trPr>
      <w:tc>
        <w:tcPr>
          <w:tcW w:w="7520" w:type="dxa"/>
        </w:tcPr>
        <w:p w14:paraId="404E40FF" w14:textId="77777777" w:rsidR="00527BD4" w:rsidRPr="00963440" w:rsidRDefault="008A1490" w:rsidP="00210BA3">
          <w:pPr>
            <w:pStyle w:val="Huisstijl-Adres"/>
            <w:spacing w:after="0"/>
          </w:pPr>
          <w:r w:rsidRPr="009E3B07">
            <w:t>&gt;Retouradres </w:t>
          </w:r>
          <w:r>
            <w:t>Postbus 16375 2500 BJ Den Haag</w:t>
          </w:r>
          <w:r w:rsidRPr="009E3B07">
            <w:t xml:space="preserve"> </w:t>
          </w:r>
        </w:p>
      </w:tc>
    </w:tr>
    <w:tr w:rsidR="006107AE" w14:paraId="6B793AD7" w14:textId="77777777" w:rsidTr="00E776C6">
      <w:trPr>
        <w:cantSplit/>
        <w:trHeight w:hRule="exact" w:val="238"/>
      </w:trPr>
      <w:tc>
        <w:tcPr>
          <w:tcW w:w="7520" w:type="dxa"/>
        </w:tcPr>
        <w:p w14:paraId="1590B4EA" w14:textId="77777777" w:rsidR="00093ABC" w:rsidRPr="00963440" w:rsidRDefault="00093ABC" w:rsidP="00963440"/>
      </w:tc>
    </w:tr>
    <w:tr w:rsidR="006107AE" w14:paraId="54C03985" w14:textId="77777777" w:rsidTr="00E776C6">
      <w:trPr>
        <w:cantSplit/>
        <w:trHeight w:hRule="exact" w:val="1520"/>
      </w:trPr>
      <w:tc>
        <w:tcPr>
          <w:tcW w:w="7520" w:type="dxa"/>
        </w:tcPr>
        <w:p w14:paraId="24D32F09" w14:textId="77777777" w:rsidR="00A604D3" w:rsidRPr="00963440" w:rsidRDefault="00A604D3" w:rsidP="00963440"/>
      </w:tc>
    </w:tr>
    <w:tr w:rsidR="006107AE" w14:paraId="513CC73A" w14:textId="77777777" w:rsidTr="00E776C6">
      <w:trPr>
        <w:trHeight w:hRule="exact" w:val="1077"/>
      </w:trPr>
      <w:tc>
        <w:tcPr>
          <w:tcW w:w="7520" w:type="dxa"/>
        </w:tcPr>
        <w:p w14:paraId="6D6B8791" w14:textId="77777777" w:rsidR="00892BA5" w:rsidRPr="00035E67" w:rsidRDefault="00892BA5" w:rsidP="00892BA5">
          <w:pPr>
            <w:tabs>
              <w:tab w:val="left" w:pos="740"/>
            </w:tabs>
            <w:autoSpaceDE w:val="0"/>
            <w:autoSpaceDN w:val="0"/>
            <w:adjustRightInd w:val="0"/>
            <w:rPr>
              <w:rFonts w:cs="Verdana"/>
              <w:szCs w:val="18"/>
            </w:rPr>
          </w:pPr>
        </w:p>
      </w:tc>
    </w:tr>
  </w:tbl>
  <w:p w14:paraId="23B3D829" w14:textId="77777777" w:rsidR="006F273B" w:rsidRDefault="006F273B" w:rsidP="00BC4AE3">
    <w:pPr>
      <w:pStyle w:val="Koptekst"/>
    </w:pPr>
  </w:p>
  <w:p w14:paraId="45785970" w14:textId="77777777" w:rsidR="00153BD0" w:rsidRDefault="00153BD0" w:rsidP="00BC4AE3">
    <w:pPr>
      <w:pStyle w:val="Koptekst"/>
    </w:pPr>
  </w:p>
  <w:p w14:paraId="350BEE89" w14:textId="77777777" w:rsidR="0044605E" w:rsidRDefault="0044605E" w:rsidP="00BC4AE3">
    <w:pPr>
      <w:pStyle w:val="Koptekst"/>
    </w:pPr>
  </w:p>
  <w:p w14:paraId="25CAD73C" w14:textId="77777777" w:rsidR="0044605E" w:rsidRDefault="0044605E" w:rsidP="00BC4AE3">
    <w:pPr>
      <w:pStyle w:val="Koptekst"/>
    </w:pPr>
  </w:p>
  <w:p w14:paraId="71AFEDFD"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3965F06">
      <w:start w:val="1"/>
      <w:numFmt w:val="bullet"/>
      <w:pStyle w:val="Lijstopsomteken"/>
      <w:lvlText w:val="•"/>
      <w:lvlJc w:val="left"/>
      <w:pPr>
        <w:tabs>
          <w:tab w:val="num" w:pos="227"/>
        </w:tabs>
        <w:ind w:left="227" w:hanging="227"/>
      </w:pPr>
      <w:rPr>
        <w:rFonts w:ascii="Verdana" w:hAnsi="Verdana" w:hint="default"/>
        <w:sz w:val="18"/>
        <w:szCs w:val="18"/>
      </w:rPr>
    </w:lvl>
    <w:lvl w:ilvl="1" w:tplc="085E67CA" w:tentative="1">
      <w:start w:val="1"/>
      <w:numFmt w:val="bullet"/>
      <w:lvlText w:val="o"/>
      <w:lvlJc w:val="left"/>
      <w:pPr>
        <w:tabs>
          <w:tab w:val="num" w:pos="1440"/>
        </w:tabs>
        <w:ind w:left="1440" w:hanging="360"/>
      </w:pPr>
      <w:rPr>
        <w:rFonts w:ascii="Courier New" w:hAnsi="Courier New" w:cs="Courier New" w:hint="default"/>
      </w:rPr>
    </w:lvl>
    <w:lvl w:ilvl="2" w:tplc="3A22AA7A" w:tentative="1">
      <w:start w:val="1"/>
      <w:numFmt w:val="bullet"/>
      <w:lvlText w:val=""/>
      <w:lvlJc w:val="left"/>
      <w:pPr>
        <w:tabs>
          <w:tab w:val="num" w:pos="2160"/>
        </w:tabs>
        <w:ind w:left="2160" w:hanging="360"/>
      </w:pPr>
      <w:rPr>
        <w:rFonts w:ascii="Wingdings" w:hAnsi="Wingdings" w:hint="default"/>
      </w:rPr>
    </w:lvl>
    <w:lvl w:ilvl="3" w:tplc="B0DC9CD2" w:tentative="1">
      <w:start w:val="1"/>
      <w:numFmt w:val="bullet"/>
      <w:lvlText w:val=""/>
      <w:lvlJc w:val="left"/>
      <w:pPr>
        <w:tabs>
          <w:tab w:val="num" w:pos="2880"/>
        </w:tabs>
        <w:ind w:left="2880" w:hanging="360"/>
      </w:pPr>
      <w:rPr>
        <w:rFonts w:ascii="Symbol" w:hAnsi="Symbol" w:hint="default"/>
      </w:rPr>
    </w:lvl>
    <w:lvl w:ilvl="4" w:tplc="92D6C9D4" w:tentative="1">
      <w:start w:val="1"/>
      <w:numFmt w:val="bullet"/>
      <w:lvlText w:val="o"/>
      <w:lvlJc w:val="left"/>
      <w:pPr>
        <w:tabs>
          <w:tab w:val="num" w:pos="3600"/>
        </w:tabs>
        <w:ind w:left="3600" w:hanging="360"/>
      </w:pPr>
      <w:rPr>
        <w:rFonts w:ascii="Courier New" w:hAnsi="Courier New" w:cs="Courier New" w:hint="default"/>
      </w:rPr>
    </w:lvl>
    <w:lvl w:ilvl="5" w:tplc="412246AE" w:tentative="1">
      <w:start w:val="1"/>
      <w:numFmt w:val="bullet"/>
      <w:lvlText w:val=""/>
      <w:lvlJc w:val="left"/>
      <w:pPr>
        <w:tabs>
          <w:tab w:val="num" w:pos="4320"/>
        </w:tabs>
        <w:ind w:left="4320" w:hanging="360"/>
      </w:pPr>
      <w:rPr>
        <w:rFonts w:ascii="Wingdings" w:hAnsi="Wingdings" w:hint="default"/>
      </w:rPr>
    </w:lvl>
    <w:lvl w:ilvl="6" w:tplc="F6CC8EBA" w:tentative="1">
      <w:start w:val="1"/>
      <w:numFmt w:val="bullet"/>
      <w:lvlText w:val=""/>
      <w:lvlJc w:val="left"/>
      <w:pPr>
        <w:tabs>
          <w:tab w:val="num" w:pos="5040"/>
        </w:tabs>
        <w:ind w:left="5040" w:hanging="360"/>
      </w:pPr>
      <w:rPr>
        <w:rFonts w:ascii="Symbol" w:hAnsi="Symbol" w:hint="default"/>
      </w:rPr>
    </w:lvl>
    <w:lvl w:ilvl="7" w:tplc="D7AEE18A" w:tentative="1">
      <w:start w:val="1"/>
      <w:numFmt w:val="bullet"/>
      <w:lvlText w:val="o"/>
      <w:lvlJc w:val="left"/>
      <w:pPr>
        <w:tabs>
          <w:tab w:val="num" w:pos="5760"/>
        </w:tabs>
        <w:ind w:left="5760" w:hanging="360"/>
      </w:pPr>
      <w:rPr>
        <w:rFonts w:ascii="Courier New" w:hAnsi="Courier New" w:cs="Courier New" w:hint="default"/>
      </w:rPr>
    </w:lvl>
    <w:lvl w:ilvl="8" w:tplc="2892D5F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AD6A65"/>
    <w:multiLevelType w:val="hybridMultilevel"/>
    <w:tmpl w:val="EA1273D8"/>
    <w:lvl w:ilvl="0" w:tplc="1AAC7B4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42D8DF14">
      <w:start w:val="1"/>
      <w:numFmt w:val="bullet"/>
      <w:pStyle w:val="Lijstopsomteken2"/>
      <w:lvlText w:val="–"/>
      <w:lvlJc w:val="left"/>
      <w:pPr>
        <w:tabs>
          <w:tab w:val="num" w:pos="227"/>
        </w:tabs>
        <w:ind w:left="227" w:firstLine="0"/>
      </w:pPr>
      <w:rPr>
        <w:rFonts w:ascii="Verdana" w:hAnsi="Verdana" w:hint="default"/>
      </w:rPr>
    </w:lvl>
    <w:lvl w:ilvl="1" w:tplc="7EB8DD74" w:tentative="1">
      <w:start w:val="1"/>
      <w:numFmt w:val="bullet"/>
      <w:lvlText w:val="o"/>
      <w:lvlJc w:val="left"/>
      <w:pPr>
        <w:tabs>
          <w:tab w:val="num" w:pos="1440"/>
        </w:tabs>
        <w:ind w:left="1440" w:hanging="360"/>
      </w:pPr>
      <w:rPr>
        <w:rFonts w:ascii="Courier New" w:hAnsi="Courier New" w:cs="Courier New" w:hint="default"/>
      </w:rPr>
    </w:lvl>
    <w:lvl w:ilvl="2" w:tplc="6832CCD0" w:tentative="1">
      <w:start w:val="1"/>
      <w:numFmt w:val="bullet"/>
      <w:lvlText w:val=""/>
      <w:lvlJc w:val="left"/>
      <w:pPr>
        <w:tabs>
          <w:tab w:val="num" w:pos="2160"/>
        </w:tabs>
        <w:ind w:left="2160" w:hanging="360"/>
      </w:pPr>
      <w:rPr>
        <w:rFonts w:ascii="Wingdings" w:hAnsi="Wingdings" w:hint="default"/>
      </w:rPr>
    </w:lvl>
    <w:lvl w:ilvl="3" w:tplc="F72025BC" w:tentative="1">
      <w:start w:val="1"/>
      <w:numFmt w:val="bullet"/>
      <w:lvlText w:val=""/>
      <w:lvlJc w:val="left"/>
      <w:pPr>
        <w:tabs>
          <w:tab w:val="num" w:pos="2880"/>
        </w:tabs>
        <w:ind w:left="2880" w:hanging="360"/>
      </w:pPr>
      <w:rPr>
        <w:rFonts w:ascii="Symbol" w:hAnsi="Symbol" w:hint="default"/>
      </w:rPr>
    </w:lvl>
    <w:lvl w:ilvl="4" w:tplc="EC70169A" w:tentative="1">
      <w:start w:val="1"/>
      <w:numFmt w:val="bullet"/>
      <w:lvlText w:val="o"/>
      <w:lvlJc w:val="left"/>
      <w:pPr>
        <w:tabs>
          <w:tab w:val="num" w:pos="3600"/>
        </w:tabs>
        <w:ind w:left="3600" w:hanging="360"/>
      </w:pPr>
      <w:rPr>
        <w:rFonts w:ascii="Courier New" w:hAnsi="Courier New" w:cs="Courier New" w:hint="default"/>
      </w:rPr>
    </w:lvl>
    <w:lvl w:ilvl="5" w:tplc="6D0E48B8" w:tentative="1">
      <w:start w:val="1"/>
      <w:numFmt w:val="bullet"/>
      <w:lvlText w:val=""/>
      <w:lvlJc w:val="left"/>
      <w:pPr>
        <w:tabs>
          <w:tab w:val="num" w:pos="4320"/>
        </w:tabs>
        <w:ind w:left="4320" w:hanging="360"/>
      </w:pPr>
      <w:rPr>
        <w:rFonts w:ascii="Wingdings" w:hAnsi="Wingdings" w:hint="default"/>
      </w:rPr>
    </w:lvl>
    <w:lvl w:ilvl="6" w:tplc="361AF5B0" w:tentative="1">
      <w:start w:val="1"/>
      <w:numFmt w:val="bullet"/>
      <w:lvlText w:val=""/>
      <w:lvlJc w:val="left"/>
      <w:pPr>
        <w:tabs>
          <w:tab w:val="num" w:pos="5040"/>
        </w:tabs>
        <w:ind w:left="5040" w:hanging="360"/>
      </w:pPr>
      <w:rPr>
        <w:rFonts w:ascii="Symbol" w:hAnsi="Symbol" w:hint="default"/>
      </w:rPr>
    </w:lvl>
    <w:lvl w:ilvl="7" w:tplc="E3B4F722" w:tentative="1">
      <w:start w:val="1"/>
      <w:numFmt w:val="bullet"/>
      <w:lvlText w:val="o"/>
      <w:lvlJc w:val="left"/>
      <w:pPr>
        <w:tabs>
          <w:tab w:val="num" w:pos="5760"/>
        </w:tabs>
        <w:ind w:left="5760" w:hanging="360"/>
      </w:pPr>
      <w:rPr>
        <w:rFonts w:ascii="Courier New" w:hAnsi="Courier New" w:cs="Courier New" w:hint="default"/>
      </w:rPr>
    </w:lvl>
    <w:lvl w:ilvl="8" w:tplc="84BC85A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1545DA"/>
    <w:multiLevelType w:val="hybridMultilevel"/>
    <w:tmpl w:val="5FB62756"/>
    <w:lvl w:ilvl="0" w:tplc="C60690E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EB06DED"/>
    <w:multiLevelType w:val="hybridMultilevel"/>
    <w:tmpl w:val="DFDC9520"/>
    <w:lvl w:ilvl="0" w:tplc="0413000F">
      <w:start w:val="1"/>
      <w:numFmt w:val="decimal"/>
      <w:lvlText w:val="%1."/>
      <w:lvlJc w:val="left"/>
      <w:pPr>
        <w:ind w:left="784" w:hanging="360"/>
      </w:pPr>
    </w:lvl>
    <w:lvl w:ilvl="1" w:tplc="04130019" w:tentative="1">
      <w:start w:val="1"/>
      <w:numFmt w:val="lowerLetter"/>
      <w:lvlText w:val="%2."/>
      <w:lvlJc w:val="left"/>
      <w:pPr>
        <w:ind w:left="1504" w:hanging="360"/>
      </w:pPr>
    </w:lvl>
    <w:lvl w:ilvl="2" w:tplc="0413001B" w:tentative="1">
      <w:start w:val="1"/>
      <w:numFmt w:val="lowerRoman"/>
      <w:lvlText w:val="%3."/>
      <w:lvlJc w:val="right"/>
      <w:pPr>
        <w:ind w:left="2224" w:hanging="180"/>
      </w:pPr>
    </w:lvl>
    <w:lvl w:ilvl="3" w:tplc="0413000F" w:tentative="1">
      <w:start w:val="1"/>
      <w:numFmt w:val="decimal"/>
      <w:lvlText w:val="%4."/>
      <w:lvlJc w:val="left"/>
      <w:pPr>
        <w:ind w:left="2944" w:hanging="360"/>
      </w:pPr>
    </w:lvl>
    <w:lvl w:ilvl="4" w:tplc="04130019" w:tentative="1">
      <w:start w:val="1"/>
      <w:numFmt w:val="lowerLetter"/>
      <w:lvlText w:val="%5."/>
      <w:lvlJc w:val="left"/>
      <w:pPr>
        <w:ind w:left="3664" w:hanging="360"/>
      </w:pPr>
    </w:lvl>
    <w:lvl w:ilvl="5" w:tplc="0413001B" w:tentative="1">
      <w:start w:val="1"/>
      <w:numFmt w:val="lowerRoman"/>
      <w:lvlText w:val="%6."/>
      <w:lvlJc w:val="right"/>
      <w:pPr>
        <w:ind w:left="4384" w:hanging="180"/>
      </w:pPr>
    </w:lvl>
    <w:lvl w:ilvl="6" w:tplc="0413000F" w:tentative="1">
      <w:start w:val="1"/>
      <w:numFmt w:val="decimal"/>
      <w:lvlText w:val="%7."/>
      <w:lvlJc w:val="left"/>
      <w:pPr>
        <w:ind w:left="5104" w:hanging="360"/>
      </w:pPr>
    </w:lvl>
    <w:lvl w:ilvl="7" w:tplc="04130019" w:tentative="1">
      <w:start w:val="1"/>
      <w:numFmt w:val="lowerLetter"/>
      <w:lvlText w:val="%8."/>
      <w:lvlJc w:val="left"/>
      <w:pPr>
        <w:ind w:left="5824" w:hanging="360"/>
      </w:pPr>
    </w:lvl>
    <w:lvl w:ilvl="8" w:tplc="0413001B" w:tentative="1">
      <w:start w:val="1"/>
      <w:numFmt w:val="lowerRoman"/>
      <w:lvlText w:val="%9."/>
      <w:lvlJc w:val="right"/>
      <w:pPr>
        <w:ind w:left="6544" w:hanging="180"/>
      </w:pPr>
    </w:lvl>
  </w:abstractNum>
  <w:abstractNum w:abstractNumId="16" w15:restartNumberingAfterBreak="0">
    <w:nsid w:val="506451E0"/>
    <w:multiLevelType w:val="multilevel"/>
    <w:tmpl w:val="8C7ACD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BB2F9D"/>
    <w:multiLevelType w:val="hybridMultilevel"/>
    <w:tmpl w:val="751665F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7B49025E"/>
    <w:multiLevelType w:val="hybridMultilevel"/>
    <w:tmpl w:val="27648072"/>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71520851">
    <w:abstractNumId w:val="10"/>
  </w:num>
  <w:num w:numId="2" w16cid:durableId="817192654">
    <w:abstractNumId w:val="7"/>
  </w:num>
  <w:num w:numId="3" w16cid:durableId="1556702992">
    <w:abstractNumId w:val="6"/>
  </w:num>
  <w:num w:numId="4" w16cid:durableId="732389094">
    <w:abstractNumId w:val="5"/>
  </w:num>
  <w:num w:numId="5" w16cid:durableId="503514655">
    <w:abstractNumId w:val="4"/>
  </w:num>
  <w:num w:numId="6" w16cid:durableId="329407796">
    <w:abstractNumId w:val="8"/>
  </w:num>
  <w:num w:numId="7" w16cid:durableId="532115074">
    <w:abstractNumId w:val="3"/>
  </w:num>
  <w:num w:numId="8" w16cid:durableId="2063283018">
    <w:abstractNumId w:val="2"/>
  </w:num>
  <w:num w:numId="9" w16cid:durableId="1293755810">
    <w:abstractNumId w:val="1"/>
  </w:num>
  <w:num w:numId="10" w16cid:durableId="1865363710">
    <w:abstractNumId w:val="0"/>
  </w:num>
  <w:num w:numId="11" w16cid:durableId="880358512">
    <w:abstractNumId w:val="9"/>
  </w:num>
  <w:num w:numId="12" w16cid:durableId="1718624525">
    <w:abstractNumId w:val="12"/>
  </w:num>
  <w:num w:numId="13" w16cid:durableId="1406297061">
    <w:abstractNumId w:val="17"/>
  </w:num>
  <w:num w:numId="14" w16cid:durableId="566649855">
    <w:abstractNumId w:val="13"/>
  </w:num>
  <w:num w:numId="15" w16cid:durableId="40983536">
    <w:abstractNumId w:val="14"/>
  </w:num>
  <w:num w:numId="16" w16cid:durableId="1783114742">
    <w:abstractNumId w:val="16"/>
  </w:num>
  <w:num w:numId="17" w16cid:durableId="1524396592">
    <w:abstractNumId w:val="19"/>
  </w:num>
  <w:num w:numId="18" w16cid:durableId="97798480">
    <w:abstractNumId w:val="15"/>
  </w:num>
  <w:num w:numId="19" w16cid:durableId="17210532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495714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2CFA"/>
    <w:rsid w:val="00013862"/>
    <w:rsid w:val="00014599"/>
    <w:rsid w:val="00016012"/>
    <w:rsid w:val="00020189"/>
    <w:rsid w:val="00020EE4"/>
    <w:rsid w:val="00020FCB"/>
    <w:rsid w:val="000217E8"/>
    <w:rsid w:val="000225AF"/>
    <w:rsid w:val="00023E9A"/>
    <w:rsid w:val="00025A42"/>
    <w:rsid w:val="00033CDD"/>
    <w:rsid w:val="00034A84"/>
    <w:rsid w:val="00034D28"/>
    <w:rsid w:val="00035E67"/>
    <w:rsid w:val="000366F3"/>
    <w:rsid w:val="000407BB"/>
    <w:rsid w:val="00041A66"/>
    <w:rsid w:val="0005404B"/>
    <w:rsid w:val="0005447D"/>
    <w:rsid w:val="000546DE"/>
    <w:rsid w:val="0006024D"/>
    <w:rsid w:val="00060E1B"/>
    <w:rsid w:val="00062055"/>
    <w:rsid w:val="00065462"/>
    <w:rsid w:val="000678CA"/>
    <w:rsid w:val="00071F28"/>
    <w:rsid w:val="00074079"/>
    <w:rsid w:val="000765B6"/>
    <w:rsid w:val="0008289C"/>
    <w:rsid w:val="00082C1D"/>
    <w:rsid w:val="0008539E"/>
    <w:rsid w:val="00092799"/>
    <w:rsid w:val="00092A99"/>
    <w:rsid w:val="00092C5F"/>
    <w:rsid w:val="00093ABC"/>
    <w:rsid w:val="00096680"/>
    <w:rsid w:val="00096E03"/>
    <w:rsid w:val="00097ACA"/>
    <w:rsid w:val="000A0F36"/>
    <w:rsid w:val="000A11CC"/>
    <w:rsid w:val="000A174A"/>
    <w:rsid w:val="000A3E0A"/>
    <w:rsid w:val="000A65AC"/>
    <w:rsid w:val="000B48EB"/>
    <w:rsid w:val="000B630B"/>
    <w:rsid w:val="000B7281"/>
    <w:rsid w:val="000B7FAB"/>
    <w:rsid w:val="000C1BA1"/>
    <w:rsid w:val="000C3EA9"/>
    <w:rsid w:val="000C4A32"/>
    <w:rsid w:val="000C65BB"/>
    <w:rsid w:val="000C7119"/>
    <w:rsid w:val="000D0225"/>
    <w:rsid w:val="000D249E"/>
    <w:rsid w:val="000D6399"/>
    <w:rsid w:val="000D747B"/>
    <w:rsid w:val="000E5886"/>
    <w:rsid w:val="000E6621"/>
    <w:rsid w:val="000E7895"/>
    <w:rsid w:val="000F161D"/>
    <w:rsid w:val="000F1B4E"/>
    <w:rsid w:val="000F1FFF"/>
    <w:rsid w:val="00100203"/>
    <w:rsid w:val="00104B4D"/>
    <w:rsid w:val="00105677"/>
    <w:rsid w:val="00106F7C"/>
    <w:rsid w:val="001172B0"/>
    <w:rsid w:val="001177B4"/>
    <w:rsid w:val="00122CF9"/>
    <w:rsid w:val="00123704"/>
    <w:rsid w:val="00124762"/>
    <w:rsid w:val="00125690"/>
    <w:rsid w:val="001270C7"/>
    <w:rsid w:val="00127580"/>
    <w:rsid w:val="00132540"/>
    <w:rsid w:val="001350A9"/>
    <w:rsid w:val="001377D4"/>
    <w:rsid w:val="00142034"/>
    <w:rsid w:val="00142E41"/>
    <w:rsid w:val="0014786A"/>
    <w:rsid w:val="001516A4"/>
    <w:rsid w:val="00151E5F"/>
    <w:rsid w:val="00153BD0"/>
    <w:rsid w:val="001569AB"/>
    <w:rsid w:val="001571CB"/>
    <w:rsid w:val="00161495"/>
    <w:rsid w:val="00163939"/>
    <w:rsid w:val="00164D63"/>
    <w:rsid w:val="0016725C"/>
    <w:rsid w:val="00167DE5"/>
    <w:rsid w:val="0017008F"/>
    <w:rsid w:val="001726F3"/>
    <w:rsid w:val="00173C51"/>
    <w:rsid w:val="00173E3F"/>
    <w:rsid w:val="001740B9"/>
    <w:rsid w:val="00174CC2"/>
    <w:rsid w:val="00176CC6"/>
    <w:rsid w:val="001771CF"/>
    <w:rsid w:val="00177B41"/>
    <w:rsid w:val="0018193C"/>
    <w:rsid w:val="00181BE4"/>
    <w:rsid w:val="00183333"/>
    <w:rsid w:val="0018496F"/>
    <w:rsid w:val="00185576"/>
    <w:rsid w:val="00185951"/>
    <w:rsid w:val="00194A00"/>
    <w:rsid w:val="00196B8B"/>
    <w:rsid w:val="00197439"/>
    <w:rsid w:val="001A0BFA"/>
    <w:rsid w:val="001A1608"/>
    <w:rsid w:val="001A2BEA"/>
    <w:rsid w:val="001A325F"/>
    <w:rsid w:val="001A6D93"/>
    <w:rsid w:val="001B2BBA"/>
    <w:rsid w:val="001B2C4B"/>
    <w:rsid w:val="001B35FA"/>
    <w:rsid w:val="001C006F"/>
    <w:rsid w:val="001C2C36"/>
    <w:rsid w:val="001C32EC"/>
    <w:rsid w:val="001C38BD"/>
    <w:rsid w:val="001C4D5A"/>
    <w:rsid w:val="001C7AD0"/>
    <w:rsid w:val="001E0256"/>
    <w:rsid w:val="001E34C6"/>
    <w:rsid w:val="001E5581"/>
    <w:rsid w:val="001F38AB"/>
    <w:rsid w:val="001F3C70"/>
    <w:rsid w:val="00200D88"/>
    <w:rsid w:val="00201C09"/>
    <w:rsid w:val="00201F68"/>
    <w:rsid w:val="00203545"/>
    <w:rsid w:val="00204036"/>
    <w:rsid w:val="00210BA3"/>
    <w:rsid w:val="00212F2A"/>
    <w:rsid w:val="00214F2B"/>
    <w:rsid w:val="00215356"/>
    <w:rsid w:val="0021583E"/>
    <w:rsid w:val="00215D8B"/>
    <w:rsid w:val="00217880"/>
    <w:rsid w:val="00222D66"/>
    <w:rsid w:val="0022441A"/>
    <w:rsid w:val="00224A8A"/>
    <w:rsid w:val="00226047"/>
    <w:rsid w:val="00227E76"/>
    <w:rsid w:val="002309A8"/>
    <w:rsid w:val="00232AD9"/>
    <w:rsid w:val="00236CFE"/>
    <w:rsid w:val="002428E3"/>
    <w:rsid w:val="0024430A"/>
    <w:rsid w:val="00245FF7"/>
    <w:rsid w:val="00253B65"/>
    <w:rsid w:val="002546F5"/>
    <w:rsid w:val="0026060B"/>
    <w:rsid w:val="00260BAF"/>
    <w:rsid w:val="002610A6"/>
    <w:rsid w:val="00263FD6"/>
    <w:rsid w:val="002650F7"/>
    <w:rsid w:val="0026686B"/>
    <w:rsid w:val="00273F3B"/>
    <w:rsid w:val="00274DB7"/>
    <w:rsid w:val="00275984"/>
    <w:rsid w:val="00276199"/>
    <w:rsid w:val="002768F3"/>
    <w:rsid w:val="00276DA4"/>
    <w:rsid w:val="00280F74"/>
    <w:rsid w:val="00285D2F"/>
    <w:rsid w:val="00286998"/>
    <w:rsid w:val="00291AB7"/>
    <w:rsid w:val="0029422B"/>
    <w:rsid w:val="0029497E"/>
    <w:rsid w:val="00294DCB"/>
    <w:rsid w:val="00295FE9"/>
    <w:rsid w:val="002A06CE"/>
    <w:rsid w:val="002A37B5"/>
    <w:rsid w:val="002A6722"/>
    <w:rsid w:val="002B153C"/>
    <w:rsid w:val="002B4576"/>
    <w:rsid w:val="002B52FC"/>
    <w:rsid w:val="002B6F5E"/>
    <w:rsid w:val="002B79F2"/>
    <w:rsid w:val="002C1C4D"/>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587"/>
    <w:rsid w:val="002E2DA3"/>
    <w:rsid w:val="002E4CF2"/>
    <w:rsid w:val="002E5AAE"/>
    <w:rsid w:val="002E6FC0"/>
    <w:rsid w:val="002F258D"/>
    <w:rsid w:val="002F3F37"/>
    <w:rsid w:val="002F493B"/>
    <w:rsid w:val="002F4ED5"/>
    <w:rsid w:val="002F5147"/>
    <w:rsid w:val="002F5A0B"/>
    <w:rsid w:val="002F5DAB"/>
    <w:rsid w:val="002F63F0"/>
    <w:rsid w:val="002F71BB"/>
    <w:rsid w:val="002F7ABD"/>
    <w:rsid w:val="00307B3C"/>
    <w:rsid w:val="00310EF2"/>
    <w:rsid w:val="003115A6"/>
    <w:rsid w:val="00312597"/>
    <w:rsid w:val="00322836"/>
    <w:rsid w:val="00334154"/>
    <w:rsid w:val="003341D0"/>
    <w:rsid w:val="0033486A"/>
    <w:rsid w:val="003358E0"/>
    <w:rsid w:val="003372C4"/>
    <w:rsid w:val="00341FA0"/>
    <w:rsid w:val="00342374"/>
    <w:rsid w:val="00344F3D"/>
    <w:rsid w:val="00345299"/>
    <w:rsid w:val="00346C40"/>
    <w:rsid w:val="00351A8D"/>
    <w:rsid w:val="003526BB"/>
    <w:rsid w:val="00352BCF"/>
    <w:rsid w:val="00353932"/>
    <w:rsid w:val="0035464B"/>
    <w:rsid w:val="003567FA"/>
    <w:rsid w:val="00356D2B"/>
    <w:rsid w:val="00361A56"/>
    <w:rsid w:val="0036252A"/>
    <w:rsid w:val="00364D9D"/>
    <w:rsid w:val="00371048"/>
    <w:rsid w:val="0037396C"/>
    <w:rsid w:val="0037421D"/>
    <w:rsid w:val="00374412"/>
    <w:rsid w:val="00376093"/>
    <w:rsid w:val="0037715E"/>
    <w:rsid w:val="00381C64"/>
    <w:rsid w:val="00382D04"/>
    <w:rsid w:val="00383DA1"/>
    <w:rsid w:val="00385F30"/>
    <w:rsid w:val="00387600"/>
    <w:rsid w:val="0038798E"/>
    <w:rsid w:val="00393696"/>
    <w:rsid w:val="00393963"/>
    <w:rsid w:val="00393E9F"/>
    <w:rsid w:val="00395575"/>
    <w:rsid w:val="00395672"/>
    <w:rsid w:val="00395A95"/>
    <w:rsid w:val="003A06C8"/>
    <w:rsid w:val="003A0D7C"/>
    <w:rsid w:val="003A79D4"/>
    <w:rsid w:val="003B0155"/>
    <w:rsid w:val="003B09DB"/>
    <w:rsid w:val="003B2E51"/>
    <w:rsid w:val="003B4551"/>
    <w:rsid w:val="003B528D"/>
    <w:rsid w:val="003B7EE7"/>
    <w:rsid w:val="003C2CCB"/>
    <w:rsid w:val="003C4A1C"/>
    <w:rsid w:val="003C5BCB"/>
    <w:rsid w:val="003D264A"/>
    <w:rsid w:val="003D39EC"/>
    <w:rsid w:val="003D40EA"/>
    <w:rsid w:val="003E276F"/>
    <w:rsid w:val="003E3DD5"/>
    <w:rsid w:val="003F07C6"/>
    <w:rsid w:val="003F1F6B"/>
    <w:rsid w:val="003F3757"/>
    <w:rsid w:val="003F44B7"/>
    <w:rsid w:val="004008E9"/>
    <w:rsid w:val="00402FDA"/>
    <w:rsid w:val="00407991"/>
    <w:rsid w:val="00407EDF"/>
    <w:rsid w:val="0041019E"/>
    <w:rsid w:val="00413D48"/>
    <w:rsid w:val="00424A60"/>
    <w:rsid w:val="004311A9"/>
    <w:rsid w:val="00434042"/>
    <w:rsid w:val="00434500"/>
    <w:rsid w:val="00437472"/>
    <w:rsid w:val="00441AC2"/>
    <w:rsid w:val="0044249B"/>
    <w:rsid w:val="004425A7"/>
    <w:rsid w:val="00445910"/>
    <w:rsid w:val="0044605E"/>
    <w:rsid w:val="0045023C"/>
    <w:rsid w:val="00451A5B"/>
    <w:rsid w:val="00452BCD"/>
    <w:rsid w:val="00452CEA"/>
    <w:rsid w:val="00462DFA"/>
    <w:rsid w:val="0046393C"/>
    <w:rsid w:val="00463A63"/>
    <w:rsid w:val="00463FBD"/>
    <w:rsid w:val="00465B52"/>
    <w:rsid w:val="0046708E"/>
    <w:rsid w:val="00467D61"/>
    <w:rsid w:val="0047126E"/>
    <w:rsid w:val="004722BE"/>
    <w:rsid w:val="00472A65"/>
    <w:rsid w:val="00474463"/>
    <w:rsid w:val="00474B75"/>
    <w:rsid w:val="00483ECA"/>
    <w:rsid w:val="00483F0B"/>
    <w:rsid w:val="0049060C"/>
    <w:rsid w:val="0049501A"/>
    <w:rsid w:val="00496319"/>
    <w:rsid w:val="0049657E"/>
    <w:rsid w:val="00497279"/>
    <w:rsid w:val="004A010B"/>
    <w:rsid w:val="004A3186"/>
    <w:rsid w:val="004A419C"/>
    <w:rsid w:val="004A65A5"/>
    <w:rsid w:val="004A670A"/>
    <w:rsid w:val="004B5465"/>
    <w:rsid w:val="004B6487"/>
    <w:rsid w:val="004B70F0"/>
    <w:rsid w:val="004C0035"/>
    <w:rsid w:val="004C0D3D"/>
    <w:rsid w:val="004C0F45"/>
    <w:rsid w:val="004C1299"/>
    <w:rsid w:val="004C1331"/>
    <w:rsid w:val="004C4C9E"/>
    <w:rsid w:val="004C7E1D"/>
    <w:rsid w:val="004D065C"/>
    <w:rsid w:val="004D33FE"/>
    <w:rsid w:val="004D39A8"/>
    <w:rsid w:val="004D4703"/>
    <w:rsid w:val="004D505E"/>
    <w:rsid w:val="004D67E8"/>
    <w:rsid w:val="004D72CA"/>
    <w:rsid w:val="004E1A28"/>
    <w:rsid w:val="004E2242"/>
    <w:rsid w:val="004F0F6D"/>
    <w:rsid w:val="004F2483"/>
    <w:rsid w:val="004F42FF"/>
    <w:rsid w:val="004F44C2"/>
    <w:rsid w:val="00505262"/>
    <w:rsid w:val="005107B1"/>
    <w:rsid w:val="0051154D"/>
    <w:rsid w:val="00516022"/>
    <w:rsid w:val="005172E9"/>
    <w:rsid w:val="00521CEE"/>
    <w:rsid w:val="00524A49"/>
    <w:rsid w:val="00527A79"/>
    <w:rsid w:val="00527BD4"/>
    <w:rsid w:val="00533061"/>
    <w:rsid w:val="005332ED"/>
    <w:rsid w:val="00533994"/>
    <w:rsid w:val="00533FA1"/>
    <w:rsid w:val="00534C77"/>
    <w:rsid w:val="005357C1"/>
    <w:rsid w:val="005403C8"/>
    <w:rsid w:val="00541AD9"/>
    <w:rsid w:val="005429DC"/>
    <w:rsid w:val="00543799"/>
    <w:rsid w:val="00547A64"/>
    <w:rsid w:val="00551CA3"/>
    <w:rsid w:val="005565F9"/>
    <w:rsid w:val="00561FF7"/>
    <w:rsid w:val="005639D2"/>
    <w:rsid w:val="00565739"/>
    <w:rsid w:val="00573041"/>
    <w:rsid w:val="00573723"/>
    <w:rsid w:val="0057532E"/>
    <w:rsid w:val="00575B80"/>
    <w:rsid w:val="0057751C"/>
    <w:rsid w:val="00577559"/>
    <w:rsid w:val="005819CE"/>
    <w:rsid w:val="0058298D"/>
    <w:rsid w:val="00590595"/>
    <w:rsid w:val="00593C2B"/>
    <w:rsid w:val="00595231"/>
    <w:rsid w:val="00595CBB"/>
    <w:rsid w:val="00596166"/>
    <w:rsid w:val="00597F64"/>
    <w:rsid w:val="005A1AF5"/>
    <w:rsid w:val="005A1CAB"/>
    <w:rsid w:val="005A207F"/>
    <w:rsid w:val="005A2F35"/>
    <w:rsid w:val="005A7512"/>
    <w:rsid w:val="005B1F7F"/>
    <w:rsid w:val="005B2A9D"/>
    <w:rsid w:val="005B3441"/>
    <w:rsid w:val="005B463E"/>
    <w:rsid w:val="005B4754"/>
    <w:rsid w:val="005B4FAC"/>
    <w:rsid w:val="005B5D8B"/>
    <w:rsid w:val="005C34E1"/>
    <w:rsid w:val="005C3FE0"/>
    <w:rsid w:val="005C4C82"/>
    <w:rsid w:val="005C6329"/>
    <w:rsid w:val="005C740C"/>
    <w:rsid w:val="005D283A"/>
    <w:rsid w:val="005D5F81"/>
    <w:rsid w:val="005D625B"/>
    <w:rsid w:val="005E1936"/>
    <w:rsid w:val="005E3322"/>
    <w:rsid w:val="005E436C"/>
    <w:rsid w:val="005E637C"/>
    <w:rsid w:val="005E64E2"/>
    <w:rsid w:val="005F62D3"/>
    <w:rsid w:val="005F6D11"/>
    <w:rsid w:val="00600B9F"/>
    <w:rsid w:val="00600CF0"/>
    <w:rsid w:val="006048F4"/>
    <w:rsid w:val="0060660A"/>
    <w:rsid w:val="006107AE"/>
    <w:rsid w:val="00610A24"/>
    <w:rsid w:val="00613B1D"/>
    <w:rsid w:val="00617311"/>
    <w:rsid w:val="00617A44"/>
    <w:rsid w:val="006202B6"/>
    <w:rsid w:val="006205C0"/>
    <w:rsid w:val="00621C50"/>
    <w:rsid w:val="00623CB2"/>
    <w:rsid w:val="00625CD0"/>
    <w:rsid w:val="0062627D"/>
    <w:rsid w:val="00627432"/>
    <w:rsid w:val="00635031"/>
    <w:rsid w:val="00635749"/>
    <w:rsid w:val="0064192A"/>
    <w:rsid w:val="00642768"/>
    <w:rsid w:val="00642DA5"/>
    <w:rsid w:val="006448E4"/>
    <w:rsid w:val="00645414"/>
    <w:rsid w:val="0065244E"/>
    <w:rsid w:val="006534D0"/>
    <w:rsid w:val="00653606"/>
    <w:rsid w:val="00656C42"/>
    <w:rsid w:val="006610E9"/>
    <w:rsid w:val="00661591"/>
    <w:rsid w:val="00662A78"/>
    <w:rsid w:val="00663187"/>
    <w:rsid w:val="0066632F"/>
    <w:rsid w:val="00674A89"/>
    <w:rsid w:val="00674F3D"/>
    <w:rsid w:val="00682E02"/>
    <w:rsid w:val="00685545"/>
    <w:rsid w:val="006864B3"/>
    <w:rsid w:val="00686825"/>
    <w:rsid w:val="00686AED"/>
    <w:rsid w:val="00687662"/>
    <w:rsid w:val="00687B4A"/>
    <w:rsid w:val="00692BA9"/>
    <w:rsid w:val="00692C30"/>
    <w:rsid w:val="00692D64"/>
    <w:rsid w:val="006942F9"/>
    <w:rsid w:val="006A10F8"/>
    <w:rsid w:val="006A1C92"/>
    <w:rsid w:val="006A2100"/>
    <w:rsid w:val="006B0A79"/>
    <w:rsid w:val="006B0BF3"/>
    <w:rsid w:val="006B1516"/>
    <w:rsid w:val="006B1521"/>
    <w:rsid w:val="006B2A77"/>
    <w:rsid w:val="006B421D"/>
    <w:rsid w:val="006B579D"/>
    <w:rsid w:val="006B775E"/>
    <w:rsid w:val="006B7B87"/>
    <w:rsid w:val="006B7BC7"/>
    <w:rsid w:val="006C0013"/>
    <w:rsid w:val="006C2093"/>
    <w:rsid w:val="006C2278"/>
    <w:rsid w:val="006C2535"/>
    <w:rsid w:val="006C311B"/>
    <w:rsid w:val="006C414A"/>
    <w:rsid w:val="006C441E"/>
    <w:rsid w:val="006C4B90"/>
    <w:rsid w:val="006C54E0"/>
    <w:rsid w:val="006C6CF8"/>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8E1"/>
    <w:rsid w:val="00724A8B"/>
    <w:rsid w:val="007254A5"/>
    <w:rsid w:val="00725748"/>
    <w:rsid w:val="00727AAC"/>
    <w:rsid w:val="00735724"/>
    <w:rsid w:val="00735D88"/>
    <w:rsid w:val="0073720D"/>
    <w:rsid w:val="00737507"/>
    <w:rsid w:val="00737B15"/>
    <w:rsid w:val="00740712"/>
    <w:rsid w:val="00741309"/>
    <w:rsid w:val="00742AB9"/>
    <w:rsid w:val="00745EBB"/>
    <w:rsid w:val="00751821"/>
    <w:rsid w:val="00751A6A"/>
    <w:rsid w:val="00754AD6"/>
    <w:rsid w:val="00754FBF"/>
    <w:rsid w:val="007615AC"/>
    <w:rsid w:val="00763242"/>
    <w:rsid w:val="00764585"/>
    <w:rsid w:val="00765C15"/>
    <w:rsid w:val="00767FEF"/>
    <w:rsid w:val="007709EF"/>
    <w:rsid w:val="00783559"/>
    <w:rsid w:val="00783C8B"/>
    <w:rsid w:val="007846ED"/>
    <w:rsid w:val="00785C3B"/>
    <w:rsid w:val="00786ADF"/>
    <w:rsid w:val="00797AA5"/>
    <w:rsid w:val="007A26BD"/>
    <w:rsid w:val="007A4105"/>
    <w:rsid w:val="007A4F0E"/>
    <w:rsid w:val="007A514C"/>
    <w:rsid w:val="007B0D8E"/>
    <w:rsid w:val="007B11A0"/>
    <w:rsid w:val="007B4503"/>
    <w:rsid w:val="007C03C9"/>
    <w:rsid w:val="007C16D8"/>
    <w:rsid w:val="007C406E"/>
    <w:rsid w:val="007C5183"/>
    <w:rsid w:val="007C7573"/>
    <w:rsid w:val="007E09CF"/>
    <w:rsid w:val="007E14E4"/>
    <w:rsid w:val="007E2B20"/>
    <w:rsid w:val="007E3EA7"/>
    <w:rsid w:val="007E6394"/>
    <w:rsid w:val="007F194D"/>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88C"/>
    <w:rsid w:val="00842CD8"/>
    <w:rsid w:val="008431FA"/>
    <w:rsid w:val="008547BA"/>
    <w:rsid w:val="008553C7"/>
    <w:rsid w:val="00857FEB"/>
    <w:rsid w:val="008601AF"/>
    <w:rsid w:val="00872271"/>
    <w:rsid w:val="008731F6"/>
    <w:rsid w:val="00874982"/>
    <w:rsid w:val="008762B6"/>
    <w:rsid w:val="00883137"/>
    <w:rsid w:val="0088764E"/>
    <w:rsid w:val="00890143"/>
    <w:rsid w:val="00891043"/>
    <w:rsid w:val="00892BA5"/>
    <w:rsid w:val="00897739"/>
    <w:rsid w:val="008A08AC"/>
    <w:rsid w:val="008A1490"/>
    <w:rsid w:val="008A1F5D"/>
    <w:rsid w:val="008A28F5"/>
    <w:rsid w:val="008A412D"/>
    <w:rsid w:val="008B0E6F"/>
    <w:rsid w:val="008B1198"/>
    <w:rsid w:val="008B2349"/>
    <w:rsid w:val="008B3471"/>
    <w:rsid w:val="008B3929"/>
    <w:rsid w:val="008B3BAB"/>
    <w:rsid w:val="008B4125"/>
    <w:rsid w:val="008B4689"/>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0D67"/>
    <w:rsid w:val="0090271B"/>
    <w:rsid w:val="00910642"/>
    <w:rsid w:val="00910DDF"/>
    <w:rsid w:val="00916534"/>
    <w:rsid w:val="00921861"/>
    <w:rsid w:val="00922AF8"/>
    <w:rsid w:val="00924639"/>
    <w:rsid w:val="0092611E"/>
    <w:rsid w:val="00926587"/>
    <w:rsid w:val="00926F1F"/>
    <w:rsid w:val="00926F4B"/>
    <w:rsid w:val="00930B13"/>
    <w:rsid w:val="00930C09"/>
    <w:rsid w:val="009311C8"/>
    <w:rsid w:val="0093199F"/>
    <w:rsid w:val="00933376"/>
    <w:rsid w:val="00933A2F"/>
    <w:rsid w:val="0094000D"/>
    <w:rsid w:val="00940206"/>
    <w:rsid w:val="00941B16"/>
    <w:rsid w:val="00941E6E"/>
    <w:rsid w:val="00941FB8"/>
    <w:rsid w:val="009445E9"/>
    <w:rsid w:val="00946703"/>
    <w:rsid w:val="00950170"/>
    <w:rsid w:val="009528B2"/>
    <w:rsid w:val="009607C4"/>
    <w:rsid w:val="00962F2A"/>
    <w:rsid w:val="00963440"/>
    <w:rsid w:val="009716D8"/>
    <w:rsid w:val="009718F9"/>
    <w:rsid w:val="009724E4"/>
    <w:rsid w:val="00972CB8"/>
    <w:rsid w:val="00972FB9"/>
    <w:rsid w:val="009731E7"/>
    <w:rsid w:val="00975112"/>
    <w:rsid w:val="009812EB"/>
    <w:rsid w:val="00981768"/>
    <w:rsid w:val="00981E2A"/>
    <w:rsid w:val="009838BB"/>
    <w:rsid w:val="00983E8F"/>
    <w:rsid w:val="00983ED5"/>
    <w:rsid w:val="00985135"/>
    <w:rsid w:val="00987B5E"/>
    <w:rsid w:val="00992338"/>
    <w:rsid w:val="00992E4C"/>
    <w:rsid w:val="00994FDA"/>
    <w:rsid w:val="00997D15"/>
    <w:rsid w:val="009A31BF"/>
    <w:rsid w:val="009A3B71"/>
    <w:rsid w:val="009A5914"/>
    <w:rsid w:val="009A61BC"/>
    <w:rsid w:val="009B0138"/>
    <w:rsid w:val="009B0FE9"/>
    <w:rsid w:val="009B173A"/>
    <w:rsid w:val="009B5846"/>
    <w:rsid w:val="009B601B"/>
    <w:rsid w:val="009C3F20"/>
    <w:rsid w:val="009C45C8"/>
    <w:rsid w:val="009C64FB"/>
    <w:rsid w:val="009C7CA1"/>
    <w:rsid w:val="009D043D"/>
    <w:rsid w:val="009D716F"/>
    <w:rsid w:val="009E3B07"/>
    <w:rsid w:val="009E4507"/>
    <w:rsid w:val="009F3259"/>
    <w:rsid w:val="009F429B"/>
    <w:rsid w:val="009F541F"/>
    <w:rsid w:val="00A056DE"/>
    <w:rsid w:val="00A0678A"/>
    <w:rsid w:val="00A1289E"/>
    <w:rsid w:val="00A128AD"/>
    <w:rsid w:val="00A1641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1A12"/>
    <w:rsid w:val="00A63B8C"/>
    <w:rsid w:val="00A67AC7"/>
    <w:rsid w:val="00A715F8"/>
    <w:rsid w:val="00A71CC6"/>
    <w:rsid w:val="00A741BA"/>
    <w:rsid w:val="00A749A1"/>
    <w:rsid w:val="00A773CC"/>
    <w:rsid w:val="00A77F6F"/>
    <w:rsid w:val="00A80FC6"/>
    <w:rsid w:val="00A831FD"/>
    <w:rsid w:val="00A83352"/>
    <w:rsid w:val="00A850A2"/>
    <w:rsid w:val="00A91FA3"/>
    <w:rsid w:val="00A927D3"/>
    <w:rsid w:val="00A9429A"/>
    <w:rsid w:val="00A949A7"/>
    <w:rsid w:val="00AA70B0"/>
    <w:rsid w:val="00AA7FC9"/>
    <w:rsid w:val="00AB237D"/>
    <w:rsid w:val="00AB36FB"/>
    <w:rsid w:val="00AB50E6"/>
    <w:rsid w:val="00AB5933"/>
    <w:rsid w:val="00AC12A3"/>
    <w:rsid w:val="00AC1753"/>
    <w:rsid w:val="00AC35D6"/>
    <w:rsid w:val="00AC3883"/>
    <w:rsid w:val="00AD34B3"/>
    <w:rsid w:val="00AD5B44"/>
    <w:rsid w:val="00AD7608"/>
    <w:rsid w:val="00AD7C7C"/>
    <w:rsid w:val="00AE013D"/>
    <w:rsid w:val="00AE11B7"/>
    <w:rsid w:val="00AE18BA"/>
    <w:rsid w:val="00AE37A5"/>
    <w:rsid w:val="00AE7130"/>
    <w:rsid w:val="00AE7F68"/>
    <w:rsid w:val="00AF2321"/>
    <w:rsid w:val="00AF4BB5"/>
    <w:rsid w:val="00AF52F6"/>
    <w:rsid w:val="00AF7237"/>
    <w:rsid w:val="00B0043A"/>
    <w:rsid w:val="00B00D75"/>
    <w:rsid w:val="00B04150"/>
    <w:rsid w:val="00B0690C"/>
    <w:rsid w:val="00B070CB"/>
    <w:rsid w:val="00B11469"/>
    <w:rsid w:val="00B12456"/>
    <w:rsid w:val="00B132B0"/>
    <w:rsid w:val="00B173C6"/>
    <w:rsid w:val="00B20109"/>
    <w:rsid w:val="00B20C65"/>
    <w:rsid w:val="00B21FF9"/>
    <w:rsid w:val="00B220A5"/>
    <w:rsid w:val="00B2317A"/>
    <w:rsid w:val="00B259C8"/>
    <w:rsid w:val="00B26CCF"/>
    <w:rsid w:val="00B27576"/>
    <w:rsid w:val="00B30FC2"/>
    <w:rsid w:val="00B31BA0"/>
    <w:rsid w:val="00B331A2"/>
    <w:rsid w:val="00B33CF2"/>
    <w:rsid w:val="00B350A2"/>
    <w:rsid w:val="00B425F0"/>
    <w:rsid w:val="00B42DFA"/>
    <w:rsid w:val="00B50571"/>
    <w:rsid w:val="00B531DD"/>
    <w:rsid w:val="00B55014"/>
    <w:rsid w:val="00B60AD5"/>
    <w:rsid w:val="00B62232"/>
    <w:rsid w:val="00B626DD"/>
    <w:rsid w:val="00B70BF3"/>
    <w:rsid w:val="00B70D24"/>
    <w:rsid w:val="00B70E51"/>
    <w:rsid w:val="00B71DC2"/>
    <w:rsid w:val="00B80DB6"/>
    <w:rsid w:val="00B81AD2"/>
    <w:rsid w:val="00B81AEC"/>
    <w:rsid w:val="00B82387"/>
    <w:rsid w:val="00B85A66"/>
    <w:rsid w:val="00B85ED4"/>
    <w:rsid w:val="00B85F07"/>
    <w:rsid w:val="00B91CFC"/>
    <w:rsid w:val="00B93893"/>
    <w:rsid w:val="00BA439D"/>
    <w:rsid w:val="00BA7E0A"/>
    <w:rsid w:val="00BB3577"/>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BF765B"/>
    <w:rsid w:val="00C02B07"/>
    <w:rsid w:val="00C15A91"/>
    <w:rsid w:val="00C206F1"/>
    <w:rsid w:val="00C2159D"/>
    <w:rsid w:val="00C217E1"/>
    <w:rsid w:val="00C219B1"/>
    <w:rsid w:val="00C231E2"/>
    <w:rsid w:val="00C250F7"/>
    <w:rsid w:val="00C2703D"/>
    <w:rsid w:val="00C27CBE"/>
    <w:rsid w:val="00C352B6"/>
    <w:rsid w:val="00C4015B"/>
    <w:rsid w:val="00C4044E"/>
    <w:rsid w:val="00C40C60"/>
    <w:rsid w:val="00C44487"/>
    <w:rsid w:val="00C46B44"/>
    <w:rsid w:val="00C47F04"/>
    <w:rsid w:val="00C50C4E"/>
    <w:rsid w:val="00C50E87"/>
    <w:rsid w:val="00C5258E"/>
    <w:rsid w:val="00C5333A"/>
    <w:rsid w:val="00C53BD7"/>
    <w:rsid w:val="00C55923"/>
    <w:rsid w:val="00C619A7"/>
    <w:rsid w:val="00C64E34"/>
    <w:rsid w:val="00C6545E"/>
    <w:rsid w:val="00C7097A"/>
    <w:rsid w:val="00C7308A"/>
    <w:rsid w:val="00C736E8"/>
    <w:rsid w:val="00C73B3A"/>
    <w:rsid w:val="00C73D5F"/>
    <w:rsid w:val="00C81797"/>
    <w:rsid w:val="00C82662"/>
    <w:rsid w:val="00C84442"/>
    <w:rsid w:val="00C84BEB"/>
    <w:rsid w:val="00C92366"/>
    <w:rsid w:val="00C9266A"/>
    <w:rsid w:val="00C965EF"/>
    <w:rsid w:val="00C97C80"/>
    <w:rsid w:val="00CA1D00"/>
    <w:rsid w:val="00CA35E4"/>
    <w:rsid w:val="00CA47D3"/>
    <w:rsid w:val="00CA6533"/>
    <w:rsid w:val="00CA6A25"/>
    <w:rsid w:val="00CA6A3F"/>
    <w:rsid w:val="00CA6F43"/>
    <w:rsid w:val="00CA7C99"/>
    <w:rsid w:val="00CB736A"/>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37471"/>
    <w:rsid w:val="00D41CE8"/>
    <w:rsid w:val="00D44B73"/>
    <w:rsid w:val="00D45993"/>
    <w:rsid w:val="00D516BE"/>
    <w:rsid w:val="00D51F76"/>
    <w:rsid w:val="00D5423B"/>
    <w:rsid w:val="00D54F4E"/>
    <w:rsid w:val="00D604B3"/>
    <w:rsid w:val="00D60BA4"/>
    <w:rsid w:val="00D62419"/>
    <w:rsid w:val="00D62AD8"/>
    <w:rsid w:val="00D65336"/>
    <w:rsid w:val="00D66074"/>
    <w:rsid w:val="00D717EB"/>
    <w:rsid w:val="00D72FB5"/>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1958"/>
    <w:rsid w:val="00DB36FE"/>
    <w:rsid w:val="00DB38E3"/>
    <w:rsid w:val="00DB533A"/>
    <w:rsid w:val="00DB6307"/>
    <w:rsid w:val="00DC18F3"/>
    <w:rsid w:val="00DC2443"/>
    <w:rsid w:val="00DC55F7"/>
    <w:rsid w:val="00DC691C"/>
    <w:rsid w:val="00DD1DCD"/>
    <w:rsid w:val="00DD2200"/>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4556"/>
    <w:rsid w:val="00E0622C"/>
    <w:rsid w:val="00E0675E"/>
    <w:rsid w:val="00E06CD4"/>
    <w:rsid w:val="00E10DC6"/>
    <w:rsid w:val="00E11F8E"/>
    <w:rsid w:val="00E13D81"/>
    <w:rsid w:val="00E13D95"/>
    <w:rsid w:val="00E14AA3"/>
    <w:rsid w:val="00E15881"/>
    <w:rsid w:val="00E164C8"/>
    <w:rsid w:val="00E16A8F"/>
    <w:rsid w:val="00E17CA2"/>
    <w:rsid w:val="00E20C25"/>
    <w:rsid w:val="00E210E0"/>
    <w:rsid w:val="00E21DE3"/>
    <w:rsid w:val="00E233D5"/>
    <w:rsid w:val="00E25C1A"/>
    <w:rsid w:val="00E25DBA"/>
    <w:rsid w:val="00E307D1"/>
    <w:rsid w:val="00E35710"/>
    <w:rsid w:val="00E35CF4"/>
    <w:rsid w:val="00E3731D"/>
    <w:rsid w:val="00E37811"/>
    <w:rsid w:val="00E379E6"/>
    <w:rsid w:val="00E468E4"/>
    <w:rsid w:val="00E51469"/>
    <w:rsid w:val="00E54114"/>
    <w:rsid w:val="00E62709"/>
    <w:rsid w:val="00E634E3"/>
    <w:rsid w:val="00E6415B"/>
    <w:rsid w:val="00E65D6F"/>
    <w:rsid w:val="00E66526"/>
    <w:rsid w:val="00E70275"/>
    <w:rsid w:val="00E7081E"/>
    <w:rsid w:val="00E717C4"/>
    <w:rsid w:val="00E739EF"/>
    <w:rsid w:val="00E74D10"/>
    <w:rsid w:val="00E75EF4"/>
    <w:rsid w:val="00E776C6"/>
    <w:rsid w:val="00E77F89"/>
    <w:rsid w:val="00E80E71"/>
    <w:rsid w:val="00E81589"/>
    <w:rsid w:val="00E82578"/>
    <w:rsid w:val="00E82C38"/>
    <w:rsid w:val="00E84239"/>
    <w:rsid w:val="00E850D3"/>
    <w:rsid w:val="00E853D6"/>
    <w:rsid w:val="00E8544F"/>
    <w:rsid w:val="00E876B9"/>
    <w:rsid w:val="00E91674"/>
    <w:rsid w:val="00E91B40"/>
    <w:rsid w:val="00E91D40"/>
    <w:rsid w:val="00E91F7C"/>
    <w:rsid w:val="00E94179"/>
    <w:rsid w:val="00E94D82"/>
    <w:rsid w:val="00E972A2"/>
    <w:rsid w:val="00EA3416"/>
    <w:rsid w:val="00EA5BA2"/>
    <w:rsid w:val="00EA6B44"/>
    <w:rsid w:val="00EA7AB8"/>
    <w:rsid w:val="00EB0978"/>
    <w:rsid w:val="00EB5D85"/>
    <w:rsid w:val="00EB73E0"/>
    <w:rsid w:val="00EC0DFF"/>
    <w:rsid w:val="00EC17FE"/>
    <w:rsid w:val="00EC237D"/>
    <w:rsid w:val="00EC25AB"/>
    <w:rsid w:val="00EC25B9"/>
    <w:rsid w:val="00EC2927"/>
    <w:rsid w:val="00EC4D0E"/>
    <w:rsid w:val="00EC4E2B"/>
    <w:rsid w:val="00ED072A"/>
    <w:rsid w:val="00ED2F32"/>
    <w:rsid w:val="00ED539E"/>
    <w:rsid w:val="00ED576F"/>
    <w:rsid w:val="00ED5E4D"/>
    <w:rsid w:val="00EE09A7"/>
    <w:rsid w:val="00EE462D"/>
    <w:rsid w:val="00EE4A1F"/>
    <w:rsid w:val="00EE4C2D"/>
    <w:rsid w:val="00EE5FB7"/>
    <w:rsid w:val="00EE70BC"/>
    <w:rsid w:val="00EF0AC7"/>
    <w:rsid w:val="00EF0CCB"/>
    <w:rsid w:val="00EF1B5A"/>
    <w:rsid w:val="00EF24FB"/>
    <w:rsid w:val="00EF2CCA"/>
    <w:rsid w:val="00EF30EF"/>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47640"/>
    <w:rsid w:val="00F50F86"/>
    <w:rsid w:val="00F51A76"/>
    <w:rsid w:val="00F53862"/>
    <w:rsid w:val="00F53C9D"/>
    <w:rsid w:val="00F53F91"/>
    <w:rsid w:val="00F547D2"/>
    <w:rsid w:val="00F54B9F"/>
    <w:rsid w:val="00F61569"/>
    <w:rsid w:val="00F61A72"/>
    <w:rsid w:val="00F62B67"/>
    <w:rsid w:val="00F66F13"/>
    <w:rsid w:val="00F7145D"/>
    <w:rsid w:val="00F71B5E"/>
    <w:rsid w:val="00F74073"/>
    <w:rsid w:val="00F75603"/>
    <w:rsid w:val="00F77BE5"/>
    <w:rsid w:val="00F845B4"/>
    <w:rsid w:val="00F8713B"/>
    <w:rsid w:val="00F879FF"/>
    <w:rsid w:val="00F904FB"/>
    <w:rsid w:val="00F93F9E"/>
    <w:rsid w:val="00F950BC"/>
    <w:rsid w:val="00F97ADF"/>
    <w:rsid w:val="00FA2CD7"/>
    <w:rsid w:val="00FA5AD5"/>
    <w:rsid w:val="00FA5D76"/>
    <w:rsid w:val="00FA7882"/>
    <w:rsid w:val="00FA7A3E"/>
    <w:rsid w:val="00FB06ED"/>
    <w:rsid w:val="00FB61E1"/>
    <w:rsid w:val="00FC08A4"/>
    <w:rsid w:val="00FC202F"/>
    <w:rsid w:val="00FC3165"/>
    <w:rsid w:val="00FC36AB"/>
    <w:rsid w:val="00FC4300"/>
    <w:rsid w:val="00FC5236"/>
    <w:rsid w:val="00FC7F66"/>
    <w:rsid w:val="00FD18D2"/>
    <w:rsid w:val="00FD5776"/>
    <w:rsid w:val="00FD6A55"/>
    <w:rsid w:val="00FD6CF9"/>
    <w:rsid w:val="00FD77FE"/>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473DF"/>
  <w15:docId w15:val="{5D664D80-0213-48A9-8DC5-80283D2AF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546F5"/>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rsid w:val="001350A9"/>
    <w:rPr>
      <w:rFonts w:ascii="Verdana" w:hAnsi="Verdana"/>
      <w:sz w:val="13"/>
      <w:lang w:val="nl-NL" w:eastAsia="nl-NL"/>
    </w:rPr>
  </w:style>
  <w:style w:type="character" w:styleId="Voetnootmarkering">
    <w:name w:val="footnote reference"/>
    <w:basedOn w:val="Standaardalinea-lettertype"/>
    <w:uiPriority w:val="99"/>
    <w:unhideWhenUsed/>
    <w:rsid w:val="001350A9"/>
    <w:rPr>
      <w:vertAlign w:val="superscript"/>
    </w:rPr>
  </w:style>
  <w:style w:type="character" w:styleId="Verwijzingopmerking">
    <w:name w:val="annotation reference"/>
    <w:basedOn w:val="Standaardalinea-lettertype"/>
    <w:uiPriority w:val="99"/>
    <w:rsid w:val="00FD18D2"/>
    <w:rPr>
      <w:sz w:val="16"/>
      <w:szCs w:val="16"/>
    </w:rPr>
  </w:style>
  <w:style w:type="paragraph" w:styleId="Tekstopmerking">
    <w:name w:val="annotation text"/>
    <w:basedOn w:val="Standaard"/>
    <w:link w:val="TekstopmerkingChar"/>
    <w:uiPriority w:val="99"/>
    <w:rsid w:val="00FD18D2"/>
    <w:pPr>
      <w:spacing w:line="240" w:lineRule="auto"/>
    </w:pPr>
    <w:rPr>
      <w:sz w:val="20"/>
      <w:szCs w:val="20"/>
    </w:rPr>
  </w:style>
  <w:style w:type="character" w:customStyle="1" w:styleId="TekstopmerkingChar">
    <w:name w:val="Tekst opmerking Char"/>
    <w:basedOn w:val="Standaardalinea-lettertype"/>
    <w:link w:val="Tekstopmerking"/>
    <w:uiPriority w:val="99"/>
    <w:rsid w:val="00FD18D2"/>
    <w:rPr>
      <w:rFonts w:ascii="Verdana" w:hAnsi="Verdana"/>
      <w:lang w:val="nl-NL" w:eastAsia="nl-NL"/>
    </w:rPr>
  </w:style>
  <w:style w:type="paragraph" w:styleId="Onderwerpvanopmerking">
    <w:name w:val="annotation subject"/>
    <w:basedOn w:val="Tekstopmerking"/>
    <w:next w:val="Tekstopmerking"/>
    <w:link w:val="OnderwerpvanopmerkingChar"/>
    <w:rsid w:val="00FD18D2"/>
    <w:rPr>
      <w:b/>
      <w:bCs/>
    </w:rPr>
  </w:style>
  <w:style w:type="character" w:customStyle="1" w:styleId="OnderwerpvanopmerkingChar">
    <w:name w:val="Onderwerp van opmerking Char"/>
    <w:basedOn w:val="TekstopmerkingChar"/>
    <w:link w:val="Onderwerpvanopmerking"/>
    <w:rsid w:val="00FD18D2"/>
    <w:rPr>
      <w:rFonts w:ascii="Verdana" w:hAnsi="Verdana"/>
      <w:b/>
      <w:bCs/>
      <w:lang w:val="nl-NL" w:eastAsia="nl-NL"/>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Fl,3"/>
    <w:basedOn w:val="Standaard"/>
    <w:link w:val="LijstalineaChar"/>
    <w:uiPriority w:val="34"/>
    <w:qFormat/>
    <w:rsid w:val="009445E9"/>
    <w:pPr>
      <w:ind w:left="720"/>
      <w:contextualSpacing/>
    </w:pPr>
  </w:style>
  <w:style w:type="paragraph" w:styleId="Revisie">
    <w:name w:val="Revision"/>
    <w:hidden/>
    <w:uiPriority w:val="99"/>
    <w:semiHidden/>
    <w:rsid w:val="00783C8B"/>
    <w:rPr>
      <w:rFonts w:ascii="Verdana" w:hAnsi="Verdana"/>
      <w:sz w:val="18"/>
      <w:szCs w:val="24"/>
      <w:lang w:val="nl-NL" w:eastAsia="nl-NL"/>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4C0D3D"/>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C25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92b68715-89c4-41a7-9053-4d7c2f4e91f9/file" TargetMode="External"/><Relationship Id="rId1" Type="http://schemas.openxmlformats.org/officeDocument/2006/relationships/hyperlink" Target="https://www.rvo.nl/sites/default/files/2026-05/Hoofdrapport-Landsdekkende-Heritage-Impact-Assessment-april-2026-HSV-380-kV-Vierverlaten-E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2501</ap:Words>
  <ap:Characters>13756</ap:Characters>
  <ap:DocSecurity>0</ap:DocSecurity>
  <ap:Lines>114</ap:Lines>
  <ap:Paragraphs>32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16225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2026-06-02T08:23:00.0000000Z</dcterms:created>
  <dcterms:modified xsi:type="dcterms:W3CDTF">2026-06-02T08:23:00.0000000Z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O200KER</vt:lpwstr>
  </property>
  <property fmtid="{D5CDD505-2E9C-101B-9397-08002B2CF9AE}" pid="3" name="Author">
    <vt:lpwstr>O200KER</vt:lpwstr>
  </property>
  <property fmtid="{D5CDD505-2E9C-101B-9397-08002B2CF9AE}" pid="4" name="cs_objectid">
    <vt:lpwstr>63959106</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Stand van zaken moties en toezeggingen erfgoed</vt:lpwstr>
  </property>
  <property fmtid="{D5CDD505-2E9C-101B-9397-08002B2CF9AE}" pid="9" name="ocw_directie">
    <vt:lpwstr>EENK/SB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O200KER</vt:lpwstr>
  </property>
</Properties>
</file>