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F87859" w14:paraId="5170310F" w14:textId="77777777">
      <w:r>
        <w:t xml:space="preserve">Geachte voorzitter, </w:t>
      </w:r>
    </w:p>
    <w:p w:rsidR="00CA514E" w14:paraId="5816FFC3" w14:textId="77777777"/>
    <w:p w:rsidR="00F87859" w14:paraId="055ECA96" w14:textId="77777777">
      <w:r>
        <w:t xml:space="preserve">In het plenaire </w:t>
      </w:r>
      <w:r w:rsidRPr="008028BC">
        <w:t>debat</w:t>
      </w:r>
      <w:r>
        <w:t xml:space="preserve"> over de</w:t>
      </w:r>
      <w:r w:rsidRPr="008028BC">
        <w:t xml:space="preserve"> woningbouw</w:t>
      </w:r>
      <w:r>
        <w:t>opgave in Nederland van donderdag 28 mei jongstleden</w:t>
      </w:r>
      <w:r w:rsidR="00C66112">
        <w:t>,</w:t>
      </w:r>
      <w:r w:rsidRPr="008028BC">
        <w:t xml:space="preserve"> </w:t>
      </w:r>
      <w:r w:rsidR="00CA514E">
        <w:t>he</w:t>
      </w:r>
      <w:r w:rsidR="00A02428">
        <w:t>bben de</w:t>
      </w:r>
      <w:r w:rsidR="00CA514E">
        <w:t xml:space="preserve"> l</w:t>
      </w:r>
      <w:r w:rsidR="00A02428">
        <w:t>e</w:t>
      </w:r>
      <w:r w:rsidR="00CA514E">
        <w:t>d</w:t>
      </w:r>
      <w:r w:rsidR="00A02428">
        <w:t>en</w:t>
      </w:r>
      <w:r w:rsidR="00CA514E">
        <w:t xml:space="preserve"> </w:t>
      </w:r>
      <w:r>
        <w:t>Grinwis</w:t>
      </w:r>
      <w:r>
        <w:t xml:space="preserve"> (CU)</w:t>
      </w:r>
      <w:r w:rsidR="00A02428">
        <w:t xml:space="preserve"> en De Hoop (</w:t>
      </w:r>
      <w:r w:rsidR="0041032E">
        <w:t>PRO</w:t>
      </w:r>
      <w:r w:rsidR="00A02428">
        <w:t>)</w:t>
      </w:r>
      <w:r>
        <w:t xml:space="preserve"> een motie in</w:t>
      </w:r>
      <w:r w:rsidR="00CA514E">
        <w:t>gediend</w:t>
      </w:r>
      <w:r>
        <w:t xml:space="preserve"> (</w:t>
      </w:r>
      <w:r w:rsidR="00A02428">
        <w:t>Kamerstuk 32 847, nr. 1466</w:t>
      </w:r>
      <w:r>
        <w:t xml:space="preserve">) </w:t>
      </w:r>
      <w:bookmarkStart w:name="_Hlk231289759" w:id="0"/>
      <w:r>
        <w:t xml:space="preserve">over de implementatie van het hernieuwde </w:t>
      </w:r>
      <w:r w:rsidR="00BD1A20">
        <w:t>DAEB</w:t>
      </w:r>
      <w:r w:rsidR="009228D6">
        <w:t>-</w:t>
      </w:r>
      <w:r w:rsidR="00BD1A20">
        <w:t xml:space="preserve">vrijstellingsbesluit </w:t>
      </w:r>
      <w:r>
        <w:t>van de Europese Commissie</w:t>
      </w:r>
      <w:r w:rsidR="00EA5F48">
        <w:t xml:space="preserve"> (EC)</w:t>
      </w:r>
      <w:r>
        <w:t xml:space="preserve"> van 16</w:t>
      </w:r>
      <w:r w:rsidR="00A02428">
        <w:t> </w:t>
      </w:r>
      <w:r>
        <w:t xml:space="preserve">december 2025. </w:t>
      </w:r>
      <w:bookmarkEnd w:id="0"/>
      <w:r>
        <w:t xml:space="preserve">Ik </w:t>
      </w:r>
      <w:r w:rsidR="00CA514E">
        <w:t xml:space="preserve">heb </w:t>
      </w:r>
      <w:r>
        <w:t xml:space="preserve">Uw Kamer </w:t>
      </w:r>
      <w:r w:rsidR="00CA514E">
        <w:t xml:space="preserve">toegezegd </w:t>
      </w:r>
      <w:r>
        <w:t xml:space="preserve">een brief te sturen met een nadere appreciatie van deze motie. </w:t>
      </w:r>
    </w:p>
    <w:p w:rsidR="008028BC" w14:paraId="208EA1CE" w14:textId="77777777"/>
    <w:p w:rsidR="008028BC" w14:paraId="1AE20FFD" w14:textId="77777777">
      <w:r>
        <w:t>De motie houdt het verzoek in om</w:t>
      </w:r>
      <w:r w:rsidR="00C66112">
        <w:t xml:space="preserve"> -</w:t>
      </w:r>
      <w:r>
        <w:t xml:space="preserve"> vooruitlopend op de uitgebreidere </w:t>
      </w:r>
      <w:r w:rsidR="00305DDC">
        <w:t xml:space="preserve">wijziging van wet- en regelgeving ter implementatie van het </w:t>
      </w:r>
      <w:r w:rsidR="00A02428">
        <w:t>vrijstellings</w:t>
      </w:r>
      <w:r w:rsidR="00305DDC">
        <w:t>besluit</w:t>
      </w:r>
      <w:r w:rsidR="00C66112">
        <w:t xml:space="preserve"> - </w:t>
      </w:r>
      <w:r w:rsidR="00305DDC">
        <w:t>alvast een wets</w:t>
      </w:r>
      <w:r w:rsidR="00E06207">
        <w:t>voorstel</w:t>
      </w:r>
      <w:r w:rsidR="00305DDC">
        <w:t xml:space="preserve"> uit te werken om geborgd lenen voor middenhuur </w:t>
      </w:r>
      <w:r w:rsidR="00C66112">
        <w:t>mogelijk te maken v</w:t>
      </w:r>
      <w:r w:rsidR="00305DDC">
        <w:t>oor woningcorporaties en deze vóór het einde van het jaar naar de Tweede Kamer te sturen.</w:t>
      </w:r>
      <w:r w:rsidR="00497CBB">
        <w:t xml:space="preserve"> Het doel van deze motie, het mogelijk maken van borging van de middenhuur voor corporaties, en het liefst zo snel mogelijk, kan ik van harte ondersteunen</w:t>
      </w:r>
      <w:r w:rsidR="00C76AE0">
        <w:t>,</w:t>
      </w:r>
      <w:r w:rsidR="00BB7412">
        <w:t xml:space="preserve"> ook al moet ik deze motie ontraden. </w:t>
      </w:r>
      <w:r w:rsidR="00497CBB">
        <w:t xml:space="preserve"> </w:t>
      </w:r>
    </w:p>
    <w:p w:rsidR="00293F0B" w14:paraId="6D8C2091" w14:textId="77777777"/>
    <w:p w:rsidR="007B59BF" w14:paraId="33CA5BB4" w14:textId="77777777">
      <w:r>
        <w:t>Er bestaan</w:t>
      </w:r>
      <w:r>
        <w:t xml:space="preserve"> al mogelijkheden voor provincies en gemeenten om staatssteun te verlenen voor middenhuur. Zo kunnen gemeenten zelf leningen borgen voor de middenhuur, of daarvoor subsidie verlenen of korting verlenen op de grondprijs. Zo heeft de gemeente Den Haag een Dienst van Algemeen Economisch Belang (DAEB) gevestigd met daarin ondersteuning voor de realisatie van middenhuur</w:t>
      </w:r>
      <w:r w:rsidR="000E16A8">
        <w:t xml:space="preserve"> en heeft de provincie Zuid-Holland de eerste subsidie</w:t>
      </w:r>
      <w:r w:rsidR="006C05F9">
        <w:t xml:space="preserve"> </w:t>
      </w:r>
      <w:r w:rsidR="000E16A8">
        <w:t>vorige maand verstrekt</w:t>
      </w:r>
      <w:r>
        <w:t xml:space="preserve">. </w:t>
      </w:r>
      <w:r w:rsidR="00A55C64">
        <w:t>O</w:t>
      </w:r>
      <w:r>
        <w:t>ndertussen werk ik op dit moment ook aan een handreiking voor de medeoverheden over het benutten van de verruimde mogelijkheden voor het verlenen van staatssteun voor huisvesting, waaronder middenhuur, die het nieuwe DAEB-vrijstellingsbesluit biedt. Deze zal voor de zomer worden gepubliceerd.</w:t>
      </w:r>
      <w:r w:rsidR="00A55C64">
        <w:t xml:space="preserve"> Tot </w:t>
      </w:r>
      <w:r w:rsidR="006C05F9">
        <w:t xml:space="preserve">slot </w:t>
      </w:r>
      <w:r w:rsidR="00A55C64">
        <w:t xml:space="preserve">wordt er op dit moment gekeken naar de mogelijkheden van een financieringsproduct voor de middenhuur </w:t>
      </w:r>
      <w:r w:rsidR="005A2041">
        <w:t>waarbij</w:t>
      </w:r>
      <w:r w:rsidR="00A55C64">
        <w:t xml:space="preserve">, zodra borging door het Waarborgfonds Sociale Woningbouw (WSW) in de Woningwet mogelijk is gemaakt, </w:t>
      </w:r>
      <w:r w:rsidR="006C05F9">
        <w:t xml:space="preserve">onder voorwaarden </w:t>
      </w:r>
      <w:r w:rsidR="00A55C64">
        <w:t>het voordeel van borging ook wordt doorgerekend in de lopende financiering. Er wordt dus zeker niet stilgezeten.</w:t>
      </w:r>
    </w:p>
    <w:p w:rsidR="007B59BF" w14:paraId="752CDA22" w14:textId="77777777"/>
    <w:p w:rsidR="00293F0B" w14:paraId="54B95112" w14:textId="77777777">
      <w:r>
        <w:t xml:space="preserve">Opmerking verdient </w:t>
      </w:r>
      <w:r w:rsidR="007B59BF">
        <w:t>daarnaast</w:t>
      </w:r>
      <w:r>
        <w:t xml:space="preserve"> dat de EC in het hernieuwde DAEB</w:t>
      </w:r>
      <w:r w:rsidR="009228D6">
        <w:t>-</w:t>
      </w:r>
      <w:r>
        <w:t xml:space="preserve">vrijstellingsbesluit een aantal randvoorwaarden heeft gesteld, waarmee </w:t>
      </w:r>
      <w:r w:rsidR="00CA514E">
        <w:t>rekening gehouden</w:t>
      </w:r>
      <w:r>
        <w:t xml:space="preserve"> </w:t>
      </w:r>
      <w:r w:rsidR="00CA514E">
        <w:t xml:space="preserve">moet worden </w:t>
      </w:r>
      <w:r>
        <w:t xml:space="preserve">bij het uitwerken van </w:t>
      </w:r>
      <w:r w:rsidR="00E06207">
        <w:t>het wetsvoorstel</w:t>
      </w:r>
      <w:r>
        <w:t xml:space="preserve">. </w:t>
      </w:r>
    </w:p>
    <w:p w:rsidR="00C9667C" w14:paraId="64681028" w14:textId="77777777"/>
    <w:p w:rsidR="00705B97" w14:paraId="0740A899" w14:textId="77777777">
      <w:r>
        <w:t>Zoals eerder aangegeven</w:t>
      </w:r>
      <w:r w:rsidR="00C9667C">
        <w:t xml:space="preserve"> </w:t>
      </w:r>
      <w:r w:rsidR="00BC24ED">
        <w:t xml:space="preserve">deel </w:t>
      </w:r>
      <w:r>
        <w:t xml:space="preserve">ik </w:t>
      </w:r>
      <w:r w:rsidR="00BC24ED">
        <w:t xml:space="preserve">de wens </w:t>
      </w:r>
      <w:r w:rsidR="00B6237B">
        <w:t xml:space="preserve">om </w:t>
      </w:r>
      <w:r w:rsidR="006E5A82">
        <w:t>woningcorporaties</w:t>
      </w:r>
      <w:r w:rsidR="00BD1A20">
        <w:t>, evenals de marktpartijen,</w:t>
      </w:r>
      <w:r w:rsidR="006E5A82">
        <w:t xml:space="preserve"> zo snel mogelijk meer ruimte te geven een bijdrage te leveren aan </w:t>
      </w:r>
      <w:r w:rsidR="006E5A82">
        <w:t>de</w:t>
      </w:r>
      <w:r w:rsidR="006E5A82">
        <w:t xml:space="preserve"> opgave voor </w:t>
      </w:r>
      <w:r w:rsidR="00BC24ED">
        <w:t>middenhuur</w:t>
      </w:r>
      <w:r w:rsidR="00BD1A20">
        <w:t xml:space="preserve">. </w:t>
      </w:r>
      <w:r w:rsidR="007C33F5">
        <w:t xml:space="preserve">Ik werk een wijziging van de Woningwet uit </w:t>
      </w:r>
      <w:r w:rsidR="00BD1A20">
        <w:t>om de middenhuur voor woningcorporaties</w:t>
      </w:r>
      <w:r w:rsidR="00BC24ED">
        <w:t xml:space="preserve"> toe te voegen aan de borgbare doelen in de Woningwet.</w:t>
      </w:r>
      <w:r w:rsidR="007C33F5">
        <w:t xml:space="preserve"> </w:t>
      </w:r>
      <w:r w:rsidR="00BC24ED">
        <w:t xml:space="preserve">Het is </w:t>
      </w:r>
      <w:r w:rsidR="00293F0B">
        <w:t xml:space="preserve">echter </w:t>
      </w:r>
      <w:r w:rsidR="00BC24ED">
        <w:t xml:space="preserve">niet mogelijk om </w:t>
      </w:r>
      <w:r w:rsidR="006E5A82">
        <w:t xml:space="preserve">middenhuur geïsoleerd </w:t>
      </w:r>
      <w:r w:rsidR="00591E0C">
        <w:t>aan de borgbare doelen</w:t>
      </w:r>
      <w:r w:rsidR="00BC24ED">
        <w:t xml:space="preserve"> </w:t>
      </w:r>
      <w:r w:rsidR="006E5A82">
        <w:t xml:space="preserve">toe te voegen in de Woningwet, zonder </w:t>
      </w:r>
      <w:r w:rsidR="00BC24ED">
        <w:t>aan</w:t>
      </w:r>
      <w:r w:rsidR="00F60359">
        <w:t xml:space="preserve"> verscheidene</w:t>
      </w:r>
      <w:r w:rsidR="00591E0C">
        <w:t xml:space="preserve"> </w:t>
      </w:r>
      <w:r w:rsidR="00BC24ED">
        <w:t xml:space="preserve">systeem-vraagstukken </w:t>
      </w:r>
      <w:r w:rsidR="006E5A82">
        <w:t xml:space="preserve">te </w:t>
      </w:r>
      <w:r w:rsidR="00BC24ED">
        <w:t>raken</w:t>
      </w:r>
      <w:r w:rsidR="007D4D5F">
        <w:t xml:space="preserve"> die de wetswijziging een meer integraal karakter geven</w:t>
      </w:r>
      <w:r w:rsidR="00BC24ED">
        <w:t xml:space="preserve">. </w:t>
      </w:r>
    </w:p>
    <w:p w:rsidR="00705B97" w14:paraId="5690B5CB" w14:textId="77777777"/>
    <w:p w:rsidR="00C9667C" w14:paraId="089B2024" w14:textId="77777777">
      <w:r>
        <w:t xml:space="preserve">Wanneer middenhuur </w:t>
      </w:r>
      <w:r w:rsidR="00705B97">
        <w:t xml:space="preserve">in de wet </w:t>
      </w:r>
      <w:r>
        <w:t xml:space="preserve">wordt toegevoegd </w:t>
      </w:r>
      <w:r w:rsidR="0080630D">
        <w:t xml:space="preserve">als </w:t>
      </w:r>
      <w:r w:rsidR="0080630D">
        <w:t>borgbaa</w:t>
      </w:r>
      <w:r>
        <w:t>r</w:t>
      </w:r>
      <w:r>
        <w:t xml:space="preserve"> </w:t>
      </w:r>
      <w:r w:rsidR="0080630D">
        <w:t xml:space="preserve">doel, </w:t>
      </w:r>
      <w:r w:rsidR="00662629">
        <w:t xml:space="preserve">moet gelijktijdig worden </w:t>
      </w:r>
      <w:r w:rsidR="0080630D">
        <w:t xml:space="preserve">voorzien in een aanpassing van de wettelijke </w:t>
      </w:r>
      <w:r w:rsidR="00E06207">
        <w:t xml:space="preserve">afbakening van de </w:t>
      </w:r>
      <w:r w:rsidR="0080630D">
        <w:t>DAEB</w:t>
      </w:r>
      <w:r w:rsidR="00EA5F48">
        <w:t xml:space="preserve"> in de Woningwet,</w:t>
      </w:r>
      <w:r w:rsidR="0080630D">
        <w:t xml:space="preserve"> die het mogelijk maakt om staatssteun te verlenen.</w:t>
      </w:r>
      <w:r w:rsidR="00CA514E">
        <w:t xml:space="preserve"> De huidige DAEB voldoet namelijk niet aan de voorwaarden van het hernieuwde vrijstellingsbesluit van 16 december 2025</w:t>
      </w:r>
      <w:r w:rsidR="005E3C06">
        <w:t xml:space="preserve"> om steun te verlenen voor huisvesting van betaalbare huur (middenhuur)</w:t>
      </w:r>
      <w:r w:rsidR="00CA514E">
        <w:t>.</w:t>
      </w:r>
      <w:r w:rsidR="0080630D">
        <w:t xml:space="preserve"> </w:t>
      </w:r>
      <w:r w:rsidR="00662629">
        <w:t xml:space="preserve">Zonder de mogelijkheid </w:t>
      </w:r>
      <w:r w:rsidR="00CA514E">
        <w:t xml:space="preserve">om daadwerkelijk </w:t>
      </w:r>
      <w:r w:rsidR="00662629">
        <w:t xml:space="preserve">staatssteun te verlenen </w:t>
      </w:r>
      <w:r w:rsidR="00F60359">
        <w:t xml:space="preserve">zou </w:t>
      </w:r>
      <w:r w:rsidR="00CA514E">
        <w:t xml:space="preserve">een </w:t>
      </w:r>
      <w:r w:rsidR="00662629">
        <w:t xml:space="preserve">wetswijziging </w:t>
      </w:r>
      <w:r w:rsidR="00CA514E">
        <w:t xml:space="preserve">om het WSW de mogelijkheid te geven leningen voor de middenhuur te borgen </w:t>
      </w:r>
      <w:r w:rsidR="00662629">
        <w:t xml:space="preserve">aan zijn doel </w:t>
      </w:r>
      <w:r w:rsidR="00662629">
        <w:t>voorbij</w:t>
      </w:r>
      <w:r w:rsidR="00F60359">
        <w:t xml:space="preserve"> schieten</w:t>
      </w:r>
      <w:r w:rsidR="00662629">
        <w:t>. Een aanpassing van de DAEB</w:t>
      </w:r>
      <w:r w:rsidR="00CA514E">
        <w:t>, onder andere om deze in lijn te brengen met Europees recht,</w:t>
      </w:r>
      <w:r w:rsidR="00662629">
        <w:t xml:space="preserve"> brengt </w:t>
      </w:r>
      <w:r w:rsidR="00E06207">
        <w:t xml:space="preserve">diverse </w:t>
      </w:r>
      <w:r w:rsidR="00705B97">
        <w:t xml:space="preserve">systeem-vraagstukken vanuit de Woningwet naar boven, zoals de werking van het toezicht, het voorkomen van weglek van maatschappelijk bestemd vermogen, de doelgroep bepaling en toewijzing, het voorkomen van ongewenste mutaties van het sociale segment naar middenhuur, en de afbakening van niet-DAEB. </w:t>
      </w:r>
      <w:r w:rsidR="008F1EF1">
        <w:t>Een wetswijziging waarbij midde</w:t>
      </w:r>
      <w:r w:rsidR="00EA5F48">
        <w:t>n</w:t>
      </w:r>
      <w:r w:rsidR="008F1EF1">
        <w:t xml:space="preserve">huur aan de borgbare doelen wordt toegevoegd brengt </w:t>
      </w:r>
      <w:r w:rsidR="00E06207">
        <w:t>met zich</w:t>
      </w:r>
      <w:r w:rsidR="008F1EF1">
        <w:t xml:space="preserve"> mee dat moet worden voorzien in een antwoord op </w:t>
      </w:r>
      <w:r w:rsidR="00E06207">
        <w:t xml:space="preserve">de genoemde </w:t>
      </w:r>
      <w:r w:rsidR="008F1EF1">
        <w:t xml:space="preserve">complexe en </w:t>
      </w:r>
      <w:r w:rsidR="00EA5F48">
        <w:t xml:space="preserve">onderling </w:t>
      </w:r>
      <w:r w:rsidR="008F1EF1">
        <w:t>samenhangende systeem-vraagstukken.</w:t>
      </w:r>
      <w:r w:rsidR="00F60359">
        <w:t xml:space="preserve"> Dit maakt dat </w:t>
      </w:r>
      <w:r w:rsidR="006C62F5">
        <w:t>er geen tijdswinst kan worden behaald met een afzonderlijke wetswijziging om borging voor middenhuur mogelijk te maken</w:t>
      </w:r>
      <w:r w:rsidR="00CA514E">
        <w:t xml:space="preserve"> door WSW</w:t>
      </w:r>
      <w:r w:rsidR="006C62F5">
        <w:t xml:space="preserve">, zoals </w:t>
      </w:r>
      <w:r w:rsidR="00F60359">
        <w:t xml:space="preserve">in de motie is voorgesteld. </w:t>
      </w:r>
      <w:r w:rsidR="006C62F5">
        <w:t>Ik ontraad daarom deze motie.</w:t>
      </w:r>
    </w:p>
    <w:p w:rsidR="008F1EF1" w14:paraId="422CAE10" w14:textId="77777777"/>
    <w:p w:rsidR="00A02428" w:rsidP="00A02428" w14:paraId="471E835D" w14:textId="77777777">
      <w:r>
        <w:t xml:space="preserve">Vanwege het belang dat woningcorporaties zo snel mogelijk de ruimte krijgen geborgd te lenen voor middenhuur hanteer ik een ambitieuze planning voor </w:t>
      </w:r>
      <w:r w:rsidR="00E06207">
        <w:t>het wetsvoorstel</w:t>
      </w:r>
      <w:r>
        <w:t xml:space="preserve">: ik verwacht dat deze per 1 juli 2028 in werking zal kunnen treden. </w:t>
      </w:r>
      <w:r w:rsidR="00BD1A20">
        <w:t xml:space="preserve">Ik werk </w:t>
      </w:r>
      <w:r w:rsidR="00E06207">
        <w:t>dit wetsvoorstel</w:t>
      </w:r>
      <w:r w:rsidR="00BD1A20">
        <w:t xml:space="preserve"> uit in nauwe samenwerking met Aedes, de Autoriteit woningcorporaties en het </w:t>
      </w:r>
      <w:r w:rsidR="00CA514E">
        <w:t>WSW</w:t>
      </w:r>
      <w:r w:rsidR="00BD1A20">
        <w:t xml:space="preserve">. </w:t>
      </w:r>
      <w:r w:rsidR="008F1EF1">
        <w:t xml:space="preserve">Ik stuur Uw </w:t>
      </w:r>
      <w:r w:rsidR="00CA514E">
        <w:t xml:space="preserve">Kamer </w:t>
      </w:r>
      <w:r w:rsidR="008F1EF1">
        <w:t xml:space="preserve">zoals toegezegd vóór de zomer een brief waarin ik de contouren schets voor de </w:t>
      </w:r>
      <w:r>
        <w:t xml:space="preserve">benodigde </w:t>
      </w:r>
      <w:r w:rsidR="008F1EF1">
        <w:t>wijziging</w:t>
      </w:r>
      <w:r w:rsidR="00E06207">
        <w:t>en</w:t>
      </w:r>
      <w:r w:rsidR="008F1EF1">
        <w:t xml:space="preserve"> van de Woningwet. Na de zomer, via de </w:t>
      </w:r>
      <w:r w:rsidR="00E06207">
        <w:t>T</w:t>
      </w:r>
      <w:r w:rsidR="008F1EF1">
        <w:t>askforce</w:t>
      </w:r>
      <w:r w:rsidR="00E06207">
        <w:t xml:space="preserve"> Versnelling Woningbouw</w:t>
      </w:r>
      <w:r w:rsidR="008F1EF1">
        <w:t xml:space="preserve">, stuur ik Uw </w:t>
      </w:r>
      <w:r w:rsidR="00CA514E">
        <w:t>K</w:t>
      </w:r>
      <w:r w:rsidR="008F1EF1">
        <w:t xml:space="preserve">amer een meer gedetailleerde uitwerking van mijn plannen voor de implementatie van de ruimte die de EC biedt. </w:t>
      </w:r>
    </w:p>
    <w:p w:rsidR="008F1EF1" w14:paraId="78A261AC" w14:textId="77777777"/>
    <w:p w:rsidR="00C9667C" w14:paraId="0889E9FD" w14:textId="77777777"/>
    <w:p w:rsidR="00CA514E" w14:paraId="2DE254F8" w14:textId="77777777">
      <w:r>
        <w:t>De minister van Volkshuisvesting en Ruimtelijke Ordening</w:t>
      </w:r>
      <w:r w:rsidR="00E06207">
        <w:t>,</w:t>
      </w:r>
    </w:p>
    <w:p w:rsidR="00CA514E" w14:paraId="5EE28190" w14:textId="77777777"/>
    <w:p w:rsidR="00CA514E" w14:paraId="3291587D" w14:textId="77777777"/>
    <w:p w:rsidR="00CA514E" w14:paraId="0CFC91D3" w14:textId="77777777"/>
    <w:p w:rsidR="00CA514E" w14:paraId="5072FA08" w14:textId="77777777"/>
    <w:p w:rsidR="00C9667C" w14:paraId="65EEEF74" w14:textId="77777777"/>
    <w:p w:rsidRPr="008028BC" w:rsidR="00CA514E" w14:paraId="1A651A39" w14:textId="77777777">
      <w:r>
        <w:t>El</w:t>
      </w:r>
      <w:r w:rsidR="00E44162">
        <w:t>a</w:t>
      </w:r>
      <w:r>
        <w:t>nor</w:t>
      </w:r>
      <w:r>
        <w:t xml:space="preserve"> </w:t>
      </w:r>
      <w:r>
        <w:t>Boekholt</w:t>
      </w:r>
      <w:r>
        <w:t>–</w:t>
      </w:r>
      <w:r>
        <w:t>O’Sullivan</w:t>
      </w:r>
      <w:r>
        <w:t xml:space="preserve"> </w:t>
      </w:r>
    </w:p>
    <w:p w:rsidRPr="008028BC" w:rsidR="00F87859" w14:paraId="33ABB175" w14:textId="77777777"/>
    <w:p w:rsidRPr="008028BC" w:rsidR="00F87859" w14:paraId="5CC3AA8C" w14:textId="77777777"/>
    <w:p w:rsidRPr="008028BC" w:rsidR="00F87859" w14:paraId="59729CEB" w14:textId="77777777"/>
    <w:p w:rsidRPr="00B6237B" w:rsidR="00F87859" w14:paraId="1CFAB7F8" w14:textId="77777777"/>
    <w:sectPr>
      <w:headerReference w:type="default" r:id="rId6"/>
      <w:footerReference w:type="default" r:id="rId7"/>
      <w:headerReference w:type="first" r:id="rId8"/>
      <w:pgSz w:w="11905" w:h="16837"/>
      <w:pgMar w:top="3764"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87859" w14:paraId="3FC02213" w14:textId="77777777">
    <w:pPr>
      <w:spacing w:after="1077" w:line="14" w:lineRule="exac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87859" w14:paraId="4D121802" w14:textId="77777777">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ragraph">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6F122C" w14:textId="77777777"/>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e07-aa3c-11ea-a756-beb5f67e67be" o:spid="_x0000_s2049" type="#_x0000_t202" style="width:377pt;height:12.7pt;margin-top:154.75pt;margin-left:79.35pt;mso-position-horizontal-relative:page;mso-wrap-distance-bottom:0;mso-wrap-distance-left:0;mso-wrap-distance-right:0;mso-wrap-distance-top:0;mso-wrap-style:square;position:absolute;v-text-anchor:top;visibility:visible;z-index:251659264" filled="f" stroked="f">
              <v:textbox inset="0,0,0,0">
                <w:txbxContent>
                  <w:p w:rsidR="006F122C" w14:paraId="21ACEDC7" w14:textId="77777777"/>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2"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F87859" w14:textId="77777777">
                          <w:pPr>
                            <w:pStyle w:val="Referentiegegevensbold"/>
                          </w:pPr>
                          <w:r>
                            <w:t>DG Volkshuisvesting en Bouwen</w:t>
                          </w:r>
                        </w:p>
                        <w:p w:rsidR="00F87859" w14:textId="77777777">
                          <w:pPr>
                            <w:pStyle w:val="Referentiegegevens"/>
                          </w:pPr>
                          <w:r>
                            <w:t>DGVB-WN-Corporaties</w:t>
                          </w:r>
                        </w:p>
                        <w:p w:rsidR="00F87859" w14:textId="77777777">
                          <w:pPr>
                            <w:pStyle w:val="WitregelW2"/>
                          </w:pPr>
                        </w:p>
                        <w:p w:rsidR="00F87859" w14:textId="77777777">
                          <w:pPr>
                            <w:pStyle w:val="Referentiegegevensbold"/>
                          </w:pPr>
                          <w:r>
                            <w:t>Datum</w:t>
                          </w:r>
                        </w:p>
                        <w:p w:rsidR="00F87859" w14:textId="270EA148">
                          <w:pPr>
                            <w:pStyle w:val="Referentiegegevens"/>
                          </w:pPr>
                        </w:p>
                        <w:p w:rsidR="00F87859" w14:textId="77777777">
                          <w:pPr>
                            <w:pStyle w:val="WitregelW1"/>
                          </w:pPr>
                        </w:p>
                        <w:p w:rsidR="00F87859" w14:textId="77777777">
                          <w:pPr>
                            <w:pStyle w:val="Referentiegegevensbold"/>
                          </w:pPr>
                          <w:r>
                            <w:t>Onze referentie</w:t>
                          </w:r>
                        </w:p>
                        <w:p w:rsidR="006449EB" w14:textId="77777777">
                          <w:pPr>
                            <w:pStyle w:val="Referentiegegevens"/>
                          </w:pPr>
                          <w:r>
                            <w:fldChar w:fldCharType="begin"/>
                          </w:r>
                          <w:r>
                            <w:instrText xml:space="preserve"> DOCPROPERTY  "Kenmerk"  \* MERGEFORMAT </w:instrText>
                          </w:r>
                          <w:r>
                            <w:fldChar w:fldCharType="separate"/>
                          </w:r>
                          <w:r w:rsidR="00E348B8">
                            <w:t>2026-0000251805</w:t>
                          </w:r>
                          <w:r w:rsidR="00E348B8">
                            <w:fldChar w:fldCharType="end"/>
                          </w:r>
                        </w:p>
                      </w:txbxContent>
                    </wps:txbx>
                    <wps:bodyPr vert="horz" wrap="square" lIns="0" tIns="0" rIns="0" bIns="0" anchor="t" anchorCtr="0"/>
                  </wps:wsp>
                </a:graphicData>
              </a:graphic>
            </wp:anchor>
          </w:drawing>
        </mc:Choice>
        <mc:Fallback>
          <w:pict>
            <v:shape id="46fef022-aa3c-11ea-a756-beb5f67e67be" o:spid="_x0000_s2050"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1312" filled="f" stroked="f">
              <v:textbox inset="0,0,0,0">
                <w:txbxContent>
                  <w:p w:rsidR="00F87859" w14:paraId="3BDCB1EA" w14:textId="77777777">
                    <w:pPr>
                      <w:pStyle w:val="Referentiegegevensbold"/>
                    </w:pPr>
                    <w:r>
                      <w:t>DG Volkshuisvesting en Bouwen</w:t>
                    </w:r>
                  </w:p>
                  <w:p w:rsidR="00F87859" w14:paraId="1CA237ED" w14:textId="77777777">
                    <w:pPr>
                      <w:pStyle w:val="Referentiegegevens"/>
                    </w:pPr>
                    <w:r>
                      <w:t>DGVB-WN-Corporaties</w:t>
                    </w:r>
                  </w:p>
                  <w:p w:rsidR="00F87859" w14:paraId="16484861" w14:textId="77777777">
                    <w:pPr>
                      <w:pStyle w:val="WitregelW2"/>
                    </w:pPr>
                  </w:p>
                  <w:p w:rsidR="00F87859" w14:paraId="6E0D7D70" w14:textId="77777777">
                    <w:pPr>
                      <w:pStyle w:val="Referentiegegevensbold"/>
                    </w:pPr>
                    <w:r>
                      <w:t>Datum</w:t>
                    </w:r>
                  </w:p>
                  <w:p w:rsidR="00F87859" w14:paraId="1692277A" w14:textId="270EA148">
                    <w:pPr>
                      <w:pStyle w:val="Referentiegegevens"/>
                    </w:pPr>
                  </w:p>
                  <w:p w:rsidR="00F87859" w14:paraId="00013B7B" w14:textId="77777777">
                    <w:pPr>
                      <w:pStyle w:val="WitregelW1"/>
                    </w:pPr>
                  </w:p>
                  <w:p w:rsidR="00F87859" w14:paraId="4A538E16" w14:textId="77777777">
                    <w:pPr>
                      <w:pStyle w:val="Referentiegegevensbold"/>
                    </w:pPr>
                    <w:r>
                      <w:t>Onze referentie</w:t>
                    </w:r>
                  </w:p>
                  <w:p w:rsidR="006449EB" w14:paraId="027EC8E0" w14:textId="77777777">
                    <w:pPr>
                      <w:pStyle w:val="Referentiegegevens"/>
                    </w:pPr>
                    <w:r>
                      <w:fldChar w:fldCharType="begin"/>
                    </w:r>
                    <w:r>
                      <w:instrText xml:space="preserve"> DOCPROPERTY  "Kenmerk"  \* MERGEFORMAT </w:instrText>
                    </w:r>
                    <w:r>
                      <w:fldChar w:fldCharType="separate"/>
                    </w:r>
                    <w:r w:rsidR="00E348B8">
                      <w:t>2026-0000251805</w:t>
                    </w:r>
                    <w:r w:rsidR="00E348B8">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3" name="46fef0b8-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6F122C" w14:textId="77777777"/>
                      </w:txbxContent>
                    </wps:txbx>
                    <wps:bodyPr vert="horz" wrap="square" lIns="0" tIns="0" rIns="0" bIns="0" anchor="t" anchorCtr="0"/>
                  </wps:wsp>
                </a:graphicData>
              </a:graphic>
            </wp:anchor>
          </w:drawing>
        </mc:Choice>
        <mc:Fallback>
          <w:pict>
            <v:shape id="46fef0b8-aa3c-11ea-a756-beb5f67e67be" o:spid="_x0000_s2051" type="#_x0000_t202" alt="Voettekst" style="width:377pt;height:12.75pt;margin-top:802.75pt;margin-left:79.35pt;mso-position-horizontal-relative:page;mso-wrap-distance-bottom:0;mso-wrap-distance-left:0;mso-wrap-distance-right:0;mso-wrap-distance-top:0;mso-wrap-style:square;position:absolute;v-text-anchor:top;visibility:visible;z-index:251663360" filled="f" stroked="f">
              <v:textbox inset="0,0,0,0">
                <w:txbxContent>
                  <w:p w:rsidR="006F122C" w14:paraId="1EDD092B" w14:textId="77777777"/>
                </w:txbxContent>
              </v:textbox>
              <w10:anchorlock/>
            </v:shape>
          </w:pict>
        </mc:Fallback>
      </mc:AlternateContent>
    </w:r>
    <w:r>
      <w:rPr>
        <w:noProof/>
      </w:rPr>
      <mc:AlternateContent>
        <mc:Choice Requires="wps">
          <w:drawing>
            <wp:anchor distT="0" distB="0" distL="0" distR="0" simplePos="0" relativeHeight="251664384" behindDoc="0" locked="1" layoutInCell="1" allowOverlap="1">
              <wp:simplePos x="0" y="0"/>
              <wp:positionH relativeFrom="page">
                <wp:posOffset>5921375</wp:posOffset>
              </wp:positionH>
              <wp:positionV relativeFrom="paragraph">
                <wp:posOffset>10194925</wp:posOffset>
              </wp:positionV>
              <wp:extent cx="1285875" cy="161925"/>
              <wp:effectExtent l="0" t="0" r="0" b="0"/>
              <wp:wrapNone/>
              <wp:docPr id="4" name="46fef06f-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6449EB"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6f-aa3c-11ea-a756-beb5f67e67be" o:spid="_x0000_s2052" type="#_x0000_t202" alt="Paginanummering" style="width:101.25pt;height:12.75pt;margin-top:802.75pt;margin-left:466.25pt;mso-position-horizontal-relative:page;mso-wrap-distance-bottom:0;mso-wrap-distance-left:0;mso-wrap-distance-right:0;mso-wrap-distance-top:0;mso-wrap-style:square;position:absolute;v-text-anchor:top;visibility:visible;z-index:251665408" filled="f" stroked="f">
              <v:textbox inset="0,0,0,0">
                <w:txbxContent>
                  <w:p w:rsidR="006449EB" w14:paraId="6B692A9B"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87859" w14:paraId="06BF8369" w14:textId="77777777">
    <w:pPr>
      <w:spacing w:after="6377" w:line="14" w:lineRule="exact"/>
    </w:pPr>
    <w:r>
      <w:rPr>
        <w:noProof/>
      </w:rPr>
      <mc:AlternateContent>
        <mc:Choice Requires="wps">
          <w:drawing>
            <wp:anchor distT="0" distB="0" distL="0" distR="0" simplePos="0" relativeHeight="251666432"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5" name="8cd303e7-05ab-474b-9412-44e5272a8f7f"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F87859" w14:textId="77777777">
                          <w:pPr>
                            <w:spacing w:line="240" w:lineRule="auto"/>
                          </w:pPr>
                          <w:r>
                            <w:rPr>
                              <w:noProof/>
                            </w:rPr>
                            <w:drawing>
                              <wp:inline distT="0" distB="0" distL="0" distR="0">
                                <wp:extent cx="467995" cy="1583865"/>
                                <wp:effectExtent l="0" t="0" r="0" b="0"/>
                                <wp:docPr id="1869884523"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869884523"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8cd303e7-05ab-474b-9412-44e5272a8f7f" o:spid="_x0000_s2053"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67456" filled="f" stroked="f">
              <v:textbox inset="0,0,0,0">
                <w:txbxContent>
                  <w:p w:rsidR="00F87859" w14:paraId="22FE92DD" w14:textId="77777777">
                    <w:pPr>
                      <w:spacing w:line="240" w:lineRule="auto"/>
                    </w:pPr>
                    <w:drawing>
                      <wp:inline distT="0" distB="0" distL="0" distR="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7" name="583cb846-a587-474e-9efc-17a024d629a0"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F87859" w14:textId="77777777">
                          <w:pPr>
                            <w:spacing w:line="240" w:lineRule="auto"/>
                          </w:pPr>
                          <w:r>
                            <w:rPr>
                              <w:noProof/>
                            </w:rPr>
                            <w:drawing>
                              <wp:inline distT="0" distB="0" distL="0" distR="0">
                                <wp:extent cx="2339975" cy="1582834"/>
                                <wp:effectExtent l="0" t="0" r="0" b="0"/>
                                <wp:docPr id="469323241"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469323241"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583cb846-a587-474e-9efc-17a024d629a0" o:spid="_x0000_s2054"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69504" filled="f" stroked="f">
              <v:textbox inset="0,0,0,0">
                <w:txbxContent>
                  <w:p w:rsidR="00F87859" w14:paraId="26620142" w14:textId="77777777">
                    <w:pPr>
                      <w:spacing w:line="240" w:lineRule="auto"/>
                    </w:pPr>
                    <w:drawing>
                      <wp:inline distT="0" distB="0" distL="0" distR="0">
                        <wp:extent cx="2339975" cy="1582834"/>
                        <wp:effectExtent l="0" t="0" r="0" b="0"/>
                        <wp:docPr id="8"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F87859"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f053fe88-db2b-430b-bcc5-fbb915a19314" o:spid="_x0000_s2055" type="#_x0000_t202" style="width:377pt;height:12.75pt;margin-top:135.45pt;margin-left:79.6pt;mso-position-horizontal-relative:page;mso-wrap-distance-bottom:0;mso-wrap-distance-left:0;mso-wrap-distance-right:0;mso-wrap-distance-top:0;mso-wrap-style:square;position:absolute;v-text-anchor:top;visibility:visible;z-index:251671552" filled="f" stroked="f">
              <v:textbox inset="0,0,0,0">
                <w:txbxContent>
                  <w:p w:rsidR="00F87859" w14:paraId="0AEB269E" w14:textId="77777777">
                    <w:pPr>
                      <w:pStyle w:val="Referentiegegevens"/>
                    </w:pPr>
                    <w:r>
                      <w:t>&gt; Retouradres Postbus 20011 2500 EA  Den Haag</w:t>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10" name="d302f2a1-bb28-4417-9701-e3b1450e5fb6"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F87859" w14:textId="77777777">
                          <w:r>
                            <w:t>Aan de Voorzitter van de Tweede Kamer der Staten-Generaal</w:t>
                          </w:r>
                        </w:p>
                        <w:p w:rsidR="00F87859" w14:textId="77777777">
                          <w:r>
                            <w:t>Postbus 20018</w:t>
                          </w:r>
                        </w:p>
                        <w:p w:rsidR="00F87859" w14:textId="77777777">
                          <w:r>
                            <w:t>2500 EA   Den Haag</w:t>
                          </w:r>
                        </w:p>
                      </w:txbxContent>
                    </wps:txbx>
                    <wps:bodyPr vert="horz" wrap="square" lIns="0" tIns="0" rIns="0" bIns="0" anchor="t" anchorCtr="0"/>
                  </wps:wsp>
                </a:graphicData>
              </a:graphic>
            </wp:anchor>
          </w:drawing>
        </mc:Choice>
        <mc:Fallback>
          <w:pict>
            <v:shape id="d302f2a1-bb28-4417-9701-e3b1450e5fb6" o:spid="_x0000_s2056" type="#_x0000_t202" alt="Adresvak" style="width:377pt;height:87.85pt;margin-top:153.9pt;margin-left:79.35pt;mso-position-horizontal-relative:page;mso-wrap-distance-bottom:0;mso-wrap-distance-left:0;mso-wrap-distance-right:0;mso-wrap-distance-top:0;mso-wrap-style:square;position:absolute;v-text-anchor:top;visibility:visible;z-index:251673600" filled="f" stroked="f">
              <v:textbox inset="0,0,0,0">
                <w:txbxContent>
                  <w:p w:rsidR="00F87859" w14:paraId="639C4CD5" w14:textId="77777777">
                    <w:r>
                      <w:t>Aan de Voorzitter van de Tweede Kamer der Staten-Generaal</w:t>
                    </w:r>
                  </w:p>
                  <w:p w:rsidR="00F87859" w14:paraId="7E3C718C" w14:textId="77777777">
                    <w:r>
                      <w:t>Postbus 20018</w:t>
                    </w:r>
                  </w:p>
                  <w:p w:rsidR="00F87859" w14:paraId="6FDD16D2" w14:textId="77777777">
                    <w:r>
                      <w:t>2500 EA   Den Haag</w:t>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margin">
                <wp:align>right</wp:align>
              </wp:positionH>
              <wp:positionV relativeFrom="paragraph">
                <wp:posOffset>3352800</wp:posOffset>
              </wp:positionV>
              <wp:extent cx="4787900" cy="685800"/>
              <wp:effectExtent l="0" t="0" r="0" b="0"/>
              <wp:wrapNone/>
              <wp:docPr id="11" name="1670fa0c-13cb-45ec-92be-ef1f34d237c5"/>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685800"/>
                      </a:xfrm>
                      <a:prstGeom prst="rect">
                        <a:avLst/>
                      </a:prstGeom>
                      <a:noFill/>
                    </wps:spPr>
                    <wps:txbx>
                      <w:txbxContent>
                        <w:tbl>
                          <w:tblPr>
                            <w:tblW w:w="0" w:type="auto"/>
                            <w:tblInd w:w="-120" w:type="dxa"/>
                            <w:tblLayout w:type="fixed"/>
                            <w:tblLook w:val="07E0"/>
                          </w:tblPr>
                          <w:tblGrid>
                            <w:gridCol w:w="1140"/>
                            <w:gridCol w:w="5918"/>
                          </w:tblGrid>
                          <w:tr w14:paraId="74127958" w14:textId="77777777">
                            <w:tblPrEx>
                              <w:tblW w:w="0" w:type="auto"/>
                              <w:tblInd w:w="-120" w:type="dxa"/>
                              <w:tblLayout w:type="fixed"/>
                              <w:tblLook w:val="07E0"/>
                            </w:tblPrEx>
                            <w:trPr>
                              <w:trHeight w:val="240"/>
                            </w:trPr>
                            <w:tc>
                              <w:tcPr>
                                <w:tcW w:w="1140" w:type="dxa"/>
                              </w:tcPr>
                              <w:p w:rsidR="00F87859" w14:textId="77777777">
                                <w:r>
                                  <w:t>Datum</w:t>
                                </w:r>
                              </w:p>
                            </w:tc>
                            <w:tc>
                              <w:tcPr>
                                <w:tcW w:w="5918" w:type="dxa"/>
                              </w:tcPr>
                              <w:p w:rsidR="00F87859" w14:textId="03436FB5">
                                <w:r>
                                  <w:t>2 juni 2026</w:t>
                                </w:r>
                              </w:p>
                            </w:tc>
                          </w:tr>
                          <w:tr w14:paraId="60051B7A" w14:textId="77777777">
                            <w:tblPrEx>
                              <w:tblW w:w="0" w:type="auto"/>
                              <w:tblInd w:w="-120" w:type="dxa"/>
                              <w:tblLayout w:type="fixed"/>
                              <w:tblLook w:val="07E0"/>
                            </w:tblPrEx>
                            <w:trPr>
                              <w:trHeight w:val="240"/>
                            </w:trPr>
                            <w:tc>
                              <w:tcPr>
                                <w:tcW w:w="1140" w:type="dxa"/>
                              </w:tcPr>
                              <w:p w:rsidR="00F87859" w14:textId="77777777">
                                <w:r>
                                  <w:t>Betreft</w:t>
                                </w:r>
                              </w:p>
                            </w:tc>
                            <w:bookmarkStart w:id="1" w:name="_Hlk231289693"/>
                            <w:tc>
                              <w:tcPr>
                                <w:tcW w:w="5918" w:type="dxa"/>
                              </w:tcPr>
                              <w:p w:rsidR="006449EB" w14:textId="77777777">
                                <w:r>
                                  <w:fldChar w:fldCharType="begin"/>
                                </w:r>
                                <w:r>
                                  <w:instrText xml:space="preserve"> DOCPROPERTY  "Onderwerp"  \* MERGEFORMAT </w:instrText>
                                </w:r>
                                <w:r>
                                  <w:fldChar w:fldCharType="separate"/>
                                </w:r>
                                <w:r w:rsidR="00E348B8">
                                  <w:t>appreciatie</w:t>
                                </w:r>
                                <w:r w:rsidR="00E348B8">
                                  <w:t xml:space="preserve"> aangehouden motie </w:t>
                                </w:r>
                                <w:r w:rsidR="00E348B8">
                                  <w:t>Grinwis</w:t>
                                </w:r>
                                <w:r w:rsidR="00E348B8">
                                  <w:t xml:space="preserve"> (Kamerstuk 32 847, nr. 1466)</w:t>
                                </w:r>
                                <w:r>
                                  <w:fldChar w:fldCharType="end"/>
                                </w:r>
                                <w:bookmarkEnd w:id="1"/>
                              </w:p>
                            </w:tc>
                          </w:tr>
                        </w:tbl>
                        <w:p w:rsidR="006F122C" w14:textId="77777777"/>
                      </w:txbxContent>
                    </wps:txbx>
                    <wps:bodyPr vert="horz" wrap="square" lIns="0" tIns="0" rIns="0" bIns="0" anchor="t" anchorCtr="0"/>
                  </wps:wsp>
                </a:graphicData>
              </a:graphic>
              <wp14:sizeRelV relativeFrom="margin">
                <wp14:pctHeight>0</wp14:pctHeight>
              </wp14:sizeRelV>
            </wp:anchor>
          </w:drawing>
        </mc:Choice>
        <mc:Fallback>
          <w:pict>
            <v:shape id="1670fa0c-13cb-45ec-92be-ef1f34d237c5" o:spid="_x0000_s2057" type="#_x0000_t202" style="width:377pt;height:54pt;margin-top:264pt;margin-left:325.8pt;mso-height-percent:0;mso-height-relative:margin;mso-position-horizontal:right;mso-position-horizontal-relative:margin;mso-wrap-distance-bottom:0;mso-wrap-distance-left:0;mso-wrap-distance-right:0;mso-wrap-distance-top:0;mso-wrap-style:square;position:absolute;v-text-anchor:top;visibility:visible;z-index:251675648" filled="f" stroked="f">
              <v:textbox inset="0,0,0,0">
                <w:txbxContent>
                  <w:tbl>
                    <w:tblPr>
                      <w:tblW w:w="0" w:type="auto"/>
                      <w:tblInd w:w="-120" w:type="dxa"/>
                      <w:tblLayout w:type="fixed"/>
                      <w:tblLook w:val="07E0"/>
                    </w:tblPr>
                    <w:tblGrid>
                      <w:gridCol w:w="1140"/>
                      <w:gridCol w:w="5918"/>
                    </w:tblGrid>
                    <w:tr w14:paraId="74127957" w14:textId="77777777">
                      <w:tblPrEx>
                        <w:tblW w:w="0" w:type="auto"/>
                        <w:tblInd w:w="-120" w:type="dxa"/>
                        <w:tblLayout w:type="fixed"/>
                        <w:tblLook w:val="07E0"/>
                      </w:tblPrEx>
                      <w:trPr>
                        <w:trHeight w:val="240"/>
                      </w:trPr>
                      <w:tc>
                        <w:tcPr>
                          <w:tcW w:w="1140" w:type="dxa"/>
                        </w:tcPr>
                        <w:p w:rsidR="00F87859" w14:paraId="09732DFA" w14:textId="77777777">
                          <w:r>
                            <w:t>Datum</w:t>
                          </w:r>
                        </w:p>
                      </w:tc>
                      <w:tc>
                        <w:tcPr>
                          <w:tcW w:w="5918" w:type="dxa"/>
                        </w:tcPr>
                        <w:p w:rsidR="00F87859" w14:paraId="22B77BBB" w14:textId="03436FB5">
                          <w:r>
                            <w:t>2 juni 2026</w:t>
                          </w:r>
                        </w:p>
                      </w:tc>
                    </w:tr>
                    <w:tr w14:paraId="60051B79" w14:textId="77777777">
                      <w:tblPrEx>
                        <w:tblW w:w="0" w:type="auto"/>
                        <w:tblInd w:w="-120" w:type="dxa"/>
                        <w:tblLayout w:type="fixed"/>
                        <w:tblLook w:val="07E0"/>
                      </w:tblPrEx>
                      <w:trPr>
                        <w:trHeight w:val="240"/>
                      </w:trPr>
                      <w:tc>
                        <w:tcPr>
                          <w:tcW w:w="1140" w:type="dxa"/>
                        </w:tcPr>
                        <w:p w:rsidR="00F87859" w14:paraId="03C5F898" w14:textId="77777777">
                          <w:r>
                            <w:t>Betreft</w:t>
                          </w:r>
                        </w:p>
                      </w:tc>
                      <w:bookmarkStart w:id="1" w:name="_Hlk231289693"/>
                      <w:tc>
                        <w:tcPr>
                          <w:tcW w:w="5918" w:type="dxa"/>
                        </w:tcPr>
                        <w:p w:rsidR="006449EB" w14:paraId="5CDE879B" w14:textId="77777777">
                          <w:r>
                            <w:fldChar w:fldCharType="begin"/>
                          </w:r>
                          <w:r>
                            <w:instrText xml:space="preserve"> DOCPROPERTY  "Onderwerp"  \* MERGEFORMAT </w:instrText>
                          </w:r>
                          <w:r>
                            <w:fldChar w:fldCharType="separate"/>
                          </w:r>
                          <w:r w:rsidR="00E348B8">
                            <w:t>appreciatie</w:t>
                          </w:r>
                          <w:r w:rsidR="00E348B8">
                            <w:t xml:space="preserve"> aangehouden motie </w:t>
                          </w:r>
                          <w:r w:rsidR="00E348B8">
                            <w:t>Grinwis</w:t>
                          </w:r>
                          <w:r w:rsidR="00E348B8">
                            <w:t xml:space="preserve"> (Kamerstuk 32 847, nr. 1466)</w:t>
                          </w:r>
                          <w:r>
                            <w:fldChar w:fldCharType="end"/>
                          </w:r>
                          <w:bookmarkEnd w:id="1"/>
                        </w:p>
                      </w:tc>
                    </w:tr>
                  </w:tbl>
                  <w:p w:rsidR="006F122C" w14:paraId="3EFBECD0" w14:textId="77777777"/>
                </w:txbxContent>
              </v:textbox>
              <w10:wrap anchorx="margin"/>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2" name="aa29ef58-fa5a-4ef1-bc47-43f659f7c670"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F87859" w14:textId="77777777">
                          <w:pPr>
                            <w:pStyle w:val="Referentiegegevensbold"/>
                          </w:pPr>
                          <w:r>
                            <w:t>DG Volkshuisvesting en Bouwen</w:t>
                          </w:r>
                        </w:p>
                        <w:p w:rsidR="00F87859" w14:textId="77777777">
                          <w:pPr>
                            <w:pStyle w:val="Referentiegegevens"/>
                          </w:pPr>
                          <w:r>
                            <w:t>DGVB-WN-Corporaties</w:t>
                          </w:r>
                        </w:p>
                        <w:p w:rsidR="00F87859" w14:textId="77777777">
                          <w:pPr>
                            <w:pStyle w:val="WitregelW1"/>
                          </w:pPr>
                        </w:p>
                        <w:p w:rsidR="00F87859" w:rsidRPr="008028BC" w14:textId="77777777">
                          <w:pPr>
                            <w:pStyle w:val="Referentiegegevens"/>
                            <w:rPr>
                              <w:lang w:val="de-DE"/>
                            </w:rPr>
                          </w:pPr>
                          <w:r w:rsidRPr="008028BC">
                            <w:rPr>
                              <w:lang w:val="de-DE"/>
                            </w:rPr>
                            <w:t>Turfmarkt</w:t>
                          </w:r>
                          <w:r w:rsidRPr="008028BC">
                            <w:rPr>
                              <w:lang w:val="de-DE"/>
                            </w:rPr>
                            <w:t xml:space="preserve"> 147</w:t>
                          </w:r>
                        </w:p>
                        <w:p w:rsidR="00F87859" w:rsidRPr="008028BC" w14:textId="77777777">
                          <w:pPr>
                            <w:pStyle w:val="Referentiegegevens"/>
                            <w:rPr>
                              <w:lang w:val="de-DE"/>
                            </w:rPr>
                          </w:pPr>
                          <w:r w:rsidRPr="008028BC">
                            <w:rPr>
                              <w:lang w:val="de-DE"/>
                            </w:rPr>
                            <w:t>2511 DP Den Haag</w:t>
                          </w:r>
                        </w:p>
                        <w:p w:rsidR="00F87859" w:rsidRPr="008028BC" w14:textId="77777777">
                          <w:pPr>
                            <w:pStyle w:val="Referentiegegevens"/>
                            <w:rPr>
                              <w:lang w:val="de-DE"/>
                            </w:rPr>
                          </w:pPr>
                          <w:r w:rsidRPr="008028BC">
                            <w:rPr>
                              <w:lang w:val="de-DE"/>
                            </w:rPr>
                            <w:t>Postbus 20011</w:t>
                          </w:r>
                        </w:p>
                        <w:p w:rsidR="00F87859" w14:textId="77777777">
                          <w:pPr>
                            <w:pStyle w:val="Referentiegegevens"/>
                          </w:pPr>
                          <w:r>
                            <w:t>2500 EA  Den Haag</w:t>
                          </w:r>
                        </w:p>
                        <w:p w:rsidR="00F87859" w14:textId="77777777">
                          <w:pPr>
                            <w:pStyle w:val="WitregelW1"/>
                          </w:pPr>
                        </w:p>
                        <w:p w:rsidR="00F87859" w:rsidRPr="008028BC" w14:textId="77777777">
                          <w:pPr>
                            <w:pStyle w:val="WitregelW2"/>
                            <w:rPr>
                              <w:lang w:val="de-DE"/>
                            </w:rPr>
                          </w:pPr>
                        </w:p>
                        <w:p w:rsidR="00F87859" w:rsidRPr="008028BC" w14:textId="77777777">
                          <w:pPr>
                            <w:pStyle w:val="Referentiegegevensbold"/>
                            <w:rPr>
                              <w:lang w:val="de-DE"/>
                            </w:rPr>
                          </w:pPr>
                          <w:r w:rsidRPr="008028BC">
                            <w:rPr>
                              <w:lang w:val="de-DE"/>
                            </w:rPr>
                            <w:t>Onze</w:t>
                          </w:r>
                          <w:r w:rsidRPr="008028BC">
                            <w:rPr>
                              <w:lang w:val="de-DE"/>
                            </w:rPr>
                            <w:t xml:space="preserve"> </w:t>
                          </w:r>
                          <w:r w:rsidRPr="008028BC">
                            <w:rPr>
                              <w:lang w:val="de-DE"/>
                            </w:rPr>
                            <w:t>referentie</w:t>
                          </w:r>
                        </w:p>
                        <w:bookmarkStart w:id="2" w:name="_Hlk231289712"/>
                        <w:p w:rsidR="006449EB" w14:textId="77777777">
                          <w:pPr>
                            <w:pStyle w:val="Referentiegegevens"/>
                            <w:rPr>
                              <w:lang w:val="de-DE"/>
                            </w:rPr>
                          </w:pPr>
                          <w:r>
                            <w:fldChar w:fldCharType="begin"/>
                          </w:r>
                          <w:r>
                            <w:instrText xml:space="preserve"> DOCPROPERTY  "Kenmerk"  \* MERGEFORMAT </w:instrText>
                          </w:r>
                          <w:r>
                            <w:fldChar w:fldCharType="separate"/>
                          </w:r>
                          <w:r w:rsidR="00E348B8">
                            <w:t>2026-0000251805</w:t>
                          </w:r>
                          <w:r>
                            <w:fldChar w:fldCharType="end"/>
                          </w:r>
                        </w:p>
                        <w:bookmarkEnd w:id="2"/>
                        <w:p w:rsidR="00F87859" w:rsidRPr="008028BC" w14:textId="77777777">
                          <w:pPr>
                            <w:pStyle w:val="WitregelW1"/>
                            <w:rPr>
                              <w:lang w:val="de-DE"/>
                            </w:rPr>
                          </w:pPr>
                        </w:p>
                        <w:p w:rsidR="00F87859" w:rsidRPr="008028BC" w14:textId="77777777">
                          <w:pPr>
                            <w:rPr>
                              <w:lang w:val="de-DE"/>
                            </w:rPr>
                          </w:pPr>
                        </w:p>
                      </w:txbxContent>
                    </wps:txbx>
                    <wps:bodyPr vert="horz" wrap="square" lIns="0" tIns="0" rIns="0" bIns="0" anchor="t" anchorCtr="0"/>
                  </wps:wsp>
                </a:graphicData>
              </a:graphic>
            </wp:anchor>
          </w:drawing>
        </mc:Choice>
        <mc:Fallback>
          <w:pict>
            <v:shape id="aa29ef58-fa5a-4ef1-bc47-43f659f7c670" o:spid="_x0000_s2058" type="#_x0000_t202" alt="Colofon" style="width:100.6pt;height:630.7pt;margin-top:154.75pt;margin-left:466.25pt;mso-position-horizontal-relative:page;mso-wrap-distance-bottom:0;mso-wrap-distance-left:0;mso-wrap-distance-right:0;mso-wrap-distance-top:0;mso-wrap-style:square;position:absolute;v-text-anchor:top;visibility:visible;z-index:251677696" filled="f" stroked="f">
              <v:textbox inset="0,0,0,0">
                <w:txbxContent>
                  <w:p w:rsidR="00F87859" w14:paraId="09532D69" w14:textId="77777777">
                    <w:pPr>
                      <w:pStyle w:val="Referentiegegevensbold"/>
                    </w:pPr>
                    <w:r>
                      <w:t>DG Volkshuisvesting en Bouwen</w:t>
                    </w:r>
                  </w:p>
                  <w:p w:rsidR="00F87859" w14:paraId="5701CDA4" w14:textId="77777777">
                    <w:pPr>
                      <w:pStyle w:val="Referentiegegevens"/>
                    </w:pPr>
                    <w:r>
                      <w:t>DGVB-WN-Corporaties</w:t>
                    </w:r>
                  </w:p>
                  <w:p w:rsidR="00F87859" w14:paraId="7B3AE4C4" w14:textId="77777777">
                    <w:pPr>
                      <w:pStyle w:val="WitregelW1"/>
                    </w:pPr>
                  </w:p>
                  <w:p w:rsidR="00F87859" w:rsidRPr="008028BC" w14:paraId="1D672B64" w14:textId="77777777">
                    <w:pPr>
                      <w:pStyle w:val="Referentiegegevens"/>
                      <w:rPr>
                        <w:lang w:val="de-DE"/>
                      </w:rPr>
                    </w:pPr>
                    <w:r w:rsidRPr="008028BC">
                      <w:rPr>
                        <w:lang w:val="de-DE"/>
                      </w:rPr>
                      <w:t>Turfmarkt</w:t>
                    </w:r>
                    <w:r w:rsidRPr="008028BC">
                      <w:rPr>
                        <w:lang w:val="de-DE"/>
                      </w:rPr>
                      <w:t xml:space="preserve"> 147</w:t>
                    </w:r>
                  </w:p>
                  <w:p w:rsidR="00F87859" w:rsidRPr="008028BC" w14:paraId="19F85C4B" w14:textId="77777777">
                    <w:pPr>
                      <w:pStyle w:val="Referentiegegevens"/>
                      <w:rPr>
                        <w:lang w:val="de-DE"/>
                      </w:rPr>
                    </w:pPr>
                    <w:r w:rsidRPr="008028BC">
                      <w:rPr>
                        <w:lang w:val="de-DE"/>
                      </w:rPr>
                      <w:t>2511 DP Den Haag</w:t>
                    </w:r>
                  </w:p>
                  <w:p w:rsidR="00F87859" w:rsidRPr="008028BC" w14:paraId="67F96F3A" w14:textId="77777777">
                    <w:pPr>
                      <w:pStyle w:val="Referentiegegevens"/>
                      <w:rPr>
                        <w:lang w:val="de-DE"/>
                      </w:rPr>
                    </w:pPr>
                    <w:r w:rsidRPr="008028BC">
                      <w:rPr>
                        <w:lang w:val="de-DE"/>
                      </w:rPr>
                      <w:t>Postbus 20011</w:t>
                    </w:r>
                  </w:p>
                  <w:p w:rsidR="00F87859" w14:paraId="672CF6EF" w14:textId="77777777">
                    <w:pPr>
                      <w:pStyle w:val="Referentiegegevens"/>
                    </w:pPr>
                    <w:r>
                      <w:t>2500 EA  Den Haag</w:t>
                    </w:r>
                  </w:p>
                  <w:p w:rsidR="00F87859" w14:paraId="430A1A1F" w14:textId="77777777">
                    <w:pPr>
                      <w:pStyle w:val="WitregelW1"/>
                    </w:pPr>
                  </w:p>
                  <w:p w:rsidR="00F87859" w:rsidRPr="008028BC" w14:paraId="5FF56B2C" w14:textId="77777777">
                    <w:pPr>
                      <w:pStyle w:val="WitregelW2"/>
                      <w:rPr>
                        <w:lang w:val="de-DE"/>
                      </w:rPr>
                    </w:pPr>
                  </w:p>
                  <w:p w:rsidR="00F87859" w:rsidRPr="008028BC" w14:paraId="651D540B" w14:textId="77777777">
                    <w:pPr>
                      <w:pStyle w:val="Referentiegegevensbold"/>
                      <w:rPr>
                        <w:lang w:val="de-DE"/>
                      </w:rPr>
                    </w:pPr>
                    <w:r w:rsidRPr="008028BC">
                      <w:rPr>
                        <w:lang w:val="de-DE"/>
                      </w:rPr>
                      <w:t>Onze</w:t>
                    </w:r>
                    <w:r w:rsidRPr="008028BC">
                      <w:rPr>
                        <w:lang w:val="de-DE"/>
                      </w:rPr>
                      <w:t xml:space="preserve"> </w:t>
                    </w:r>
                    <w:r w:rsidRPr="008028BC">
                      <w:rPr>
                        <w:lang w:val="de-DE"/>
                      </w:rPr>
                      <w:t>referentie</w:t>
                    </w:r>
                  </w:p>
                  <w:bookmarkStart w:id="2" w:name="_Hlk231289712"/>
                  <w:p w:rsidR="006449EB" w14:paraId="312E1AC4" w14:textId="77777777">
                    <w:pPr>
                      <w:pStyle w:val="Referentiegegevens"/>
                      <w:rPr>
                        <w:lang w:val="de-DE"/>
                      </w:rPr>
                    </w:pPr>
                    <w:r>
                      <w:fldChar w:fldCharType="begin"/>
                    </w:r>
                    <w:r>
                      <w:instrText xml:space="preserve"> DOCPROPERTY  "Kenmerk"  \* MERGEFORMAT </w:instrText>
                    </w:r>
                    <w:r>
                      <w:fldChar w:fldCharType="separate"/>
                    </w:r>
                    <w:r w:rsidR="00E348B8">
                      <w:t>2026-0000251805</w:t>
                    </w:r>
                    <w:r>
                      <w:fldChar w:fldCharType="end"/>
                    </w:r>
                  </w:p>
                  <w:bookmarkEnd w:id="2"/>
                  <w:p w:rsidR="00F87859" w:rsidRPr="008028BC" w14:paraId="50C592D7" w14:textId="77777777">
                    <w:pPr>
                      <w:pStyle w:val="WitregelW1"/>
                      <w:rPr>
                        <w:lang w:val="de-DE"/>
                      </w:rPr>
                    </w:pPr>
                  </w:p>
                  <w:p w:rsidR="00F87859" w:rsidRPr="008028BC" w14:paraId="469F2071" w14:textId="77777777">
                    <w:pPr>
                      <w:rPr>
                        <w:lang w:val="de-DE"/>
                      </w:rPr>
                    </w:pPr>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13" name="fc795519-edb4-40fa-b772-922592680a29"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6449EB"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fc795519-edb4-40fa-b772-922592680a29" o:spid="_x0000_s2059"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9744" filled="f" stroked="f">
              <v:textbox inset="0,0,0,0">
                <w:txbxContent>
                  <w:p w:rsidR="006449EB" w14:paraId="2C71F953"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80768" behindDoc="0" locked="1" layoutInCell="1" allowOverlap="1">
              <wp:simplePos x="0" y="0"/>
              <wp:positionH relativeFrom="page">
                <wp:posOffset>998219</wp:posOffset>
              </wp:positionH>
              <wp:positionV relativeFrom="paragraph">
                <wp:posOffset>10197465</wp:posOffset>
              </wp:positionV>
              <wp:extent cx="4787900" cy="161925"/>
              <wp:effectExtent l="0" t="0" r="0" b="0"/>
              <wp:wrapNone/>
              <wp:docPr id="14" name="ea113d41-b39a-4e3b-9a6a-dce66e72abe4"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6F122C" w14:textId="77777777"/>
                      </w:txbxContent>
                    </wps:txbx>
                    <wps:bodyPr vert="horz" wrap="square" lIns="0" tIns="0" rIns="0" bIns="0" anchor="t" anchorCtr="0"/>
                  </wps:wsp>
                </a:graphicData>
              </a:graphic>
            </wp:anchor>
          </w:drawing>
        </mc:Choice>
        <mc:Fallback>
          <w:pict>
            <v:shape id="ea113d41-b39a-4e3b-9a6a-dce66e72abe4" o:spid="_x0000_s2060" type="#_x0000_t202" alt="Voettekst" style="width:377pt;height:12.75pt;margin-top:802.95pt;margin-left:78.6pt;mso-position-horizontal-relative:page;mso-wrap-distance-bottom:0;mso-wrap-distance-left:0;mso-wrap-distance-right:0;mso-wrap-distance-top:0;mso-wrap-style:square;position:absolute;v-text-anchor:top;visibility:visible;z-index:251681792" filled="f" stroked="f">
              <v:textbox inset="0,0,0,0">
                <w:txbxContent>
                  <w:p w:rsidR="006F122C" w14:paraId="016AF769" w14:textId="77777777"/>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85936F5E"/>
    <w:multiLevelType w:val="multilevel"/>
    <w:tmpl w:val="7F16AE3C"/>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nsid w:val="9CB837BE"/>
    <w:multiLevelType w:val="multilevel"/>
    <w:tmpl w:val="3E545C4B"/>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nsid w:val="AEDD0400"/>
    <w:multiLevelType w:val="multilevel"/>
    <w:tmpl w:val="040D2BFD"/>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nsid w:val="50F6D1A8"/>
    <w:multiLevelType w:val="multilevel"/>
    <w:tmpl w:val="64F51E1A"/>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num w:numId="1" w16cid:durableId="1608193873">
    <w:abstractNumId w:val="3"/>
  </w:num>
  <w:num w:numId="2" w16cid:durableId="1487084693">
    <w:abstractNumId w:val="2"/>
  </w:num>
  <w:num w:numId="3" w16cid:durableId="1174303246">
    <w:abstractNumId w:val="0"/>
  </w:num>
  <w:num w:numId="4" w16cid:durableId="1593854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8BC"/>
    <w:rsid w:val="000043BC"/>
    <w:rsid w:val="00021D86"/>
    <w:rsid w:val="000B4345"/>
    <w:rsid w:val="000E16A8"/>
    <w:rsid w:val="001A2FC9"/>
    <w:rsid w:val="001B50C7"/>
    <w:rsid w:val="001F7B3C"/>
    <w:rsid w:val="002367C6"/>
    <w:rsid w:val="00275F52"/>
    <w:rsid w:val="00293F0B"/>
    <w:rsid w:val="002B737E"/>
    <w:rsid w:val="00305DDC"/>
    <w:rsid w:val="00374DDC"/>
    <w:rsid w:val="0041032E"/>
    <w:rsid w:val="00482749"/>
    <w:rsid w:val="00497CBB"/>
    <w:rsid w:val="00501E07"/>
    <w:rsid w:val="00577506"/>
    <w:rsid w:val="00591E0C"/>
    <w:rsid w:val="005A0D83"/>
    <w:rsid w:val="005A2041"/>
    <w:rsid w:val="005D5D55"/>
    <w:rsid w:val="005E3C06"/>
    <w:rsid w:val="006144A5"/>
    <w:rsid w:val="006449EB"/>
    <w:rsid w:val="0065185E"/>
    <w:rsid w:val="00662629"/>
    <w:rsid w:val="00695883"/>
    <w:rsid w:val="006A0A82"/>
    <w:rsid w:val="006B0DBF"/>
    <w:rsid w:val="006C05F9"/>
    <w:rsid w:val="006C0CAB"/>
    <w:rsid w:val="006C35CC"/>
    <w:rsid w:val="006C62F5"/>
    <w:rsid w:val="006D27A7"/>
    <w:rsid w:val="006E5A82"/>
    <w:rsid w:val="006F122C"/>
    <w:rsid w:val="00705B97"/>
    <w:rsid w:val="00723E75"/>
    <w:rsid w:val="007622D9"/>
    <w:rsid w:val="007B59BF"/>
    <w:rsid w:val="007C33F5"/>
    <w:rsid w:val="007D4D5F"/>
    <w:rsid w:val="008028BC"/>
    <w:rsid w:val="0080630D"/>
    <w:rsid w:val="00806A09"/>
    <w:rsid w:val="00835584"/>
    <w:rsid w:val="008607CE"/>
    <w:rsid w:val="00891B9A"/>
    <w:rsid w:val="008A29DB"/>
    <w:rsid w:val="008F1EF1"/>
    <w:rsid w:val="009228D6"/>
    <w:rsid w:val="00971B1D"/>
    <w:rsid w:val="009D5281"/>
    <w:rsid w:val="00A02428"/>
    <w:rsid w:val="00A409B3"/>
    <w:rsid w:val="00A520CD"/>
    <w:rsid w:val="00A55C64"/>
    <w:rsid w:val="00AC347B"/>
    <w:rsid w:val="00AE39B0"/>
    <w:rsid w:val="00B027E2"/>
    <w:rsid w:val="00B16231"/>
    <w:rsid w:val="00B249A4"/>
    <w:rsid w:val="00B6237B"/>
    <w:rsid w:val="00BB7412"/>
    <w:rsid w:val="00BC24ED"/>
    <w:rsid w:val="00BD1A20"/>
    <w:rsid w:val="00C31194"/>
    <w:rsid w:val="00C47845"/>
    <w:rsid w:val="00C66112"/>
    <w:rsid w:val="00C75993"/>
    <w:rsid w:val="00C76AE0"/>
    <w:rsid w:val="00C9667C"/>
    <w:rsid w:val="00CA514E"/>
    <w:rsid w:val="00CD28F2"/>
    <w:rsid w:val="00DA39BF"/>
    <w:rsid w:val="00E06207"/>
    <w:rsid w:val="00E06D99"/>
    <w:rsid w:val="00E348B8"/>
    <w:rsid w:val="00E44162"/>
    <w:rsid w:val="00E62509"/>
    <w:rsid w:val="00E80CF6"/>
    <w:rsid w:val="00E86173"/>
    <w:rsid w:val="00E95152"/>
    <w:rsid w:val="00EA5F48"/>
    <w:rsid w:val="00EC2A46"/>
    <w:rsid w:val="00F20C7D"/>
    <w:rsid w:val="00F570BC"/>
    <w:rsid w:val="00F60359"/>
    <w:rsid w:val="00F72D1C"/>
    <w:rsid w:val="00F80EBA"/>
    <w:rsid w:val="00F87859"/>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336679B4"/>
  <w15:docId w15:val="{CA518C59-7799-45D1-83FA-8D2197BA5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8028BC"/>
    <w:pPr>
      <w:tabs>
        <w:tab w:val="center" w:pos="4536"/>
        <w:tab w:val="right" w:pos="9072"/>
      </w:tabs>
      <w:spacing w:line="240" w:lineRule="auto"/>
    </w:pPr>
  </w:style>
  <w:style w:type="character" w:customStyle="1" w:styleId="KoptekstChar">
    <w:name w:val="Koptekst Char"/>
    <w:basedOn w:val="DefaultParagraphFont"/>
    <w:link w:val="Header"/>
    <w:uiPriority w:val="99"/>
    <w:rsid w:val="008028BC"/>
    <w:rPr>
      <w:rFonts w:ascii="Verdana" w:hAnsi="Verdana"/>
      <w:color w:val="000000"/>
      <w:sz w:val="18"/>
      <w:szCs w:val="18"/>
    </w:rPr>
  </w:style>
  <w:style w:type="paragraph" w:styleId="Footer">
    <w:name w:val="footer"/>
    <w:basedOn w:val="Normal"/>
    <w:link w:val="VoettekstChar"/>
    <w:uiPriority w:val="99"/>
    <w:unhideWhenUsed/>
    <w:rsid w:val="008028BC"/>
    <w:pPr>
      <w:tabs>
        <w:tab w:val="center" w:pos="4536"/>
        <w:tab w:val="right" w:pos="9072"/>
      </w:tabs>
      <w:spacing w:line="240" w:lineRule="auto"/>
    </w:pPr>
  </w:style>
  <w:style w:type="character" w:customStyle="1" w:styleId="VoettekstChar">
    <w:name w:val="Voettekst Char"/>
    <w:basedOn w:val="DefaultParagraphFont"/>
    <w:link w:val="Footer"/>
    <w:uiPriority w:val="99"/>
    <w:rsid w:val="008028BC"/>
    <w:rPr>
      <w:rFonts w:ascii="Verdana" w:hAnsi="Verdana"/>
      <w:color w:val="000000"/>
      <w:sz w:val="18"/>
      <w:szCs w:val="18"/>
    </w:rPr>
  </w:style>
  <w:style w:type="paragraph" w:styleId="Revision">
    <w:name w:val="Revision"/>
    <w:hidden/>
    <w:uiPriority w:val="99"/>
    <w:semiHidden/>
    <w:rsid w:val="00CA514E"/>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settings" Target="settings.xml" Id="rId1" /><Relationship Type="http://schemas.openxmlformats.org/officeDocument/2006/relationships/numbering" Target="numbering.xml" Id="rId10" /><Relationship Type="http://schemas.openxmlformats.org/officeDocument/2006/relationships/styles" Target="styles.xml" Id="rId11" /><Relationship Type="http://schemas.openxmlformats.org/officeDocument/2006/relationships/webSettings" Target="webSettings.xml" Id="rId2" /><Relationship Type="http://schemas.openxmlformats.org/officeDocument/2006/relationships/fontTable" Target="fontTable.xml" Id="rId3" /><Relationship Type="http://schemas.openxmlformats.org/officeDocument/2006/relationships/header" Target="header1.xml" Id="rId6" /><Relationship Type="http://schemas.openxmlformats.org/officeDocument/2006/relationships/footer" Target="footer1.xml" Id="rId7" /><Relationship Type="http://schemas.openxmlformats.org/officeDocument/2006/relationships/header" Target="header2.xml" Id="rId8" /><Relationship Type="http://schemas.openxmlformats.org/officeDocument/2006/relationships/theme" Target="theme/theme1.xml" Id="rId9"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_rels/settings.xml.rels><?xml version="1.0" encoding="utf-8" standalone="yes"?><Relationships xmlns="http://schemas.openxmlformats.org/package/2006/relationships"><Relationship Id="rId1" Type="http://schemas.openxmlformats.org/officeDocument/2006/relationships/attachedTemplate" Target="file:///H:\Downloads\Brief.dotx" TargetMode="External"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764</ap:Words>
  <ap:Characters>4207</ap:Characters>
  <ap:DocSecurity>0</ap:DocSecurity>
  <ap:Lines>35</ap:Lines>
  <ap:Paragraphs>9</ap:Paragraphs>
  <ap:ScaleCrop>false</ap:ScaleCrop>
  <ap:HeadingPairs>
    <vt:vector baseType="variant" size="2">
      <vt:variant>
        <vt:lpstr>Titel</vt:lpstr>
      </vt:variant>
      <vt:variant>
        <vt:i4>1</vt:i4>
      </vt:variant>
    </vt:vector>
  </ap:HeadingPairs>
  <ap:TitlesOfParts>
    <vt:vector baseType="lpstr" size="1">
      <vt:lpstr>Brief - appreciatie aangehouden motie Grinwis</vt:lpstr>
    </vt:vector>
  </ap:TitlesOfParts>
  <ap:LinksUpToDate>false</ap:LinksUpToDate>
  <ap:CharactersWithSpaces>4962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2026-06-02T08:49:00.0000000Z</dcterms:created>
  <dcterms:modified xsi:type="dcterms:W3CDTF">2026-06-02T08:49:00.0000000Z</dcterms:modified>
  <dc:creator/>
  <lastModifiedBy/>
  <dc:description>------------------------</dc:description>
  <dc:subject/>
  <keywords/>
  <version/>
  <category/>
</coreProperties>
</file>