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720" w:rsidP="006D59D6" w:rsidRDefault="00082ACE" w14:paraId="25813E6C" w14:textId="77777777">
      <w:pPr>
        <w:suppressAutoHyphens/>
        <w:spacing w:line="276" w:lineRule="auto"/>
      </w:pPr>
      <w:r>
        <w:t>Geachte voorzitter,</w:t>
      </w:r>
    </w:p>
    <w:p w:rsidR="70DD1FBF" w:rsidP="006D59D6" w:rsidRDefault="70DD1FBF" w14:paraId="6A4480AF" w14:textId="77777777">
      <w:pPr>
        <w:suppressAutoHyphens/>
        <w:spacing w:line="276" w:lineRule="auto"/>
      </w:pPr>
    </w:p>
    <w:p w:rsidR="00923DB8" w:rsidP="006D59D6" w:rsidRDefault="00082ACE" w14:paraId="6109B667" w14:textId="77777777">
      <w:pPr>
        <w:suppressAutoHyphens/>
        <w:spacing w:line="276" w:lineRule="auto"/>
        <w:rPr>
          <w:rFonts w:eastAsia="Verdana" w:cs="Verdana"/>
        </w:rPr>
      </w:pPr>
      <w:bookmarkStart w:name="_Hlk228362026" w:id="0"/>
      <w:bookmarkStart w:name="_Hlk229575912" w:id="1"/>
      <w:r>
        <w:t>De krapte op de arbeidsmarkt in zorg en welzijn houdt aan.</w:t>
      </w:r>
      <w:r w:rsidR="008561A4">
        <w:t xml:space="preserve"> </w:t>
      </w:r>
      <w:r w:rsidRPr="49A4F9FE">
        <w:rPr>
          <w:rFonts w:eastAsia="Verdana" w:cs="Verdana"/>
        </w:rPr>
        <w:t>In 2035 wordt een tekort geraamd van bijna 301 duizend werkenden</w:t>
      </w:r>
      <w:r>
        <w:rPr>
          <w:rStyle w:val="Voetnootmarkering"/>
          <w:rFonts w:eastAsia="Verdana" w:cs="Verdana"/>
        </w:rPr>
        <w:footnoteReference w:id="1"/>
      </w:r>
      <w:r w:rsidRPr="49A4F9FE">
        <w:rPr>
          <w:rFonts w:eastAsia="Verdana" w:cs="Verdana"/>
        </w:rPr>
        <w:t>.</w:t>
      </w:r>
      <w:bookmarkEnd w:id="0"/>
      <w:r w:rsidR="001A2E1D">
        <w:rPr>
          <w:rFonts w:eastAsia="Verdana" w:cs="Verdana"/>
        </w:rPr>
        <w:t xml:space="preserve"> Dat </w:t>
      </w:r>
      <w:r w:rsidR="0003000C">
        <w:rPr>
          <w:rFonts w:eastAsia="Verdana" w:cs="Verdana"/>
        </w:rPr>
        <w:t>is een groep mensen</w:t>
      </w:r>
      <w:r w:rsidR="001A2E1D">
        <w:rPr>
          <w:rFonts w:eastAsia="Verdana" w:cs="Verdana"/>
        </w:rPr>
        <w:t xml:space="preserve"> groter dan alle inwoners van de stad </w:t>
      </w:r>
      <w:r w:rsidR="00ED3DAE">
        <w:rPr>
          <w:rFonts w:eastAsia="Verdana" w:cs="Verdana"/>
        </w:rPr>
        <w:t>Eindhoven</w:t>
      </w:r>
      <w:r w:rsidR="001A2E1D">
        <w:rPr>
          <w:rFonts w:eastAsia="Verdana" w:cs="Verdana"/>
        </w:rPr>
        <w:t xml:space="preserve"> bij elkaar</w:t>
      </w:r>
      <w:r w:rsidR="00ED3DAE">
        <w:rPr>
          <w:rFonts w:eastAsia="Verdana" w:cs="Verdana"/>
        </w:rPr>
        <w:t>.</w:t>
      </w:r>
      <w:r w:rsidR="00860698">
        <w:rPr>
          <w:rFonts w:eastAsia="Verdana" w:cs="Verdana"/>
        </w:rPr>
        <w:t xml:space="preserve"> Een dergelijke situatie moeten we zien te voorkomen.</w:t>
      </w:r>
      <w:r w:rsidR="001A2E1D">
        <w:rPr>
          <w:rFonts w:eastAsia="Verdana" w:cs="Verdana"/>
        </w:rPr>
        <w:t xml:space="preserve"> </w:t>
      </w:r>
      <w:r w:rsidR="005237FC">
        <w:rPr>
          <w:rFonts w:eastAsia="Verdana" w:cs="Verdana"/>
        </w:rPr>
        <w:t>V</w:t>
      </w:r>
      <w:r w:rsidRPr="49A4F9FE">
        <w:rPr>
          <w:rFonts w:eastAsia="Verdana" w:cs="Verdana"/>
        </w:rPr>
        <w:t>oldoende en goed opgeleid personeel</w:t>
      </w:r>
      <w:r w:rsidR="005237FC">
        <w:rPr>
          <w:rFonts w:eastAsia="Verdana" w:cs="Verdana"/>
        </w:rPr>
        <w:t xml:space="preserve"> </w:t>
      </w:r>
      <w:r w:rsidR="00197D6A">
        <w:rPr>
          <w:rFonts w:eastAsia="Verdana" w:cs="Verdana"/>
        </w:rPr>
        <w:t xml:space="preserve">is </w:t>
      </w:r>
      <w:r w:rsidR="00860698">
        <w:rPr>
          <w:rFonts w:eastAsia="Verdana" w:cs="Verdana"/>
        </w:rPr>
        <w:t xml:space="preserve">immers </w:t>
      </w:r>
      <w:r w:rsidR="005237FC">
        <w:rPr>
          <w:rFonts w:eastAsia="Verdana" w:cs="Verdana"/>
        </w:rPr>
        <w:t>van</w:t>
      </w:r>
      <w:r w:rsidR="001A2E1D">
        <w:rPr>
          <w:rFonts w:eastAsia="Verdana" w:cs="Verdana"/>
        </w:rPr>
        <w:t xml:space="preserve"> groot</w:t>
      </w:r>
      <w:r w:rsidR="005237FC">
        <w:rPr>
          <w:rFonts w:eastAsia="Verdana" w:cs="Verdana"/>
        </w:rPr>
        <w:t xml:space="preserve"> belang om </w:t>
      </w:r>
      <w:r w:rsidRPr="49A4F9FE">
        <w:rPr>
          <w:rFonts w:eastAsia="Verdana" w:cs="Verdana"/>
        </w:rPr>
        <w:t>de toegankelijkheid en de kwaliteit van zorg en ondersteuning</w:t>
      </w:r>
      <w:r w:rsidR="00C21DCE">
        <w:rPr>
          <w:rFonts w:eastAsia="Verdana" w:cs="Verdana"/>
        </w:rPr>
        <w:t xml:space="preserve"> in ons land</w:t>
      </w:r>
      <w:r w:rsidR="005237FC">
        <w:rPr>
          <w:rFonts w:eastAsia="Verdana" w:cs="Verdana"/>
        </w:rPr>
        <w:t xml:space="preserve"> te behouden</w:t>
      </w:r>
      <w:r w:rsidRPr="49A4F9FE">
        <w:rPr>
          <w:rFonts w:eastAsia="Verdana" w:cs="Verdana"/>
        </w:rPr>
        <w:t>.</w:t>
      </w:r>
      <w:r w:rsidR="001A2E1D">
        <w:rPr>
          <w:rFonts w:eastAsia="Verdana" w:cs="Verdana"/>
        </w:rPr>
        <w:t xml:space="preserve"> Dit maakt de personele houdbaarheid van de sector zorg en welzijn één van de belangrijkste uitdagingen waar we collectief voor staan.</w:t>
      </w:r>
      <w:r w:rsidRPr="49A4F9FE">
        <w:rPr>
          <w:rFonts w:eastAsia="Verdana" w:cs="Verdana"/>
        </w:rPr>
        <w:t xml:space="preserve"> </w:t>
      </w:r>
    </w:p>
    <w:bookmarkEnd w:id="1"/>
    <w:p w:rsidRPr="00923DB8" w:rsidR="3C668A44" w:rsidP="006D59D6" w:rsidRDefault="3C668A44" w14:paraId="4CA77EC9" w14:textId="77777777">
      <w:pPr>
        <w:suppressAutoHyphens/>
        <w:spacing w:line="276" w:lineRule="auto"/>
        <w:rPr>
          <w:rFonts w:eastAsia="Verdana" w:cs="Verdana"/>
        </w:rPr>
      </w:pPr>
    </w:p>
    <w:p w:rsidR="00B46797" w:rsidP="006D59D6" w:rsidRDefault="00082ACE" w14:paraId="50B7B80A" w14:textId="77777777">
      <w:pPr>
        <w:suppressAutoHyphens/>
        <w:spacing w:line="276" w:lineRule="auto"/>
        <w:rPr>
          <w:rFonts w:eastAsia="Verdana" w:cs="Verdana"/>
        </w:rPr>
      </w:pPr>
      <w:r w:rsidRPr="00923DB8">
        <w:rPr>
          <w:rFonts w:eastAsia="Verdana" w:cs="Verdana"/>
        </w:rPr>
        <w:t>Met de ondertekening van</w:t>
      </w:r>
      <w:r w:rsidRPr="00923DB8" w:rsidR="1CB4567D">
        <w:rPr>
          <w:rFonts w:eastAsia="Verdana" w:cs="Verdana"/>
        </w:rPr>
        <w:t xml:space="preserve"> het </w:t>
      </w:r>
      <w:r w:rsidR="00651779">
        <w:rPr>
          <w:rFonts w:eastAsia="Verdana" w:cs="Verdana"/>
        </w:rPr>
        <w:t xml:space="preserve">Integraal Zorgakkoord (IZA), het </w:t>
      </w:r>
      <w:r w:rsidRPr="00923DB8" w:rsidR="1CB4567D">
        <w:rPr>
          <w:rFonts w:eastAsia="Verdana" w:cs="Verdana"/>
        </w:rPr>
        <w:t xml:space="preserve">Aanvullend Zorg- en Welzijnsakkoord (AZWA) en het Hoofdlijnenakkoord </w:t>
      </w:r>
      <w:r w:rsidRPr="00923DB8" w:rsidR="56A591A7">
        <w:rPr>
          <w:rFonts w:eastAsia="Verdana" w:cs="Verdana"/>
        </w:rPr>
        <w:t xml:space="preserve">Ouderenzorg </w:t>
      </w:r>
      <w:r w:rsidR="00923DB8">
        <w:rPr>
          <w:rFonts w:eastAsia="Verdana" w:cs="Verdana"/>
        </w:rPr>
        <w:t xml:space="preserve">(HLO) </w:t>
      </w:r>
      <w:r w:rsidRPr="00923DB8" w:rsidR="56A591A7">
        <w:rPr>
          <w:rFonts w:eastAsia="Verdana" w:cs="Verdana"/>
        </w:rPr>
        <w:t xml:space="preserve">hebben mijn </w:t>
      </w:r>
      <w:r w:rsidR="00323EAF">
        <w:rPr>
          <w:rFonts w:eastAsia="Verdana" w:cs="Verdana"/>
        </w:rPr>
        <w:t>ambts</w:t>
      </w:r>
      <w:r w:rsidRPr="00923DB8" w:rsidR="56A591A7">
        <w:rPr>
          <w:rFonts w:eastAsia="Verdana" w:cs="Verdana"/>
        </w:rPr>
        <w:t>voorgangers de eerste stappen gezet om</w:t>
      </w:r>
      <w:r w:rsidR="007A7CBC">
        <w:rPr>
          <w:rFonts w:eastAsia="Verdana" w:cs="Verdana"/>
        </w:rPr>
        <w:t xml:space="preserve"> de houdbaarheid en toegankelijkheid </w:t>
      </w:r>
      <w:r w:rsidR="00860698">
        <w:rPr>
          <w:rFonts w:eastAsia="Verdana" w:cs="Verdana"/>
        </w:rPr>
        <w:t xml:space="preserve">van zorg en welzijn </w:t>
      </w:r>
      <w:r w:rsidR="007A7CBC">
        <w:rPr>
          <w:rFonts w:eastAsia="Verdana" w:cs="Verdana"/>
        </w:rPr>
        <w:t>te waarborgen</w:t>
      </w:r>
      <w:r w:rsidR="00923DB8">
        <w:rPr>
          <w:rFonts w:eastAsia="Verdana" w:cs="Verdana"/>
        </w:rPr>
        <w:t xml:space="preserve">. Er zijn </w:t>
      </w:r>
      <w:r w:rsidR="00651779">
        <w:rPr>
          <w:rFonts w:eastAsia="Verdana" w:cs="Verdana"/>
        </w:rPr>
        <w:t xml:space="preserve">in het AZWA en HLO </w:t>
      </w:r>
      <w:r w:rsidR="00923DB8">
        <w:rPr>
          <w:rFonts w:eastAsia="Verdana" w:cs="Verdana"/>
        </w:rPr>
        <w:t xml:space="preserve">afspraken gemaakt die eraan moeten bijdragen dat het stijgende arbeidsmarkttekort </w:t>
      </w:r>
      <w:r w:rsidRPr="00923DB8" w:rsidR="00923DB8">
        <w:rPr>
          <w:rFonts w:eastAsia="Verdana" w:cs="Verdana"/>
        </w:rPr>
        <w:t xml:space="preserve">met 100.000 personen lager </w:t>
      </w:r>
      <w:r w:rsidR="00923DB8">
        <w:rPr>
          <w:rFonts w:eastAsia="Verdana" w:cs="Verdana"/>
        </w:rPr>
        <w:t>uitkomt dan anders het geval zou zijn geweest.</w:t>
      </w:r>
      <w:r w:rsidR="007366D4">
        <w:rPr>
          <w:rFonts w:eastAsia="Verdana" w:cs="Verdana"/>
        </w:rPr>
        <w:t xml:space="preserve"> </w:t>
      </w:r>
      <w:r w:rsidR="00FD55B8">
        <w:rPr>
          <w:rFonts w:eastAsia="Verdana" w:cs="Verdana"/>
        </w:rPr>
        <w:t xml:space="preserve">Zo zijn er afspraken gemaakt </w:t>
      </w:r>
      <w:r w:rsidR="00A1655B">
        <w:rPr>
          <w:rFonts w:eastAsia="Verdana" w:cs="Verdana"/>
        </w:rPr>
        <w:t>om de</w:t>
      </w:r>
      <w:r w:rsidR="00B03B65">
        <w:rPr>
          <w:rFonts w:eastAsia="Verdana" w:cs="Verdana"/>
        </w:rPr>
        <w:t xml:space="preserve"> groei van de</w:t>
      </w:r>
      <w:r w:rsidR="00A1655B">
        <w:rPr>
          <w:rFonts w:eastAsia="Verdana" w:cs="Verdana"/>
        </w:rPr>
        <w:t xml:space="preserve"> </w:t>
      </w:r>
      <w:r w:rsidR="007366D4">
        <w:rPr>
          <w:rFonts w:eastAsia="Verdana" w:cs="Verdana"/>
        </w:rPr>
        <w:t xml:space="preserve">zorgvraag </w:t>
      </w:r>
      <w:r w:rsidR="00B03B65">
        <w:rPr>
          <w:rFonts w:eastAsia="Verdana" w:cs="Verdana"/>
        </w:rPr>
        <w:t xml:space="preserve">─ </w:t>
      </w:r>
      <w:r w:rsidR="007366D4">
        <w:rPr>
          <w:rFonts w:eastAsia="Verdana" w:cs="Verdana"/>
        </w:rPr>
        <w:t>en daarmee de vraag naar arbeid</w:t>
      </w:r>
      <w:r w:rsidR="00B03B65">
        <w:rPr>
          <w:rFonts w:eastAsia="Verdana" w:cs="Verdana"/>
        </w:rPr>
        <w:t xml:space="preserve"> ─ af te remmen</w:t>
      </w:r>
      <w:r w:rsidR="007366D4">
        <w:rPr>
          <w:rFonts w:eastAsia="Verdana" w:cs="Verdana"/>
        </w:rPr>
        <w:t>, onder meer door passende zorg de norm te maken en de beweging van zorg naar gezondheid</w:t>
      </w:r>
      <w:r w:rsidR="00A1655B">
        <w:rPr>
          <w:rFonts w:eastAsia="Verdana" w:cs="Verdana"/>
        </w:rPr>
        <w:t xml:space="preserve"> te</w:t>
      </w:r>
      <w:r w:rsidR="000E00EB">
        <w:rPr>
          <w:rFonts w:eastAsia="Verdana" w:cs="Verdana"/>
        </w:rPr>
        <w:t xml:space="preserve"> versterken</w:t>
      </w:r>
      <w:r w:rsidR="007366D4">
        <w:rPr>
          <w:rFonts w:eastAsia="Verdana" w:cs="Verdana"/>
        </w:rPr>
        <w:t>.</w:t>
      </w:r>
      <w:r w:rsidR="00A1655B">
        <w:rPr>
          <w:rFonts w:eastAsia="Verdana" w:cs="Verdana"/>
        </w:rPr>
        <w:t xml:space="preserve"> Aan de aanbodzijde richten de afspraken zich op het verlagen van de administratieve lasten, de inzet van arbeidsbesparende technologie en het opleiden en ontwikkelen van personeel daar waar de tekorten het grootst zijn.</w:t>
      </w:r>
      <w:r w:rsidR="007366D4">
        <w:rPr>
          <w:rFonts w:eastAsia="Verdana" w:cs="Verdana"/>
        </w:rPr>
        <w:t xml:space="preserve"> </w:t>
      </w:r>
      <w:r>
        <w:rPr>
          <w:rFonts w:eastAsia="Verdana" w:cs="Verdana"/>
        </w:rPr>
        <w:t xml:space="preserve">Hierdoor krijgen professionals meer tijd en ruimte om te doen waar ze goed in zijn: de beste zorg en ondersteuning geven aan wie dat nodig heeft. </w:t>
      </w:r>
      <w:r w:rsidR="00860698">
        <w:rPr>
          <w:rFonts w:eastAsia="Verdana" w:cs="Verdana"/>
        </w:rPr>
        <w:t>En dat is belangrijk voor ons allemaal.</w:t>
      </w:r>
    </w:p>
    <w:p w:rsidR="00B46797" w:rsidP="006D59D6" w:rsidRDefault="00B46797" w14:paraId="331C3B5D" w14:textId="77777777">
      <w:pPr>
        <w:suppressAutoHyphens/>
        <w:spacing w:line="276" w:lineRule="auto"/>
        <w:rPr>
          <w:rFonts w:eastAsia="Verdana" w:cs="Verdana"/>
        </w:rPr>
      </w:pPr>
    </w:p>
    <w:p w:rsidR="001126E7" w:rsidP="006D59D6" w:rsidRDefault="00082ACE" w14:paraId="5D1E2F8E" w14:textId="77777777">
      <w:pPr>
        <w:suppressAutoHyphens/>
        <w:spacing w:line="276" w:lineRule="auto"/>
        <w:rPr>
          <w:rFonts w:eastAsia="Verdana" w:cs="Verdana"/>
        </w:rPr>
      </w:pPr>
      <w:r>
        <w:rPr>
          <w:rFonts w:eastAsia="Verdana" w:cs="Verdana"/>
        </w:rPr>
        <w:t>De</w:t>
      </w:r>
      <w:r w:rsidR="00923DB8">
        <w:rPr>
          <w:rFonts w:eastAsia="Verdana" w:cs="Verdana"/>
        </w:rPr>
        <w:t xml:space="preserve"> ambities die in het Coalitieakkoord staan beschreven sluiten hier naadloos op aan. </w:t>
      </w:r>
      <w:r w:rsidR="006562C1">
        <w:rPr>
          <w:rFonts w:eastAsia="Verdana" w:cs="Verdana"/>
        </w:rPr>
        <w:t xml:space="preserve">Ik </w:t>
      </w:r>
      <w:r>
        <w:rPr>
          <w:rFonts w:eastAsia="Verdana" w:cs="Verdana"/>
        </w:rPr>
        <w:t>zal mij daarom de komende tijd</w:t>
      </w:r>
      <w:r w:rsidR="00B46797">
        <w:rPr>
          <w:rFonts w:eastAsia="Verdana" w:cs="Verdana"/>
        </w:rPr>
        <w:t xml:space="preserve"> </w:t>
      </w:r>
      <w:r w:rsidR="00A1655B">
        <w:rPr>
          <w:rFonts w:eastAsia="Verdana" w:cs="Verdana"/>
        </w:rPr>
        <w:t>in samenwerking met de betrokken partijen</w:t>
      </w:r>
      <w:r>
        <w:rPr>
          <w:rFonts w:eastAsia="Verdana" w:cs="Verdana"/>
        </w:rPr>
        <w:t xml:space="preserve"> richten op het uitvoeren van deze afsprak</w:t>
      </w:r>
      <w:r w:rsidR="00B46797">
        <w:rPr>
          <w:rFonts w:eastAsia="Verdana" w:cs="Verdana"/>
        </w:rPr>
        <w:t>en, die aan de basis staan van het arbeidsmarktbeleid in zorg en welzijn van dit kabinet.</w:t>
      </w:r>
      <w:r w:rsidR="00B03B65">
        <w:rPr>
          <w:rFonts w:eastAsia="Verdana" w:cs="Verdana"/>
        </w:rPr>
        <w:t xml:space="preserve"> </w:t>
      </w:r>
      <w:r>
        <w:rPr>
          <w:rFonts w:eastAsia="Verdana" w:cs="Verdana"/>
        </w:rPr>
        <w:t xml:space="preserve">De huidige brief dient te worden gelezen als aanvulling op de onderstaande brieven die (op onderdelen) deel uitmaken van het brede arbeidsmarktbeleid in zorg en welzijn: </w:t>
      </w:r>
    </w:p>
    <w:p w:rsidRPr="00E53AEE" w:rsidR="000310E4" w:rsidP="006D59D6" w:rsidRDefault="00082ACE" w14:paraId="6A135371" w14:textId="77777777">
      <w:pPr>
        <w:pStyle w:val="Lijstalinea"/>
        <w:numPr>
          <w:ilvl w:val="0"/>
          <w:numId w:val="23"/>
        </w:numPr>
        <w:suppressAutoHyphens/>
        <w:spacing w:line="276" w:lineRule="auto"/>
        <w:rPr>
          <w:rFonts w:eastAsia="Verdana" w:cs="Verdana"/>
          <w:color w:val="auto"/>
        </w:rPr>
      </w:pPr>
      <w:r w:rsidRPr="00E53AEE">
        <w:rPr>
          <w:color w:val="auto"/>
        </w:rPr>
        <w:lastRenderedPageBreak/>
        <w:t xml:space="preserve">Kamerbrief </w:t>
      </w:r>
      <w:r w:rsidRPr="00E53AEE" w:rsidR="00CC3DC2">
        <w:rPr>
          <w:color w:val="auto"/>
        </w:rPr>
        <w:t>over de ontwikkelingen binnen de Wet BIG</w:t>
      </w:r>
      <w:r w:rsidRPr="00E53AEE">
        <w:rPr>
          <w:color w:val="auto"/>
        </w:rPr>
        <w:t xml:space="preserve"> (op 25 november jl. verzonden)</w:t>
      </w:r>
      <w:r>
        <w:rPr>
          <w:rStyle w:val="Voetnootmarkering"/>
          <w:color w:val="auto"/>
        </w:rPr>
        <w:footnoteReference w:id="2"/>
      </w:r>
      <w:r w:rsidRPr="00E53AEE" w:rsidR="00AB0484">
        <w:rPr>
          <w:color w:val="auto"/>
        </w:rPr>
        <w:t>;</w:t>
      </w:r>
    </w:p>
    <w:p w:rsidR="001126E7" w:rsidP="006D59D6" w:rsidRDefault="00082ACE" w14:paraId="027515BC" w14:textId="77777777">
      <w:pPr>
        <w:pStyle w:val="Lijstalinea"/>
        <w:numPr>
          <w:ilvl w:val="0"/>
          <w:numId w:val="23"/>
        </w:numPr>
        <w:suppressAutoHyphens/>
        <w:spacing w:line="276" w:lineRule="auto"/>
        <w:rPr>
          <w:rFonts w:eastAsia="Verdana" w:cs="Verdana"/>
        </w:rPr>
      </w:pPr>
      <w:r>
        <w:rPr>
          <w:rFonts w:eastAsia="Verdana" w:cs="Verdana"/>
        </w:rPr>
        <w:t xml:space="preserve">Kamerbrief over </w:t>
      </w:r>
      <w:r w:rsidR="00CC3DC2">
        <w:rPr>
          <w:rFonts w:eastAsia="Verdana" w:cs="Verdana"/>
        </w:rPr>
        <w:t>i</w:t>
      </w:r>
      <w:r w:rsidRPr="001126E7">
        <w:rPr>
          <w:rFonts w:eastAsia="Verdana" w:cs="Verdana"/>
        </w:rPr>
        <w:t>nnovatie in de beroepsuitoefening</w:t>
      </w:r>
      <w:r>
        <w:rPr>
          <w:rFonts w:eastAsia="Verdana" w:cs="Verdana"/>
        </w:rPr>
        <w:t xml:space="preserve"> (op 9 december jl. verzonden)</w:t>
      </w:r>
      <w:r>
        <w:rPr>
          <w:rStyle w:val="Voetnootmarkering"/>
          <w:rFonts w:eastAsia="Verdana" w:cs="Verdana"/>
        </w:rPr>
        <w:footnoteReference w:id="3"/>
      </w:r>
      <w:r w:rsidR="007B6569">
        <w:rPr>
          <w:rFonts w:eastAsia="Verdana" w:cs="Verdana"/>
        </w:rPr>
        <w:t>;</w:t>
      </w:r>
    </w:p>
    <w:p w:rsidR="001126E7" w:rsidP="006D59D6" w:rsidRDefault="00082ACE" w14:paraId="60CF6E30" w14:textId="77777777">
      <w:pPr>
        <w:pStyle w:val="Lijstalinea"/>
        <w:numPr>
          <w:ilvl w:val="0"/>
          <w:numId w:val="23"/>
        </w:numPr>
        <w:suppressAutoHyphens/>
        <w:spacing w:line="276" w:lineRule="auto"/>
        <w:rPr>
          <w:rFonts w:eastAsia="Verdana" w:cs="Verdana"/>
        </w:rPr>
      </w:pPr>
      <w:r>
        <w:rPr>
          <w:rFonts w:eastAsia="Verdana" w:cs="Verdana"/>
        </w:rPr>
        <w:t xml:space="preserve">Kamerbrief over </w:t>
      </w:r>
      <w:r w:rsidR="00CC3DC2">
        <w:rPr>
          <w:rFonts w:eastAsia="Verdana" w:cs="Verdana"/>
        </w:rPr>
        <w:t>z</w:t>
      </w:r>
      <w:r>
        <w:rPr>
          <w:rFonts w:eastAsia="Verdana" w:cs="Verdana"/>
        </w:rPr>
        <w:t>eggenschap (op 26 januari jl. verzonden)</w:t>
      </w:r>
      <w:r>
        <w:rPr>
          <w:rStyle w:val="Voetnootmarkering"/>
          <w:rFonts w:eastAsia="Verdana" w:cs="Verdana"/>
        </w:rPr>
        <w:footnoteReference w:id="4"/>
      </w:r>
      <w:r w:rsidR="007B6569">
        <w:rPr>
          <w:rFonts w:eastAsia="Verdana" w:cs="Verdana"/>
        </w:rPr>
        <w:t>;</w:t>
      </w:r>
    </w:p>
    <w:p w:rsidR="00D73355" w:rsidP="006D59D6" w:rsidRDefault="00082ACE" w14:paraId="10C31DAE" w14:textId="77777777">
      <w:pPr>
        <w:pStyle w:val="Lijstalinea"/>
        <w:numPr>
          <w:ilvl w:val="0"/>
          <w:numId w:val="23"/>
        </w:numPr>
        <w:suppressAutoHyphens/>
        <w:spacing w:line="276" w:lineRule="auto"/>
        <w:rPr>
          <w:rFonts w:eastAsia="Verdana" w:cs="Verdana"/>
        </w:rPr>
      </w:pPr>
      <w:r>
        <w:rPr>
          <w:rFonts w:eastAsia="Verdana" w:cs="Verdana"/>
        </w:rPr>
        <w:t xml:space="preserve">Kamerbrief met </w:t>
      </w:r>
      <w:r w:rsidRPr="00D73355">
        <w:rPr>
          <w:rFonts w:eastAsia="Verdana" w:cs="Verdana"/>
        </w:rPr>
        <w:t xml:space="preserve">Plan van aanpak Regiegroep Aanpak Regeldruk en </w:t>
      </w:r>
      <w:r w:rsidRPr="00D73355">
        <w:rPr>
          <w:rFonts w:eastAsia="Verdana" w:cs="Verdana"/>
        </w:rPr>
        <w:t>werkagenda's</w:t>
      </w:r>
      <w:r>
        <w:rPr>
          <w:rFonts w:eastAsia="Verdana" w:cs="Verdana"/>
        </w:rPr>
        <w:t xml:space="preserve"> (op 3 februari jl. verzonden)</w:t>
      </w:r>
      <w:r>
        <w:rPr>
          <w:rStyle w:val="Voetnootmarkering"/>
          <w:rFonts w:eastAsia="Verdana" w:cs="Verdana"/>
        </w:rPr>
        <w:footnoteReference w:id="5"/>
      </w:r>
      <w:r>
        <w:rPr>
          <w:rFonts w:eastAsia="Verdana" w:cs="Verdana"/>
        </w:rPr>
        <w:t>;</w:t>
      </w:r>
    </w:p>
    <w:p w:rsidR="0021019D" w:rsidP="006D59D6" w:rsidRDefault="00082ACE" w14:paraId="28565874" w14:textId="77777777">
      <w:pPr>
        <w:pStyle w:val="Lijstalinea"/>
        <w:numPr>
          <w:ilvl w:val="0"/>
          <w:numId w:val="23"/>
        </w:numPr>
        <w:suppressAutoHyphens/>
        <w:spacing w:line="276" w:lineRule="auto"/>
        <w:rPr>
          <w:rFonts w:eastAsia="Verdana" w:cs="Verdana"/>
        </w:rPr>
      </w:pPr>
      <w:r>
        <w:rPr>
          <w:rFonts w:eastAsia="Verdana" w:cs="Verdana"/>
        </w:rPr>
        <w:t xml:space="preserve">Kamerbrief </w:t>
      </w:r>
      <w:r w:rsidR="000E1A06">
        <w:rPr>
          <w:rFonts w:eastAsia="Verdana" w:cs="Verdana"/>
        </w:rPr>
        <w:t>over de voortgang van het IZA/AZWA (op 9 april jl. verzonden)</w:t>
      </w:r>
      <w:r>
        <w:rPr>
          <w:rStyle w:val="Voetnootmarkering"/>
          <w:rFonts w:eastAsia="Verdana" w:cs="Verdana"/>
        </w:rPr>
        <w:footnoteReference w:id="6"/>
      </w:r>
      <w:r w:rsidR="000E1A06">
        <w:rPr>
          <w:rFonts w:eastAsia="Verdana" w:cs="Verdana"/>
        </w:rPr>
        <w:t>;</w:t>
      </w:r>
    </w:p>
    <w:p w:rsidR="007B6569" w:rsidP="006D59D6" w:rsidRDefault="00082ACE" w14:paraId="138C357B" w14:textId="77777777">
      <w:pPr>
        <w:pStyle w:val="Lijstalinea"/>
        <w:numPr>
          <w:ilvl w:val="0"/>
          <w:numId w:val="23"/>
        </w:numPr>
        <w:suppressAutoHyphens/>
        <w:spacing w:line="276" w:lineRule="auto"/>
        <w:rPr>
          <w:rFonts w:eastAsia="Verdana" w:cs="Verdana"/>
        </w:rPr>
      </w:pPr>
      <w:r>
        <w:rPr>
          <w:rFonts w:eastAsia="Verdana" w:cs="Verdana"/>
        </w:rPr>
        <w:t xml:space="preserve">Kamerbrief met de Kabinetsreactie op het Capaciteitsplan 2027-2030 (op </w:t>
      </w:r>
      <w:r w:rsidRPr="00CD2BD4" w:rsidR="00DC40C5">
        <w:rPr>
          <w:rFonts w:eastAsia="Verdana" w:cs="Verdana"/>
        </w:rPr>
        <w:t>22 mei jl.</w:t>
      </w:r>
      <w:r>
        <w:rPr>
          <w:rFonts w:eastAsia="Verdana" w:cs="Verdana"/>
        </w:rPr>
        <w:t xml:space="preserve"> verzonden)</w:t>
      </w:r>
      <w:r>
        <w:rPr>
          <w:rStyle w:val="Voetnootmarkering"/>
          <w:rFonts w:eastAsia="Verdana" w:cs="Verdana"/>
        </w:rPr>
        <w:footnoteReference w:id="7"/>
      </w:r>
      <w:r>
        <w:rPr>
          <w:rFonts w:eastAsia="Verdana" w:cs="Verdana"/>
        </w:rPr>
        <w:t>;</w:t>
      </w:r>
    </w:p>
    <w:p w:rsidR="00CC3DC2" w:rsidP="006D59D6" w:rsidRDefault="00082ACE" w14:paraId="04EC7346" w14:textId="77777777">
      <w:pPr>
        <w:pStyle w:val="Lijstalinea"/>
        <w:numPr>
          <w:ilvl w:val="0"/>
          <w:numId w:val="23"/>
        </w:numPr>
        <w:suppressAutoHyphens/>
        <w:spacing w:line="276" w:lineRule="auto"/>
        <w:rPr>
          <w:rFonts w:eastAsia="Verdana" w:cs="Verdana"/>
        </w:rPr>
      </w:pPr>
      <w:r>
        <w:rPr>
          <w:rFonts w:eastAsia="Verdana" w:cs="Verdana"/>
        </w:rPr>
        <w:t xml:space="preserve">Kamerbrief over de </w:t>
      </w:r>
      <w:r w:rsidR="004C5C70">
        <w:rPr>
          <w:rFonts w:eastAsia="Verdana" w:cs="Verdana"/>
        </w:rPr>
        <w:t xml:space="preserve">in het AZWA beschikbaar gestelde </w:t>
      </w:r>
      <w:r>
        <w:rPr>
          <w:rFonts w:eastAsia="Verdana" w:cs="Verdana"/>
        </w:rPr>
        <w:t xml:space="preserve">doorbraakmiddelen (op </w:t>
      </w:r>
      <w:r w:rsidRPr="00542C56" w:rsidR="00C0126B">
        <w:rPr>
          <w:rFonts w:eastAsia="Verdana" w:cs="Verdana"/>
        </w:rPr>
        <w:t>28 mei jl.</w:t>
      </w:r>
      <w:r>
        <w:rPr>
          <w:rFonts w:eastAsia="Verdana" w:cs="Verdana"/>
        </w:rPr>
        <w:t xml:space="preserve"> verzonden)</w:t>
      </w:r>
      <w:r>
        <w:rPr>
          <w:rStyle w:val="Voetnootmarkering"/>
          <w:rFonts w:eastAsia="Verdana" w:cs="Verdana"/>
        </w:rPr>
        <w:footnoteReference w:id="8"/>
      </w:r>
      <w:r w:rsidR="00AB0484">
        <w:rPr>
          <w:rFonts w:eastAsia="Verdana" w:cs="Verdana"/>
        </w:rPr>
        <w:t>;</w:t>
      </w:r>
    </w:p>
    <w:p w:rsidR="001126E7" w:rsidP="006D59D6" w:rsidRDefault="00082ACE" w14:paraId="7E0EF1C2" w14:textId="77777777">
      <w:pPr>
        <w:pStyle w:val="Lijstalinea"/>
        <w:numPr>
          <w:ilvl w:val="0"/>
          <w:numId w:val="23"/>
        </w:numPr>
        <w:suppressAutoHyphens/>
        <w:spacing w:line="276" w:lineRule="auto"/>
        <w:rPr>
          <w:rFonts w:eastAsia="Verdana" w:cs="Verdana"/>
        </w:rPr>
      </w:pPr>
      <w:r>
        <w:rPr>
          <w:rFonts w:eastAsia="Verdana" w:cs="Verdana"/>
        </w:rPr>
        <w:t xml:space="preserve">Kamerbrief over de voortgang </w:t>
      </w:r>
      <w:r w:rsidR="000E1A06">
        <w:rPr>
          <w:rFonts w:eastAsia="Verdana" w:cs="Verdana"/>
        </w:rPr>
        <w:t>van</w:t>
      </w:r>
      <w:r>
        <w:rPr>
          <w:rFonts w:eastAsia="Verdana" w:cs="Verdana"/>
        </w:rPr>
        <w:t xml:space="preserve"> het IZA/AZWA</w:t>
      </w:r>
      <w:r w:rsidR="00361394">
        <w:rPr>
          <w:rFonts w:eastAsia="Verdana" w:cs="Verdana"/>
        </w:rPr>
        <w:t xml:space="preserve"> (</w:t>
      </w:r>
      <w:r w:rsidR="007B6569">
        <w:rPr>
          <w:rFonts w:eastAsia="Verdana" w:cs="Verdana"/>
        </w:rPr>
        <w:t>te ontvangen</w:t>
      </w:r>
      <w:r w:rsidR="00361394">
        <w:rPr>
          <w:rFonts w:eastAsia="Verdana" w:cs="Verdana"/>
        </w:rPr>
        <w:t xml:space="preserve"> voorafgaand aan het Commissiedebat IZA/AZWA)</w:t>
      </w:r>
      <w:r w:rsidR="007B6569">
        <w:rPr>
          <w:rFonts w:eastAsia="Verdana" w:cs="Verdana"/>
        </w:rPr>
        <w:t>.</w:t>
      </w:r>
    </w:p>
    <w:p w:rsidR="001126E7" w:rsidP="006D59D6" w:rsidRDefault="001126E7" w14:paraId="1E5D9B8F" w14:textId="77777777">
      <w:pPr>
        <w:suppressAutoHyphens/>
        <w:spacing w:line="276" w:lineRule="auto"/>
        <w:rPr>
          <w:rFonts w:eastAsia="Verdana" w:cs="Verdana"/>
        </w:rPr>
      </w:pPr>
    </w:p>
    <w:p w:rsidR="001E0AE1" w:rsidP="006D59D6" w:rsidRDefault="00082ACE" w14:paraId="08258F00" w14:textId="77777777">
      <w:pPr>
        <w:suppressAutoHyphens/>
        <w:spacing w:line="276" w:lineRule="auto"/>
        <w:rPr>
          <w:rFonts w:eastAsia="Verdana" w:cs="Verdana"/>
        </w:rPr>
      </w:pPr>
      <w:r>
        <w:rPr>
          <w:rFonts w:eastAsia="Verdana" w:cs="Verdana"/>
        </w:rPr>
        <w:t xml:space="preserve">In deze brief zet ik dit </w:t>
      </w:r>
      <w:r w:rsidR="00B46797">
        <w:rPr>
          <w:rFonts w:eastAsia="Verdana" w:cs="Verdana"/>
        </w:rPr>
        <w:t xml:space="preserve">beleid </w:t>
      </w:r>
      <w:r w:rsidR="00FD55B8">
        <w:rPr>
          <w:rFonts w:eastAsia="Verdana" w:cs="Verdana"/>
        </w:rPr>
        <w:t xml:space="preserve">verder </w:t>
      </w:r>
      <w:r>
        <w:rPr>
          <w:rFonts w:eastAsia="Verdana" w:cs="Verdana"/>
        </w:rPr>
        <w:t>uiteen</w:t>
      </w:r>
      <w:r w:rsidR="001721D8">
        <w:rPr>
          <w:rFonts w:eastAsia="Verdana" w:cs="Verdana"/>
        </w:rPr>
        <w:t xml:space="preserve"> </w:t>
      </w:r>
      <w:r w:rsidR="0050694B">
        <w:rPr>
          <w:rFonts w:eastAsia="Verdana" w:cs="Verdana"/>
        </w:rPr>
        <w:t>in drie pijlers en</w:t>
      </w:r>
      <w:r w:rsidR="001721D8">
        <w:rPr>
          <w:rFonts w:eastAsia="Verdana" w:cs="Verdana"/>
        </w:rPr>
        <w:t xml:space="preserve"> breng ik uw Kamer op de hoogte van de status van de lopende beleidsinzet</w:t>
      </w:r>
      <w:r w:rsidR="0050694B">
        <w:rPr>
          <w:rFonts w:eastAsia="Verdana" w:cs="Verdana"/>
        </w:rPr>
        <w:t xml:space="preserve"> binnen deze pijlers</w:t>
      </w:r>
      <w:r w:rsidR="00CB6417">
        <w:rPr>
          <w:rFonts w:eastAsia="Verdana" w:cs="Verdana"/>
        </w:rPr>
        <w:t>.</w:t>
      </w:r>
      <w:r w:rsidR="00FD55B8">
        <w:rPr>
          <w:rFonts w:eastAsia="Verdana" w:cs="Verdana"/>
        </w:rPr>
        <w:t xml:space="preserve"> </w:t>
      </w:r>
      <w:r w:rsidR="0050694B">
        <w:rPr>
          <w:rFonts w:eastAsia="Verdana" w:cs="Verdana"/>
        </w:rPr>
        <w:t xml:space="preserve">De brief bevat tot slot een </w:t>
      </w:r>
      <w:r w:rsidR="00FF346D">
        <w:rPr>
          <w:rFonts w:eastAsia="Verdana" w:cs="Verdana"/>
        </w:rPr>
        <w:t xml:space="preserve">passage over een </w:t>
      </w:r>
      <w:r w:rsidR="0050694B">
        <w:rPr>
          <w:rFonts w:eastAsia="Verdana" w:cs="Verdana"/>
        </w:rPr>
        <w:t>motie en</w:t>
      </w:r>
      <w:r w:rsidR="00DB4A41">
        <w:rPr>
          <w:rFonts w:eastAsia="Verdana" w:cs="Verdana"/>
        </w:rPr>
        <w:t xml:space="preserve"> een</w:t>
      </w:r>
      <w:r w:rsidR="0050694B">
        <w:rPr>
          <w:rFonts w:eastAsia="Verdana" w:cs="Verdana"/>
        </w:rPr>
        <w:t xml:space="preserve"> toezegging die met deze brief worden afgedaan.</w:t>
      </w:r>
    </w:p>
    <w:p w:rsidR="00320FF4" w:rsidP="006D59D6" w:rsidRDefault="00320FF4" w14:paraId="23EBA282" w14:textId="77777777">
      <w:pPr>
        <w:suppressAutoHyphens/>
        <w:spacing w:line="276" w:lineRule="auto"/>
        <w:rPr>
          <w:rFonts w:eastAsia="Verdana" w:cs="Verdana"/>
          <w:b/>
          <w:bCs/>
        </w:rPr>
      </w:pPr>
    </w:p>
    <w:p w:rsidR="38EF0E11" w:rsidP="006D59D6" w:rsidRDefault="00082ACE" w14:paraId="21C60ED9" w14:textId="77777777">
      <w:pPr>
        <w:suppressAutoHyphens/>
        <w:spacing w:line="276" w:lineRule="auto"/>
        <w:rPr>
          <w:rFonts w:eastAsia="Verdana" w:cs="Verdana"/>
          <w:b/>
          <w:bCs/>
        </w:rPr>
      </w:pPr>
      <w:r w:rsidRPr="49A4F9FE">
        <w:rPr>
          <w:rFonts w:eastAsia="Verdana" w:cs="Verdana"/>
          <w:b/>
          <w:bCs/>
        </w:rPr>
        <w:t>Arbeidsmarktbeleid in zorg en welzijn</w:t>
      </w:r>
    </w:p>
    <w:p w:rsidR="38EF0E11" w:rsidP="006D59D6" w:rsidRDefault="00082ACE" w14:paraId="46346875" w14:textId="77777777">
      <w:pPr>
        <w:suppressAutoHyphens/>
        <w:spacing w:line="276" w:lineRule="auto"/>
        <w:rPr>
          <w:color w:val="000000" w:themeColor="text1"/>
        </w:rPr>
      </w:pPr>
      <w:r w:rsidRPr="49A4F9FE">
        <w:t xml:space="preserve">Mensen die in zorg en welzijn werken zijn de ruggengraat van ons zorgstelsel. Daarom vraagt de arbeidsmarktkrapte om andere keuzes in opleiden, inzet en behoud van zorgprofessionals. </w:t>
      </w:r>
      <w:r w:rsidRPr="49A4F9FE">
        <w:rPr>
          <w:rFonts w:eastAsia="Verdana" w:cs="Verdana"/>
        </w:rPr>
        <w:t>Het kabinet gaat hier werk van maken en zet daarbij in op de volgende drie pijlers:</w:t>
      </w:r>
    </w:p>
    <w:p w:rsidR="38EF0E11" w:rsidP="006D59D6" w:rsidRDefault="00082ACE" w14:paraId="6398313C" w14:textId="77777777">
      <w:pPr>
        <w:pStyle w:val="Lijstalinea"/>
        <w:numPr>
          <w:ilvl w:val="0"/>
          <w:numId w:val="9"/>
        </w:numPr>
        <w:suppressAutoHyphens/>
        <w:spacing w:line="276" w:lineRule="auto"/>
        <w:rPr>
          <w:color w:val="000000" w:themeColor="text1"/>
        </w:rPr>
      </w:pPr>
      <w:bookmarkStart w:name="_Hlk228362449" w:id="2"/>
      <w:r w:rsidRPr="49A4F9FE">
        <w:rPr>
          <w:rFonts w:eastAsia="Verdana" w:cs="Verdana"/>
        </w:rPr>
        <w:t>Opleiden en ontwikkelen</w:t>
      </w:r>
    </w:p>
    <w:p w:rsidR="38EF0E11" w:rsidP="006D59D6" w:rsidRDefault="00082ACE" w14:paraId="60A5B7BE" w14:textId="77777777">
      <w:pPr>
        <w:pStyle w:val="Lijstalinea"/>
        <w:numPr>
          <w:ilvl w:val="0"/>
          <w:numId w:val="9"/>
        </w:numPr>
        <w:suppressAutoHyphens/>
        <w:spacing w:line="276" w:lineRule="auto"/>
        <w:rPr>
          <w:color w:val="000000" w:themeColor="text1"/>
        </w:rPr>
      </w:pPr>
      <w:r w:rsidRPr="49A4F9FE">
        <w:rPr>
          <w:rFonts w:eastAsia="Verdana" w:cs="Verdana"/>
        </w:rPr>
        <w:t>Arbeidspotentieel beter benutten</w:t>
      </w:r>
    </w:p>
    <w:p w:rsidR="38EF0E11" w:rsidP="006D59D6" w:rsidRDefault="00082ACE" w14:paraId="5086D1E8" w14:textId="77777777">
      <w:pPr>
        <w:pStyle w:val="Lijstalinea"/>
        <w:numPr>
          <w:ilvl w:val="0"/>
          <w:numId w:val="9"/>
        </w:numPr>
        <w:suppressAutoHyphens/>
        <w:spacing w:line="276" w:lineRule="auto"/>
        <w:rPr>
          <w:color w:val="000000" w:themeColor="text1"/>
        </w:rPr>
      </w:pPr>
      <w:r w:rsidRPr="49A4F9FE">
        <w:rPr>
          <w:rFonts w:eastAsia="Verdana" w:cs="Verdana"/>
        </w:rPr>
        <w:t>Behoud van personeel</w:t>
      </w:r>
    </w:p>
    <w:bookmarkEnd w:id="2"/>
    <w:p w:rsidR="38EF0E11" w:rsidP="006D59D6" w:rsidRDefault="38EF0E11" w14:paraId="5F2FA1F9" w14:textId="77777777">
      <w:pPr>
        <w:suppressAutoHyphens/>
        <w:spacing w:line="276" w:lineRule="auto"/>
        <w:rPr>
          <w:rFonts w:eastAsia="Verdana" w:cs="Verdana"/>
        </w:rPr>
      </w:pPr>
    </w:p>
    <w:p w:rsidRPr="003C5CCF" w:rsidR="38EF0E11" w:rsidP="006D59D6" w:rsidRDefault="00082ACE" w14:paraId="4165AE7D" w14:textId="77777777">
      <w:pPr>
        <w:suppressAutoHyphens/>
        <w:spacing w:line="276" w:lineRule="auto"/>
        <w:rPr>
          <w:i/>
          <w:color w:val="auto"/>
          <w:highlight w:val="yellow"/>
        </w:rPr>
      </w:pPr>
      <w:r w:rsidRPr="003C5CCF">
        <w:rPr>
          <w:rFonts w:eastAsia="Verdana" w:cs="Verdana"/>
          <w:b/>
          <w:i/>
          <w:color w:val="auto"/>
        </w:rPr>
        <w:t>1.</w:t>
      </w:r>
      <w:r w:rsidRPr="003C5CCF" w:rsidR="00A41CBB">
        <w:rPr>
          <w:rFonts w:eastAsia="Verdana" w:cs="Verdana"/>
          <w:b/>
          <w:i/>
          <w:color w:val="auto"/>
        </w:rPr>
        <w:t xml:space="preserve"> </w:t>
      </w:r>
      <w:r w:rsidRPr="003C5CCF">
        <w:rPr>
          <w:rFonts w:eastAsia="Verdana" w:cs="Verdana"/>
          <w:b/>
          <w:i/>
          <w:color w:val="auto"/>
        </w:rPr>
        <w:t>Opleiden en ontwikkelen</w:t>
      </w:r>
    </w:p>
    <w:p w:rsidRPr="009031B6" w:rsidR="0066386B" w:rsidP="006D59D6" w:rsidRDefault="00082ACE" w14:paraId="74E3D3DD" w14:textId="77777777">
      <w:pPr>
        <w:suppressAutoHyphens/>
        <w:spacing w:line="276" w:lineRule="auto"/>
        <w:rPr>
          <w:color w:val="auto"/>
        </w:rPr>
      </w:pPr>
      <w:r w:rsidRPr="009031B6">
        <w:rPr>
          <w:color w:val="auto"/>
        </w:rPr>
        <w:t>Voldoende en goed opgeleid personeel in zorg en welzijn is van groot belang.</w:t>
      </w:r>
      <w:r w:rsidRPr="009031B6" w:rsidR="004851C1">
        <w:rPr>
          <w:color w:val="auto"/>
        </w:rPr>
        <w:br/>
      </w:r>
      <w:r w:rsidRPr="009031B6">
        <w:rPr>
          <w:color w:val="auto"/>
        </w:rPr>
        <w:t>De initiële mbo-, hbo- of wo-opleidingen</w:t>
      </w:r>
      <w:r w:rsidR="00337F9E">
        <w:rPr>
          <w:color w:val="auto"/>
        </w:rPr>
        <w:t xml:space="preserve"> </w:t>
      </w:r>
      <w:r w:rsidRPr="009031B6">
        <w:rPr>
          <w:color w:val="auto"/>
        </w:rPr>
        <w:t>die mensen volgen voordat zij de arbeidsmarkt in</w:t>
      </w:r>
      <w:r w:rsidR="00337F9E">
        <w:rPr>
          <w:color w:val="auto"/>
        </w:rPr>
        <w:t xml:space="preserve"> </w:t>
      </w:r>
      <w:r w:rsidRPr="009031B6">
        <w:rPr>
          <w:color w:val="auto"/>
        </w:rPr>
        <w:t>zorg en welzijn</w:t>
      </w:r>
      <w:r w:rsidR="00337F9E">
        <w:rPr>
          <w:color w:val="auto"/>
        </w:rPr>
        <w:t xml:space="preserve"> </w:t>
      </w:r>
      <w:r w:rsidRPr="009031B6">
        <w:rPr>
          <w:color w:val="auto"/>
        </w:rPr>
        <w:t>betreden, vallen onder de verantwoordelijkheid van de</w:t>
      </w:r>
      <w:r w:rsidR="00337F9E">
        <w:rPr>
          <w:color w:val="auto"/>
        </w:rPr>
        <w:t xml:space="preserve"> </w:t>
      </w:r>
      <w:r w:rsidRPr="009031B6">
        <w:rPr>
          <w:color w:val="auto"/>
        </w:rPr>
        <w:t>minister van OCW.</w:t>
      </w:r>
      <w:r w:rsidRPr="009031B6" w:rsidR="004142C9">
        <w:rPr>
          <w:color w:val="auto"/>
        </w:rPr>
        <w:t xml:space="preserve"> </w:t>
      </w:r>
      <w:r w:rsidRPr="009031B6">
        <w:rPr>
          <w:color w:val="auto"/>
        </w:rPr>
        <w:t>Werkgevers</w:t>
      </w:r>
      <w:r w:rsidR="00337F9E">
        <w:rPr>
          <w:color w:val="auto"/>
        </w:rPr>
        <w:t xml:space="preserve"> </w:t>
      </w:r>
      <w:r w:rsidRPr="009031B6">
        <w:rPr>
          <w:color w:val="auto"/>
        </w:rPr>
        <w:t>in zorg en welzijn</w:t>
      </w:r>
      <w:r w:rsidR="00337F9E">
        <w:rPr>
          <w:color w:val="auto"/>
        </w:rPr>
        <w:t xml:space="preserve"> </w:t>
      </w:r>
      <w:r w:rsidRPr="009031B6">
        <w:rPr>
          <w:color w:val="auto"/>
        </w:rPr>
        <w:t>investeren</w:t>
      </w:r>
      <w:r w:rsidR="00337F9E">
        <w:rPr>
          <w:color w:val="auto"/>
        </w:rPr>
        <w:t xml:space="preserve"> </w:t>
      </w:r>
      <w:r w:rsidRPr="009031B6">
        <w:rPr>
          <w:color w:val="auto"/>
        </w:rPr>
        <w:t>in</w:t>
      </w:r>
      <w:r w:rsidRPr="009031B6" w:rsidR="004142C9">
        <w:rPr>
          <w:color w:val="auto"/>
        </w:rPr>
        <w:t xml:space="preserve"> opleiding en scholing</w:t>
      </w:r>
      <w:r w:rsidR="00337F9E">
        <w:rPr>
          <w:color w:val="auto"/>
        </w:rPr>
        <w:t xml:space="preserve"> </w:t>
      </w:r>
      <w:r w:rsidRPr="009031B6">
        <w:rPr>
          <w:color w:val="auto"/>
        </w:rPr>
        <w:t>van hun medewerkers</w:t>
      </w:r>
      <w:r w:rsidR="00337F9E">
        <w:rPr>
          <w:color w:val="auto"/>
        </w:rPr>
        <w:t xml:space="preserve"> </w:t>
      </w:r>
      <w:r w:rsidRPr="009031B6">
        <w:rPr>
          <w:color w:val="auto"/>
        </w:rPr>
        <w:t>via inkomsten</w:t>
      </w:r>
      <w:r w:rsidR="00337F9E">
        <w:rPr>
          <w:color w:val="auto"/>
        </w:rPr>
        <w:t xml:space="preserve"> </w:t>
      </w:r>
      <w:r w:rsidRPr="009031B6">
        <w:rPr>
          <w:color w:val="auto"/>
        </w:rPr>
        <w:t>uit</w:t>
      </w:r>
      <w:r w:rsidR="00337F9E">
        <w:rPr>
          <w:color w:val="auto"/>
        </w:rPr>
        <w:t xml:space="preserve"> </w:t>
      </w:r>
      <w:r w:rsidRPr="009031B6">
        <w:rPr>
          <w:color w:val="auto"/>
        </w:rPr>
        <w:t>de zorginkoop.</w:t>
      </w:r>
      <w:r w:rsidR="00337F9E">
        <w:rPr>
          <w:color w:val="auto"/>
        </w:rPr>
        <w:t xml:space="preserve"> </w:t>
      </w:r>
      <w:r w:rsidRPr="009031B6">
        <w:rPr>
          <w:color w:val="auto"/>
        </w:rPr>
        <w:t>Daar waar er sprake is van</w:t>
      </w:r>
      <w:r w:rsidR="00337F9E">
        <w:rPr>
          <w:color w:val="auto"/>
        </w:rPr>
        <w:t xml:space="preserve"> </w:t>
      </w:r>
      <w:r w:rsidRPr="009031B6">
        <w:rPr>
          <w:color w:val="auto"/>
        </w:rPr>
        <w:t>marktfalen, pak</w:t>
      </w:r>
      <w:r w:rsidR="00337F9E">
        <w:rPr>
          <w:color w:val="auto"/>
        </w:rPr>
        <w:t xml:space="preserve"> </w:t>
      </w:r>
      <w:r w:rsidRPr="009031B6">
        <w:rPr>
          <w:color w:val="auto"/>
        </w:rPr>
        <w:t>ik als minister van</w:t>
      </w:r>
      <w:r w:rsidR="00337F9E">
        <w:rPr>
          <w:color w:val="auto"/>
        </w:rPr>
        <w:t xml:space="preserve"> </w:t>
      </w:r>
      <w:r w:rsidR="00C21DCE">
        <w:rPr>
          <w:color w:val="auto"/>
        </w:rPr>
        <w:t xml:space="preserve">LJS </w:t>
      </w:r>
      <w:r w:rsidRPr="009031B6">
        <w:rPr>
          <w:color w:val="auto"/>
        </w:rPr>
        <w:t>mijn</w:t>
      </w:r>
      <w:r w:rsidR="00856AB1">
        <w:rPr>
          <w:color w:val="auto"/>
        </w:rPr>
        <w:t xml:space="preserve"> r</w:t>
      </w:r>
      <w:r w:rsidRPr="009031B6">
        <w:rPr>
          <w:color w:val="auto"/>
        </w:rPr>
        <w:t>ol op.</w:t>
      </w:r>
      <w:r w:rsidRPr="009031B6" w:rsidR="004142C9">
        <w:rPr>
          <w:color w:val="auto"/>
        </w:rPr>
        <w:br/>
      </w:r>
      <w:r w:rsidRPr="009031B6" w:rsidR="004142C9">
        <w:rPr>
          <w:color w:val="auto"/>
        </w:rPr>
        <w:br/>
      </w:r>
      <w:r w:rsidRPr="009031B6" w:rsidR="00101A28">
        <w:rPr>
          <w:color w:val="auto"/>
        </w:rPr>
        <w:t>Gelet op de transitiedoelen</w:t>
      </w:r>
      <w:r w:rsidRPr="009031B6" w:rsidR="004142C9">
        <w:rPr>
          <w:color w:val="auto"/>
        </w:rPr>
        <w:t xml:space="preserve"> en de noodzakelijke beweging naar de </w:t>
      </w:r>
      <w:r w:rsidRPr="009031B6" w:rsidR="003A474C">
        <w:rPr>
          <w:color w:val="auto"/>
        </w:rPr>
        <w:t>voorkant</w:t>
      </w:r>
      <w:r w:rsidRPr="009031B6" w:rsidR="00101A28">
        <w:rPr>
          <w:color w:val="auto"/>
        </w:rPr>
        <w:t xml:space="preserve"> vind ik het belangrijk dat professionals worden opgeleid voor het leveren van zorg </w:t>
      </w:r>
      <w:r w:rsidR="006148DB">
        <w:rPr>
          <w:color w:val="auto"/>
        </w:rPr>
        <w:t>en ondersteuning</w:t>
      </w:r>
      <w:r w:rsidRPr="009031B6" w:rsidR="00101A28">
        <w:rPr>
          <w:color w:val="auto"/>
        </w:rPr>
        <w:t xml:space="preserve"> waar ze het hardste nodig zijn</w:t>
      </w:r>
      <w:r w:rsidR="00C0126B">
        <w:rPr>
          <w:color w:val="auto"/>
        </w:rPr>
        <w:t xml:space="preserve"> en met het oog op de toekomst</w:t>
      </w:r>
      <w:r w:rsidRPr="009031B6" w:rsidR="00101A28">
        <w:rPr>
          <w:color w:val="auto"/>
        </w:rPr>
        <w:t>.</w:t>
      </w:r>
      <w:r w:rsidRPr="009031B6" w:rsidR="009031B6">
        <w:rPr>
          <w:color w:val="auto"/>
        </w:rPr>
        <w:t xml:space="preserve"> </w:t>
      </w:r>
      <w:r w:rsidRPr="009031B6" w:rsidR="006B2AC3">
        <w:rPr>
          <w:color w:val="auto"/>
        </w:rPr>
        <w:t xml:space="preserve">De komende periode </w:t>
      </w:r>
      <w:r w:rsidRPr="009031B6">
        <w:rPr>
          <w:color w:val="auto"/>
        </w:rPr>
        <w:t>zet ik in</w:t>
      </w:r>
      <w:r w:rsidRPr="009031B6" w:rsidR="006B2AC3">
        <w:rPr>
          <w:color w:val="auto"/>
        </w:rPr>
        <w:t xml:space="preserve"> op </w:t>
      </w:r>
      <w:r w:rsidRPr="009031B6">
        <w:rPr>
          <w:color w:val="auto"/>
        </w:rPr>
        <w:t>de volgende drie doelen:</w:t>
      </w:r>
    </w:p>
    <w:p w:rsidRPr="009031B6" w:rsidR="0066386B" w:rsidP="006D59D6" w:rsidRDefault="00082ACE" w14:paraId="6343B90C" w14:textId="77777777">
      <w:pPr>
        <w:pStyle w:val="Lijstalinea"/>
        <w:numPr>
          <w:ilvl w:val="0"/>
          <w:numId w:val="20"/>
        </w:numPr>
        <w:suppressAutoHyphens/>
        <w:spacing w:line="276" w:lineRule="auto"/>
        <w:rPr>
          <w:color w:val="auto"/>
        </w:rPr>
      </w:pPr>
      <w:r w:rsidRPr="009031B6">
        <w:rPr>
          <w:color w:val="auto"/>
        </w:rPr>
        <w:t>V</w:t>
      </w:r>
      <w:r w:rsidRPr="009031B6" w:rsidR="006B2AC3">
        <w:rPr>
          <w:color w:val="auto"/>
        </w:rPr>
        <w:t>oldoende instroom</w:t>
      </w:r>
      <w:r w:rsidR="00C876D8">
        <w:rPr>
          <w:color w:val="auto"/>
        </w:rPr>
        <w:t>, eerst en vooral waar de tekorten het grootst zijn en waar de beweging naar voorkant om vraagt</w:t>
      </w:r>
      <w:r w:rsidRPr="009031B6" w:rsidR="00021CB2">
        <w:rPr>
          <w:color w:val="auto"/>
        </w:rPr>
        <w:t>;</w:t>
      </w:r>
    </w:p>
    <w:p w:rsidR="006B2AC3" w:rsidP="006D59D6" w:rsidRDefault="00082ACE" w14:paraId="381EF3A0" w14:textId="77777777">
      <w:pPr>
        <w:pStyle w:val="Lijstalinea"/>
        <w:numPr>
          <w:ilvl w:val="0"/>
          <w:numId w:val="20"/>
        </w:numPr>
        <w:suppressAutoHyphens/>
        <w:spacing w:line="276" w:lineRule="auto"/>
        <w:rPr>
          <w:color w:val="auto"/>
        </w:rPr>
      </w:pPr>
      <w:r w:rsidRPr="009031B6">
        <w:rPr>
          <w:color w:val="auto"/>
        </w:rPr>
        <w:lastRenderedPageBreak/>
        <w:t xml:space="preserve">Voldoende mogelijkheden </w:t>
      </w:r>
      <w:r w:rsidR="00C876D8">
        <w:rPr>
          <w:color w:val="auto"/>
        </w:rPr>
        <w:t xml:space="preserve">voor professionals </w:t>
      </w:r>
      <w:r w:rsidRPr="009031B6">
        <w:rPr>
          <w:color w:val="auto"/>
        </w:rPr>
        <w:t>om te blijven leren en ontwikkelen met het oog op behoud</w:t>
      </w:r>
      <w:r w:rsidR="00FF346D">
        <w:rPr>
          <w:color w:val="auto"/>
        </w:rPr>
        <w:t>;</w:t>
      </w:r>
    </w:p>
    <w:p w:rsidRPr="00FF346D" w:rsidR="00FF346D" w:rsidP="006D59D6" w:rsidRDefault="00082ACE" w14:paraId="16751B0B" w14:textId="77777777">
      <w:pPr>
        <w:pStyle w:val="Lijstalinea"/>
        <w:numPr>
          <w:ilvl w:val="0"/>
          <w:numId w:val="20"/>
        </w:numPr>
        <w:suppressAutoHyphens/>
        <w:spacing w:line="276" w:lineRule="auto"/>
        <w:rPr>
          <w:color w:val="auto"/>
        </w:rPr>
      </w:pPr>
      <w:r w:rsidRPr="009031B6">
        <w:rPr>
          <w:color w:val="auto"/>
        </w:rPr>
        <w:t xml:space="preserve">Specialistische kennis </w:t>
      </w:r>
      <w:r>
        <w:rPr>
          <w:color w:val="auto"/>
        </w:rPr>
        <w:t xml:space="preserve">van professionals </w:t>
      </w:r>
      <w:r w:rsidRPr="009031B6">
        <w:rPr>
          <w:color w:val="auto"/>
        </w:rPr>
        <w:t>door middel van vervolgopleidingen</w:t>
      </w:r>
      <w:r>
        <w:rPr>
          <w:color w:val="auto"/>
        </w:rPr>
        <w:t>.</w:t>
      </w:r>
    </w:p>
    <w:p w:rsidRPr="009031B6" w:rsidR="006B2AC3" w:rsidP="006D59D6" w:rsidRDefault="006B2AC3" w14:paraId="259B2746" w14:textId="77777777">
      <w:pPr>
        <w:suppressAutoHyphens/>
        <w:spacing w:line="276" w:lineRule="auto"/>
        <w:rPr>
          <w:color w:val="auto"/>
        </w:rPr>
      </w:pPr>
    </w:p>
    <w:p w:rsidRPr="009031B6" w:rsidR="00597870" w:rsidP="006D59D6" w:rsidRDefault="00082ACE" w14:paraId="4C3E7DB3" w14:textId="77777777">
      <w:pPr>
        <w:suppressAutoHyphens/>
        <w:spacing w:line="276" w:lineRule="auto"/>
        <w:rPr>
          <w:color w:val="auto"/>
        </w:rPr>
      </w:pPr>
      <w:r>
        <w:rPr>
          <w:color w:val="auto"/>
        </w:rPr>
        <w:t>Het is daarnaast</w:t>
      </w:r>
      <w:r w:rsidRPr="009031B6" w:rsidR="00810AE3">
        <w:rPr>
          <w:color w:val="auto"/>
        </w:rPr>
        <w:t xml:space="preserve"> essentieel </w:t>
      </w:r>
      <w:r w:rsidRPr="009031B6" w:rsidR="00541745">
        <w:rPr>
          <w:color w:val="auto"/>
        </w:rPr>
        <w:t>dat professionals</w:t>
      </w:r>
      <w:r w:rsidR="00337F9E">
        <w:rPr>
          <w:color w:val="auto"/>
        </w:rPr>
        <w:t xml:space="preserve"> </w:t>
      </w:r>
      <w:r w:rsidRPr="009031B6" w:rsidR="00541745">
        <w:rPr>
          <w:color w:val="auto"/>
        </w:rPr>
        <w:t>kunnen meebewegen</w:t>
      </w:r>
      <w:r w:rsidR="00337F9E">
        <w:rPr>
          <w:color w:val="auto"/>
        </w:rPr>
        <w:t xml:space="preserve"> </w:t>
      </w:r>
      <w:r w:rsidRPr="009031B6" w:rsidR="00541745">
        <w:rPr>
          <w:color w:val="auto"/>
        </w:rPr>
        <w:t>met</w:t>
      </w:r>
      <w:r w:rsidR="00337F9E">
        <w:rPr>
          <w:color w:val="auto"/>
        </w:rPr>
        <w:t xml:space="preserve"> </w:t>
      </w:r>
      <w:r w:rsidRPr="009031B6" w:rsidR="00541745">
        <w:rPr>
          <w:color w:val="auto"/>
        </w:rPr>
        <w:t>nieuwe manieren van werken en</w:t>
      </w:r>
      <w:r w:rsidR="00337F9E">
        <w:rPr>
          <w:color w:val="auto"/>
        </w:rPr>
        <w:t xml:space="preserve"> </w:t>
      </w:r>
      <w:r w:rsidRPr="009031B6" w:rsidR="00541745">
        <w:rPr>
          <w:color w:val="auto"/>
        </w:rPr>
        <w:t>dat zij</w:t>
      </w:r>
      <w:r w:rsidR="00337F9E">
        <w:rPr>
          <w:color w:val="auto"/>
        </w:rPr>
        <w:t xml:space="preserve"> </w:t>
      </w:r>
      <w:r w:rsidRPr="009031B6" w:rsidR="00541745">
        <w:rPr>
          <w:color w:val="auto"/>
        </w:rPr>
        <w:t>om kunnen gaan met innovatie van en in</w:t>
      </w:r>
      <w:r w:rsidR="00337F9E">
        <w:rPr>
          <w:color w:val="auto"/>
        </w:rPr>
        <w:t xml:space="preserve"> </w:t>
      </w:r>
      <w:r w:rsidRPr="009031B6" w:rsidR="00541745">
        <w:rPr>
          <w:color w:val="auto"/>
        </w:rPr>
        <w:t>zorg en welzijn.</w:t>
      </w:r>
      <w:r w:rsidR="00337F9E">
        <w:rPr>
          <w:color w:val="auto"/>
        </w:rPr>
        <w:t xml:space="preserve"> </w:t>
      </w:r>
      <w:r w:rsidRPr="009031B6" w:rsidR="00541745">
        <w:rPr>
          <w:color w:val="auto"/>
        </w:rPr>
        <w:t>Het kabinet wil deze vormen van</w:t>
      </w:r>
      <w:r w:rsidR="00337F9E">
        <w:rPr>
          <w:color w:val="auto"/>
        </w:rPr>
        <w:t xml:space="preserve"> </w:t>
      </w:r>
      <w:r w:rsidRPr="009031B6" w:rsidR="00541745">
        <w:rPr>
          <w:color w:val="auto"/>
        </w:rPr>
        <w:t xml:space="preserve">opleiden en </w:t>
      </w:r>
      <w:r w:rsidRPr="009031B6" w:rsidR="0A5D397D">
        <w:rPr>
          <w:color w:val="auto"/>
        </w:rPr>
        <w:t>scholen</w:t>
      </w:r>
      <w:r w:rsidR="00337F9E">
        <w:rPr>
          <w:color w:val="auto"/>
        </w:rPr>
        <w:t xml:space="preserve"> </w:t>
      </w:r>
      <w:r w:rsidRPr="009031B6" w:rsidR="00541745">
        <w:rPr>
          <w:color w:val="auto"/>
        </w:rPr>
        <w:t xml:space="preserve">extra stimuleren </w:t>
      </w:r>
      <w:r w:rsidRPr="009031B6" w:rsidR="0A5D397D">
        <w:rPr>
          <w:color w:val="auto"/>
        </w:rPr>
        <w:t>met de investeringen vanuit</w:t>
      </w:r>
      <w:r w:rsidRPr="009031B6" w:rsidR="00810AE3">
        <w:rPr>
          <w:color w:val="auto"/>
        </w:rPr>
        <w:t xml:space="preserve"> het </w:t>
      </w:r>
      <w:r w:rsidRPr="009031B6" w:rsidR="00541745">
        <w:rPr>
          <w:color w:val="auto"/>
        </w:rPr>
        <w:t>AZWA en</w:t>
      </w:r>
      <w:r w:rsidRPr="009031B6" w:rsidR="0A5D397D">
        <w:rPr>
          <w:color w:val="auto"/>
        </w:rPr>
        <w:t xml:space="preserve"> </w:t>
      </w:r>
      <w:r w:rsidRPr="009031B6" w:rsidR="00541745">
        <w:rPr>
          <w:color w:val="auto"/>
        </w:rPr>
        <w:t>het HLO. </w:t>
      </w:r>
      <w:r w:rsidRPr="009031B6" w:rsidR="00541745">
        <w:rPr>
          <w:color w:val="auto"/>
        </w:rPr>
        <w:br/>
      </w:r>
    </w:p>
    <w:p w:rsidRPr="003C5CCF" w:rsidR="00C65898" w:rsidP="006D59D6" w:rsidRDefault="00082ACE" w14:paraId="14690AA1" w14:textId="77777777">
      <w:pPr>
        <w:suppressAutoHyphens/>
        <w:spacing w:line="276" w:lineRule="auto"/>
        <w:rPr>
          <w:i/>
          <w:color w:val="auto"/>
        </w:rPr>
      </w:pPr>
      <w:r>
        <w:rPr>
          <w:i/>
          <w:iCs/>
          <w:color w:val="auto"/>
        </w:rPr>
        <w:t>O</w:t>
      </w:r>
      <w:r w:rsidRPr="00810AE3" w:rsidR="49A4F9FE">
        <w:rPr>
          <w:i/>
          <w:iCs/>
          <w:color w:val="auto"/>
        </w:rPr>
        <w:t xml:space="preserve">pleiden en ontwikkelen als vanzelfsprekendheid </w:t>
      </w:r>
      <w:r w:rsidRPr="00810AE3" w:rsidR="005E21EE">
        <w:rPr>
          <w:i/>
          <w:iCs/>
          <w:color w:val="auto"/>
        </w:rPr>
        <w:t>(AZWA</w:t>
      </w:r>
      <w:r w:rsidR="004D4C03">
        <w:rPr>
          <w:i/>
          <w:iCs/>
          <w:color w:val="auto"/>
        </w:rPr>
        <w:t>-</w:t>
      </w:r>
      <w:r w:rsidRPr="00810AE3" w:rsidR="005E21EE">
        <w:rPr>
          <w:i/>
          <w:iCs/>
          <w:color w:val="auto"/>
        </w:rPr>
        <w:t>B3 afspraak)</w:t>
      </w:r>
    </w:p>
    <w:p w:rsidR="00810AE3" w:rsidP="006D59D6" w:rsidRDefault="00082ACE" w14:paraId="1CC98AB9" w14:textId="77777777">
      <w:pPr>
        <w:suppressAutoHyphens/>
        <w:spacing w:line="276" w:lineRule="auto"/>
        <w:rPr>
          <w:color w:val="auto"/>
        </w:rPr>
      </w:pPr>
      <w:r w:rsidRPr="009031B6">
        <w:rPr>
          <w:color w:val="auto"/>
        </w:rPr>
        <w:t>Om de beweging van zorg naar gezondheid</w:t>
      </w:r>
      <w:r w:rsidR="00337F9E">
        <w:rPr>
          <w:color w:val="auto"/>
        </w:rPr>
        <w:t xml:space="preserve"> </w:t>
      </w:r>
      <w:r w:rsidRPr="009031B6" w:rsidR="00352926">
        <w:rPr>
          <w:color w:val="auto"/>
        </w:rPr>
        <w:t>te</w:t>
      </w:r>
      <w:r w:rsidRPr="009031B6" w:rsidR="0A5D397D">
        <w:rPr>
          <w:color w:val="auto"/>
        </w:rPr>
        <w:t xml:space="preserve"> kunnen</w:t>
      </w:r>
      <w:r w:rsidRPr="009031B6" w:rsidR="00352926">
        <w:rPr>
          <w:color w:val="auto"/>
        </w:rPr>
        <w:t xml:space="preserve"> realiseren, </w:t>
      </w:r>
      <w:r w:rsidRPr="009031B6">
        <w:rPr>
          <w:color w:val="auto"/>
        </w:rPr>
        <w:t>wordt</w:t>
      </w:r>
      <w:r w:rsidR="00337F9E">
        <w:rPr>
          <w:color w:val="auto"/>
        </w:rPr>
        <w:t xml:space="preserve"> </w:t>
      </w:r>
      <w:r w:rsidRPr="009031B6">
        <w:rPr>
          <w:color w:val="auto"/>
        </w:rPr>
        <w:t xml:space="preserve">een groot beroep gedaan op het leer- en ontwikkelvermogen van </w:t>
      </w:r>
      <w:r w:rsidRPr="009031B6">
        <w:rPr>
          <w:color w:val="auto"/>
        </w:rPr>
        <w:t>organisaties en professionals</w:t>
      </w:r>
      <w:r w:rsidR="00337F9E">
        <w:rPr>
          <w:color w:val="auto"/>
        </w:rPr>
        <w:t xml:space="preserve"> </w:t>
      </w:r>
      <w:r w:rsidRPr="009031B6">
        <w:rPr>
          <w:color w:val="auto"/>
        </w:rPr>
        <w:t>in zorg en welzijn.</w:t>
      </w:r>
      <w:r w:rsidR="00337F9E">
        <w:rPr>
          <w:color w:val="auto"/>
        </w:rPr>
        <w:t xml:space="preserve"> </w:t>
      </w:r>
      <w:r w:rsidRPr="009031B6">
        <w:rPr>
          <w:color w:val="auto"/>
        </w:rPr>
        <w:t>Zij zullen de komende jaren</w:t>
      </w:r>
      <w:r w:rsidR="00337F9E">
        <w:rPr>
          <w:color w:val="auto"/>
        </w:rPr>
        <w:t xml:space="preserve"> </w:t>
      </w:r>
      <w:r w:rsidRPr="009031B6">
        <w:rPr>
          <w:color w:val="auto"/>
        </w:rPr>
        <w:t>razendsnel anders</w:t>
      </w:r>
      <w:r w:rsidR="00337F9E">
        <w:rPr>
          <w:color w:val="auto"/>
        </w:rPr>
        <w:t xml:space="preserve"> </w:t>
      </w:r>
      <w:r w:rsidRPr="009031B6">
        <w:rPr>
          <w:color w:val="auto"/>
        </w:rPr>
        <w:t>moeten</w:t>
      </w:r>
      <w:r w:rsidR="00337F9E">
        <w:rPr>
          <w:color w:val="auto"/>
        </w:rPr>
        <w:t xml:space="preserve"> </w:t>
      </w:r>
      <w:r w:rsidRPr="009031B6">
        <w:rPr>
          <w:color w:val="auto"/>
        </w:rPr>
        <w:t>gaan werken.</w:t>
      </w:r>
      <w:r w:rsidR="00337F9E">
        <w:rPr>
          <w:color w:val="auto"/>
        </w:rPr>
        <w:t xml:space="preserve"> </w:t>
      </w:r>
      <w:r w:rsidRPr="009031B6">
        <w:rPr>
          <w:color w:val="auto"/>
        </w:rPr>
        <w:t>In</w:t>
      </w:r>
      <w:r w:rsidR="00337F9E">
        <w:rPr>
          <w:color w:val="auto"/>
        </w:rPr>
        <w:t xml:space="preserve"> </w:t>
      </w:r>
      <w:r w:rsidRPr="009031B6">
        <w:rPr>
          <w:color w:val="auto"/>
        </w:rPr>
        <w:t>het AZWA</w:t>
      </w:r>
      <w:r w:rsidR="00337F9E">
        <w:rPr>
          <w:color w:val="auto"/>
        </w:rPr>
        <w:t xml:space="preserve"> </w:t>
      </w:r>
      <w:r w:rsidRPr="009031B6">
        <w:rPr>
          <w:color w:val="auto"/>
        </w:rPr>
        <w:t>is daarom afgesproken om volop in te zetten op opleiding en scholing. De focus ligt daarbij eerst en vooral op daar waar tekorten het grootst zijn</w:t>
      </w:r>
      <w:r w:rsidRPr="009031B6" w:rsidR="005C3997">
        <w:rPr>
          <w:color w:val="auto"/>
        </w:rPr>
        <w:t xml:space="preserve"> én waar de beweging </w:t>
      </w:r>
      <w:r w:rsidRPr="002D0765" w:rsidR="002D0765">
        <w:rPr>
          <w:color w:val="auto"/>
        </w:rPr>
        <w:t>naar</w:t>
      </w:r>
      <w:r w:rsidRPr="009031B6" w:rsidR="005C3997">
        <w:rPr>
          <w:color w:val="auto"/>
        </w:rPr>
        <w:t xml:space="preserve"> de voorkant </w:t>
      </w:r>
      <w:r w:rsidR="002D0765">
        <w:rPr>
          <w:color w:val="auto"/>
        </w:rPr>
        <w:t xml:space="preserve">om </w:t>
      </w:r>
      <w:r w:rsidRPr="009031B6" w:rsidR="005C3997">
        <w:rPr>
          <w:color w:val="auto"/>
        </w:rPr>
        <w:t>vraagt</w:t>
      </w:r>
      <w:r w:rsidRPr="009031B6">
        <w:rPr>
          <w:color w:val="auto"/>
        </w:rPr>
        <w:t>.</w:t>
      </w:r>
      <w:r w:rsidR="00337F9E">
        <w:rPr>
          <w:color w:val="auto"/>
        </w:rPr>
        <w:t xml:space="preserve"> </w:t>
      </w:r>
      <w:r w:rsidRPr="009031B6">
        <w:rPr>
          <w:color w:val="auto"/>
        </w:rPr>
        <w:t>Dit zijn de sectoren buiten het ziekenhuis zoals</w:t>
      </w:r>
      <w:r w:rsidR="00337F9E">
        <w:rPr>
          <w:color w:val="auto"/>
        </w:rPr>
        <w:t xml:space="preserve"> </w:t>
      </w:r>
      <w:r w:rsidRPr="009031B6">
        <w:rPr>
          <w:color w:val="auto"/>
        </w:rPr>
        <w:t>de eerstelijnszorg</w:t>
      </w:r>
      <w:r w:rsidR="00337F9E">
        <w:rPr>
          <w:color w:val="auto"/>
        </w:rPr>
        <w:t xml:space="preserve"> </w:t>
      </w:r>
      <w:r w:rsidRPr="009031B6">
        <w:rPr>
          <w:color w:val="auto"/>
        </w:rPr>
        <w:t xml:space="preserve">en </w:t>
      </w:r>
      <w:r w:rsidRPr="009031B6" w:rsidR="005C3997">
        <w:rPr>
          <w:color w:val="auto"/>
        </w:rPr>
        <w:t>het sociaal domein</w:t>
      </w:r>
      <w:r w:rsidRPr="009031B6">
        <w:rPr>
          <w:color w:val="auto"/>
        </w:rPr>
        <w:t>.</w:t>
      </w:r>
      <w:r w:rsidR="00337F9E">
        <w:rPr>
          <w:color w:val="auto"/>
        </w:rPr>
        <w:t xml:space="preserve"> </w:t>
      </w:r>
      <w:bookmarkStart w:name="_Hlk229572556" w:id="3"/>
      <w:r w:rsidRPr="009031B6">
        <w:rPr>
          <w:color w:val="auto"/>
        </w:rPr>
        <w:t xml:space="preserve">In 2026 is </w:t>
      </w:r>
      <w:r w:rsidR="00E635CA">
        <w:rPr>
          <w:color w:val="auto"/>
        </w:rPr>
        <w:t>hier</w:t>
      </w:r>
      <w:r w:rsidRPr="009031B6">
        <w:rPr>
          <w:color w:val="auto"/>
        </w:rPr>
        <w:t>voor</w:t>
      </w:r>
      <w:r w:rsidR="00337F9E">
        <w:rPr>
          <w:color w:val="auto"/>
        </w:rPr>
        <w:t xml:space="preserve"> </w:t>
      </w:r>
      <w:r w:rsidR="006578D9">
        <w:rPr>
          <w:color w:val="auto"/>
        </w:rPr>
        <w:t>vanuit de AZWA B3-afspraak</w:t>
      </w:r>
      <w:r w:rsidR="004D4C03">
        <w:rPr>
          <w:color w:val="auto"/>
        </w:rPr>
        <w:t xml:space="preserve"> ca.</w:t>
      </w:r>
      <w:r w:rsidR="006578D9">
        <w:rPr>
          <w:color w:val="auto"/>
        </w:rPr>
        <w:t xml:space="preserve"> </w:t>
      </w:r>
      <w:r w:rsidRPr="009031B6">
        <w:rPr>
          <w:color w:val="auto"/>
        </w:rPr>
        <w:t xml:space="preserve">€ </w:t>
      </w:r>
      <w:r w:rsidR="002D718E">
        <w:rPr>
          <w:color w:val="auto"/>
        </w:rPr>
        <w:t>49</w:t>
      </w:r>
      <w:r w:rsidRPr="009031B6" w:rsidR="00E37972">
        <w:rPr>
          <w:color w:val="auto"/>
        </w:rPr>
        <w:t xml:space="preserve"> </w:t>
      </w:r>
      <w:r w:rsidRPr="009031B6">
        <w:rPr>
          <w:color w:val="auto"/>
        </w:rPr>
        <w:t>miljoen</w:t>
      </w:r>
      <w:r w:rsidR="00337F9E">
        <w:rPr>
          <w:color w:val="auto"/>
        </w:rPr>
        <w:t xml:space="preserve"> </w:t>
      </w:r>
      <w:r w:rsidRPr="009031B6">
        <w:rPr>
          <w:color w:val="auto"/>
        </w:rPr>
        <w:t>beschikbaar</w:t>
      </w:r>
      <w:r w:rsidR="00E635CA">
        <w:rPr>
          <w:color w:val="auto"/>
        </w:rPr>
        <w:t>,</w:t>
      </w:r>
      <w:r w:rsidRPr="009031B6">
        <w:rPr>
          <w:color w:val="auto"/>
        </w:rPr>
        <w:t xml:space="preserve"> </w:t>
      </w:r>
      <w:r w:rsidR="0063402E">
        <w:rPr>
          <w:color w:val="auto"/>
        </w:rPr>
        <w:t xml:space="preserve">oplopend tot ca. € 180 miljoen in de </w:t>
      </w:r>
      <w:r w:rsidRPr="009031B6">
        <w:rPr>
          <w:color w:val="auto"/>
        </w:rPr>
        <w:t>periode van 2029 tot en met 2035.</w:t>
      </w:r>
      <w:r w:rsidR="00337F9E">
        <w:rPr>
          <w:color w:val="auto"/>
        </w:rPr>
        <w:t xml:space="preserve"> </w:t>
      </w:r>
      <w:bookmarkEnd w:id="3"/>
    </w:p>
    <w:p w:rsidRPr="009031B6" w:rsidR="00810AE3" w:rsidP="006D59D6" w:rsidRDefault="00082ACE" w14:paraId="7ADB9293" w14:textId="77777777">
      <w:pPr>
        <w:suppressAutoHyphens/>
        <w:spacing w:line="276" w:lineRule="auto"/>
        <w:rPr>
          <w:color w:val="auto"/>
        </w:rPr>
      </w:pPr>
      <w:r w:rsidRPr="009031B6">
        <w:rPr>
          <w:color w:val="auto"/>
        </w:rPr>
        <w:t> </w:t>
      </w:r>
    </w:p>
    <w:p w:rsidR="00933EB2" w:rsidP="006D59D6" w:rsidRDefault="00082ACE" w14:paraId="54931A85" w14:textId="77777777">
      <w:pPr>
        <w:suppressAutoHyphens/>
        <w:spacing w:line="276" w:lineRule="auto"/>
        <w:rPr>
          <w:color w:val="auto"/>
        </w:rPr>
      </w:pPr>
      <w:bookmarkStart w:name="_Hlk229556950" w:id="4"/>
      <w:r w:rsidRPr="009031B6">
        <w:rPr>
          <w:color w:val="auto"/>
        </w:rPr>
        <w:t>Voor 2026 is de subsidie</w:t>
      </w:r>
      <w:r w:rsidR="00337F9E">
        <w:rPr>
          <w:color w:val="auto"/>
        </w:rPr>
        <w:t xml:space="preserve"> </w:t>
      </w:r>
      <w:r w:rsidRPr="009031B6">
        <w:rPr>
          <w:color w:val="auto"/>
        </w:rPr>
        <w:t>Strategisch</w:t>
      </w:r>
      <w:r w:rsidR="00337F9E">
        <w:rPr>
          <w:color w:val="auto"/>
        </w:rPr>
        <w:t xml:space="preserve"> </w:t>
      </w:r>
      <w:r w:rsidRPr="009031B6">
        <w:rPr>
          <w:color w:val="auto"/>
        </w:rPr>
        <w:t>Opleiden in</w:t>
      </w:r>
      <w:r w:rsidR="00337F9E">
        <w:rPr>
          <w:color w:val="auto"/>
        </w:rPr>
        <w:t xml:space="preserve"> </w:t>
      </w:r>
      <w:r w:rsidRPr="009031B6">
        <w:rPr>
          <w:color w:val="auto"/>
        </w:rPr>
        <w:t>Zorg en</w:t>
      </w:r>
      <w:r w:rsidR="00337F9E">
        <w:rPr>
          <w:color w:val="auto"/>
        </w:rPr>
        <w:t xml:space="preserve"> </w:t>
      </w:r>
      <w:r w:rsidRPr="009031B6">
        <w:rPr>
          <w:color w:val="auto"/>
        </w:rPr>
        <w:t xml:space="preserve">Welzijn </w:t>
      </w:r>
      <w:r>
        <w:rPr>
          <w:color w:val="auto"/>
        </w:rPr>
        <w:t>(SO</w:t>
      </w:r>
      <w:r w:rsidR="009957C9">
        <w:rPr>
          <w:color w:val="auto"/>
        </w:rPr>
        <w:t xml:space="preserve">-ZenW) </w:t>
      </w:r>
      <w:r w:rsidRPr="009031B6">
        <w:rPr>
          <w:color w:val="auto"/>
        </w:rPr>
        <w:t xml:space="preserve">ontwikkeld. </w:t>
      </w:r>
      <w:r w:rsidR="00C0126B">
        <w:rPr>
          <w:color w:val="auto"/>
        </w:rPr>
        <w:t xml:space="preserve">De uitvoering hiervan is belegd bij RegioPlus, het samenwerkingsverband </w:t>
      </w:r>
      <w:r w:rsidRPr="00C0126B" w:rsidR="00C0126B">
        <w:rPr>
          <w:color w:val="auto"/>
        </w:rPr>
        <w:t>van de twaalf regionale werkgeversorganisaties in zorg en welzij</w:t>
      </w:r>
      <w:r w:rsidR="00C0126B">
        <w:rPr>
          <w:color w:val="auto"/>
        </w:rPr>
        <w:t xml:space="preserve">n. </w:t>
      </w:r>
      <w:r w:rsidRPr="009031B6">
        <w:rPr>
          <w:color w:val="auto"/>
        </w:rPr>
        <w:t xml:space="preserve">Werkgevers in zorg en welzijn (exclusief </w:t>
      </w:r>
      <w:r w:rsidR="006578D9">
        <w:rPr>
          <w:color w:val="auto"/>
        </w:rPr>
        <w:t xml:space="preserve">organisaties die </w:t>
      </w:r>
      <w:r w:rsidRPr="009031B6">
        <w:rPr>
          <w:color w:val="auto"/>
        </w:rPr>
        <w:t xml:space="preserve">medisch-specialistische </w:t>
      </w:r>
      <w:r w:rsidR="006578D9">
        <w:rPr>
          <w:color w:val="auto"/>
        </w:rPr>
        <w:t>zorg verlenen</w:t>
      </w:r>
      <w:r w:rsidRPr="009031B6">
        <w:rPr>
          <w:color w:val="auto"/>
        </w:rPr>
        <w:t xml:space="preserve">) kunnen door deelname aan deze subsidie </w:t>
      </w:r>
      <w:r w:rsidRPr="009031B6" w:rsidR="00862258">
        <w:rPr>
          <w:color w:val="auto"/>
        </w:rPr>
        <w:t xml:space="preserve">via RegioPlus </w:t>
      </w:r>
      <w:r w:rsidRPr="009031B6">
        <w:rPr>
          <w:color w:val="auto"/>
        </w:rPr>
        <w:t xml:space="preserve">in 2026 een financiële bijdrage ontvangen voor opleidingsactiviteiten die </w:t>
      </w:r>
      <w:r w:rsidR="00F670D0">
        <w:rPr>
          <w:color w:val="auto"/>
        </w:rPr>
        <w:t xml:space="preserve">als doel hebben om </w:t>
      </w:r>
      <w:r>
        <w:rPr>
          <w:color w:val="auto"/>
        </w:rPr>
        <w:t xml:space="preserve">1) </w:t>
      </w:r>
      <w:r w:rsidRPr="009031B6">
        <w:rPr>
          <w:color w:val="auto"/>
        </w:rPr>
        <w:t>bij</w:t>
      </w:r>
      <w:r w:rsidR="00F670D0">
        <w:rPr>
          <w:color w:val="auto"/>
        </w:rPr>
        <w:t xml:space="preserve"> te </w:t>
      </w:r>
      <w:r w:rsidRPr="009031B6">
        <w:rPr>
          <w:color w:val="auto"/>
        </w:rPr>
        <w:t xml:space="preserve">dragen aan het vergroten van de instroom en doorstroom van personeel </w:t>
      </w:r>
      <w:r>
        <w:rPr>
          <w:color w:val="auto"/>
        </w:rPr>
        <w:t>e</w:t>
      </w:r>
      <w:r w:rsidRPr="009031B6">
        <w:rPr>
          <w:color w:val="auto"/>
        </w:rPr>
        <w:t>n</w:t>
      </w:r>
      <w:r>
        <w:rPr>
          <w:color w:val="auto"/>
        </w:rPr>
        <w:t xml:space="preserve"> 2)</w:t>
      </w:r>
      <w:r w:rsidRPr="009031B6">
        <w:rPr>
          <w:color w:val="auto"/>
        </w:rPr>
        <w:t xml:space="preserve"> </w:t>
      </w:r>
      <w:r w:rsidR="00F670D0">
        <w:rPr>
          <w:color w:val="auto"/>
        </w:rPr>
        <w:t>aan</w:t>
      </w:r>
      <w:r w:rsidRPr="009031B6">
        <w:rPr>
          <w:color w:val="auto"/>
        </w:rPr>
        <w:t xml:space="preserve"> het versterken van hun kennis en vaardigh</w:t>
      </w:r>
      <w:r w:rsidRPr="009031B6">
        <w:rPr>
          <w:color w:val="auto"/>
        </w:rPr>
        <w:t xml:space="preserve">eden op de thema’s genoemd in het AZWA (onder andere samenwerking met </w:t>
      </w:r>
      <w:r w:rsidR="00F670D0">
        <w:rPr>
          <w:color w:val="auto"/>
        </w:rPr>
        <w:t>het</w:t>
      </w:r>
      <w:r w:rsidRPr="009031B6">
        <w:rPr>
          <w:color w:val="auto"/>
        </w:rPr>
        <w:t xml:space="preserve"> sociaal domein en preventie). Meer dan 2.000 zorg- en welzijnsorganisaties hebben een aanvraag gedaan. </w:t>
      </w:r>
      <w:r w:rsidR="00917A3A">
        <w:rPr>
          <w:color w:val="auto"/>
        </w:rPr>
        <w:t xml:space="preserve">Het aangevraagde bedrag ligt hoger dan het beschikbare budget voor 2026. </w:t>
      </w:r>
      <w:r w:rsidRPr="009031B6">
        <w:rPr>
          <w:color w:val="auto"/>
        </w:rPr>
        <w:t xml:space="preserve">Dit onderschrijft het belang om te investeren in het opleiden en </w:t>
      </w:r>
      <w:r w:rsidRPr="00FE1842">
        <w:rPr>
          <w:color w:val="auto"/>
        </w:rPr>
        <w:t xml:space="preserve">ontwikkelen voor de sector. </w:t>
      </w:r>
    </w:p>
    <w:p w:rsidR="00933EB2" w:rsidP="006D59D6" w:rsidRDefault="00933EB2" w14:paraId="2A6D49BE" w14:textId="77777777">
      <w:pPr>
        <w:suppressAutoHyphens/>
        <w:spacing w:line="276" w:lineRule="auto"/>
        <w:rPr>
          <w:color w:val="auto"/>
        </w:rPr>
      </w:pPr>
    </w:p>
    <w:p w:rsidRPr="009031B6" w:rsidR="00810AE3" w:rsidP="006D59D6" w:rsidRDefault="00082ACE" w14:paraId="3DB2C74E" w14:textId="77777777">
      <w:pPr>
        <w:suppressAutoHyphens/>
        <w:spacing w:line="276" w:lineRule="auto"/>
        <w:rPr>
          <w:color w:val="auto"/>
        </w:rPr>
      </w:pPr>
      <w:r>
        <w:rPr>
          <w:color w:val="auto"/>
        </w:rPr>
        <w:t>Een positief gegeven is dat h</w:t>
      </w:r>
      <w:r w:rsidRPr="00FE1842">
        <w:rPr>
          <w:color w:val="auto"/>
        </w:rPr>
        <w:t xml:space="preserve">et beschikbare budget </w:t>
      </w:r>
      <w:r w:rsidR="00933EB2">
        <w:rPr>
          <w:color w:val="auto"/>
        </w:rPr>
        <w:t>van de subsidie</w:t>
      </w:r>
      <w:r w:rsidR="009957C9">
        <w:rPr>
          <w:color w:val="auto"/>
        </w:rPr>
        <w:t xml:space="preserve"> SO-ZenW </w:t>
      </w:r>
      <w:r w:rsidR="00933EB2">
        <w:rPr>
          <w:color w:val="auto"/>
        </w:rPr>
        <w:t>voor 2026</w:t>
      </w:r>
      <w:r w:rsidRPr="00FE1842">
        <w:rPr>
          <w:color w:val="auto"/>
        </w:rPr>
        <w:t xml:space="preserve"> </w:t>
      </w:r>
      <w:r w:rsidR="00933EB2">
        <w:rPr>
          <w:color w:val="auto"/>
        </w:rPr>
        <w:t>met</w:t>
      </w:r>
      <w:r w:rsidR="009957C9">
        <w:rPr>
          <w:color w:val="auto"/>
        </w:rPr>
        <w:t xml:space="preserve"> </w:t>
      </w:r>
      <w:r w:rsidRPr="00FE1842">
        <w:rPr>
          <w:color w:val="auto"/>
        </w:rPr>
        <w:t>€ 12</w:t>
      </w:r>
      <w:r w:rsidR="009957C9">
        <w:rPr>
          <w:color w:val="auto"/>
        </w:rPr>
        <w:t>,5</w:t>
      </w:r>
      <w:r w:rsidRPr="00FE1842">
        <w:rPr>
          <w:color w:val="auto"/>
        </w:rPr>
        <w:t xml:space="preserve"> miljoen verhoogd</w:t>
      </w:r>
      <w:r>
        <w:rPr>
          <w:color w:val="auto"/>
        </w:rPr>
        <w:t xml:space="preserve"> is</w:t>
      </w:r>
      <w:r w:rsidRPr="00FE1842">
        <w:rPr>
          <w:color w:val="auto"/>
        </w:rPr>
        <w:t>.</w:t>
      </w:r>
      <w:r w:rsidRPr="00FE1842" w:rsidR="00253FD0">
        <w:rPr>
          <w:color w:val="auto"/>
        </w:rPr>
        <w:t xml:space="preserve"> Om versnippering van en concurrentie tussen subsidiemiddelen te verminderen</w:t>
      </w:r>
      <w:r w:rsidRPr="00FE1842" w:rsidR="000B0226">
        <w:rPr>
          <w:color w:val="auto"/>
        </w:rPr>
        <w:t>,</w:t>
      </w:r>
      <w:r w:rsidRPr="00FE1842" w:rsidR="00253FD0">
        <w:rPr>
          <w:color w:val="auto"/>
        </w:rPr>
        <w:t xml:space="preserve"> heeft het ministerie van SZW </w:t>
      </w:r>
      <w:r w:rsidR="009957C9">
        <w:rPr>
          <w:color w:val="auto"/>
        </w:rPr>
        <w:t xml:space="preserve">namelijk </w:t>
      </w:r>
      <w:r w:rsidRPr="00FE1842" w:rsidR="00237C39">
        <w:rPr>
          <w:color w:val="auto"/>
        </w:rPr>
        <w:t xml:space="preserve">besloten </w:t>
      </w:r>
      <w:r w:rsidRPr="00FE1842" w:rsidR="00253FD0">
        <w:rPr>
          <w:color w:val="auto"/>
        </w:rPr>
        <w:t>om het budget</w:t>
      </w:r>
      <w:r w:rsidR="009957C9">
        <w:rPr>
          <w:color w:val="auto"/>
        </w:rPr>
        <w:t xml:space="preserve"> van </w:t>
      </w:r>
      <w:r w:rsidRPr="00FE1842" w:rsidR="009957C9">
        <w:rPr>
          <w:color w:val="auto"/>
        </w:rPr>
        <w:t>€</w:t>
      </w:r>
      <w:r w:rsidR="009957C9">
        <w:rPr>
          <w:color w:val="auto"/>
        </w:rPr>
        <w:t xml:space="preserve"> 12 miljoen</w:t>
      </w:r>
      <w:r w:rsidRPr="00FE1842" w:rsidR="00253FD0">
        <w:rPr>
          <w:color w:val="auto"/>
        </w:rPr>
        <w:t xml:space="preserve"> voor</w:t>
      </w:r>
      <w:r w:rsidR="009957C9">
        <w:rPr>
          <w:color w:val="auto"/>
        </w:rPr>
        <w:t xml:space="preserve"> de sector</w:t>
      </w:r>
      <w:r w:rsidRPr="00FE1842" w:rsidR="00253FD0">
        <w:rPr>
          <w:color w:val="auto"/>
        </w:rPr>
        <w:t xml:space="preserve"> Zorg en Welzijn vanuit de SLIM-Scholingssubsidie voor collectieve aanvragen over te boeken naar het ministerie van VWS.</w:t>
      </w:r>
      <w:r w:rsidRPr="00FE1842" w:rsidR="00237C39">
        <w:rPr>
          <w:color w:val="auto"/>
        </w:rPr>
        <w:t xml:space="preserve"> </w:t>
      </w:r>
      <w:r w:rsidR="00F670D0">
        <w:rPr>
          <w:color w:val="auto"/>
        </w:rPr>
        <w:t xml:space="preserve">Daarnaast is het budget met € 0,5 miljoen verhoogd </w:t>
      </w:r>
      <w:r w:rsidR="009957C9">
        <w:rPr>
          <w:color w:val="auto"/>
        </w:rPr>
        <w:t xml:space="preserve">met </w:t>
      </w:r>
      <w:r w:rsidR="00F670D0">
        <w:rPr>
          <w:color w:val="auto"/>
        </w:rPr>
        <w:t>middelen die vanuit het AZWA beschikbaar zijn gesteld voor</w:t>
      </w:r>
      <w:r w:rsidR="00231C29">
        <w:rPr>
          <w:color w:val="auto"/>
        </w:rPr>
        <w:t xml:space="preserve"> scholing in het kader van het </w:t>
      </w:r>
      <w:r w:rsidRPr="00BD2A15" w:rsidR="00231C29">
        <w:rPr>
          <w:color w:val="auto"/>
        </w:rPr>
        <w:t>bevorderen van de passende inzet</w:t>
      </w:r>
      <w:r w:rsidR="00231C29">
        <w:rPr>
          <w:color w:val="auto"/>
        </w:rPr>
        <w:t xml:space="preserve"> van arbeidsbesparende</w:t>
      </w:r>
      <w:r w:rsidRPr="00BD2A15" w:rsidR="00231C29">
        <w:rPr>
          <w:color w:val="auto"/>
        </w:rPr>
        <w:t xml:space="preserve"> medische technologie</w:t>
      </w:r>
      <w:r w:rsidR="009957C9">
        <w:rPr>
          <w:color w:val="auto"/>
        </w:rPr>
        <w:t>.</w:t>
      </w:r>
      <w:r w:rsidRPr="00FE1842" w:rsidR="00F670D0">
        <w:rPr>
          <w:color w:val="auto"/>
        </w:rPr>
        <w:t xml:space="preserve"> </w:t>
      </w:r>
      <w:r w:rsidRPr="00FE1842">
        <w:rPr>
          <w:color w:val="auto"/>
        </w:rPr>
        <w:t>Het tota</w:t>
      </w:r>
      <w:r w:rsidRPr="00FE1842" w:rsidR="00352926">
        <w:rPr>
          <w:color w:val="auto"/>
        </w:rPr>
        <w:t>le</w:t>
      </w:r>
      <w:r w:rsidRPr="00FE1842">
        <w:rPr>
          <w:color w:val="auto"/>
        </w:rPr>
        <w:t xml:space="preserve"> </w:t>
      </w:r>
      <w:r w:rsidRPr="009031B6">
        <w:rPr>
          <w:color w:val="auto"/>
        </w:rPr>
        <w:t xml:space="preserve">budget voor de subsidie </w:t>
      </w:r>
      <w:r w:rsidR="009957C9">
        <w:rPr>
          <w:color w:val="auto"/>
        </w:rPr>
        <w:t xml:space="preserve">SO-ZenW </w:t>
      </w:r>
      <w:r w:rsidRPr="009031B6" w:rsidR="00352926">
        <w:rPr>
          <w:color w:val="auto"/>
        </w:rPr>
        <w:t>komt daarmee voor 2026 op</w:t>
      </w:r>
      <w:r w:rsidR="009957C9">
        <w:rPr>
          <w:color w:val="auto"/>
        </w:rPr>
        <w:t xml:space="preserve"> €</w:t>
      </w:r>
      <w:r w:rsidR="00337F9E">
        <w:rPr>
          <w:color w:val="auto"/>
        </w:rPr>
        <w:t xml:space="preserve"> </w:t>
      </w:r>
      <w:r w:rsidR="00F670D0">
        <w:rPr>
          <w:color w:val="auto"/>
        </w:rPr>
        <w:t>6</w:t>
      </w:r>
      <w:r w:rsidR="00231C29">
        <w:rPr>
          <w:color w:val="auto"/>
        </w:rPr>
        <w:t>2</w:t>
      </w:r>
      <w:r w:rsidR="00F670D0">
        <w:rPr>
          <w:color w:val="auto"/>
        </w:rPr>
        <w:t xml:space="preserve"> miljoen. </w:t>
      </w:r>
    </w:p>
    <w:bookmarkEnd w:id="4"/>
    <w:p w:rsidRPr="009031B6" w:rsidR="00810AE3" w:rsidP="006D59D6" w:rsidRDefault="00810AE3" w14:paraId="0E94C78B" w14:textId="77777777">
      <w:pPr>
        <w:suppressAutoHyphens/>
        <w:spacing w:line="276" w:lineRule="auto"/>
        <w:rPr>
          <w:color w:val="auto"/>
        </w:rPr>
      </w:pPr>
    </w:p>
    <w:p w:rsidRPr="009031B6" w:rsidR="38EF0E11" w:rsidP="006D59D6" w:rsidRDefault="00082ACE" w14:paraId="7CB7C88E" w14:textId="77777777">
      <w:pPr>
        <w:suppressAutoHyphens/>
        <w:spacing w:line="276" w:lineRule="auto"/>
        <w:rPr>
          <w:color w:val="auto"/>
        </w:rPr>
      </w:pPr>
      <w:r w:rsidRPr="009031B6">
        <w:rPr>
          <w:color w:val="auto"/>
        </w:rPr>
        <w:t xml:space="preserve">Samen met de AZWA-partijen </w:t>
      </w:r>
      <w:r w:rsidRPr="009031B6" w:rsidR="005C3997">
        <w:rPr>
          <w:color w:val="auto"/>
        </w:rPr>
        <w:t>wordt</w:t>
      </w:r>
      <w:r w:rsidRPr="009031B6">
        <w:rPr>
          <w:color w:val="auto"/>
        </w:rPr>
        <w:t xml:space="preserve"> daarnaast</w:t>
      </w:r>
      <w:r w:rsidR="00337F9E">
        <w:rPr>
          <w:color w:val="auto"/>
        </w:rPr>
        <w:t xml:space="preserve"> </w:t>
      </w:r>
      <w:r w:rsidRPr="009031B6">
        <w:rPr>
          <w:color w:val="auto"/>
        </w:rPr>
        <w:t>in</w:t>
      </w:r>
      <w:r w:rsidRPr="009031B6" w:rsidR="005C3997">
        <w:rPr>
          <w:color w:val="auto"/>
        </w:rPr>
        <w:t>gezet op</w:t>
      </w:r>
      <w:r w:rsidR="00337F9E">
        <w:rPr>
          <w:color w:val="auto"/>
        </w:rPr>
        <w:t xml:space="preserve"> </w:t>
      </w:r>
      <w:r w:rsidRPr="009031B6">
        <w:rPr>
          <w:color w:val="auto"/>
        </w:rPr>
        <w:t>meer samenwerking tussen zorg, welzijn en onderwijs rond vernieuwend opleiden. Hierbij wordt nadrukkelijk</w:t>
      </w:r>
      <w:r w:rsidR="00337F9E">
        <w:rPr>
          <w:color w:val="auto"/>
        </w:rPr>
        <w:t xml:space="preserve"> </w:t>
      </w:r>
      <w:r w:rsidRPr="009031B6">
        <w:rPr>
          <w:color w:val="auto"/>
        </w:rPr>
        <w:t xml:space="preserve">ook de </w:t>
      </w:r>
      <w:r w:rsidRPr="009031B6">
        <w:rPr>
          <w:color w:val="auto"/>
        </w:rPr>
        <w:t>samenwerking gezocht met</w:t>
      </w:r>
      <w:r w:rsidR="00337F9E">
        <w:rPr>
          <w:color w:val="auto"/>
        </w:rPr>
        <w:t xml:space="preserve"> </w:t>
      </w:r>
      <w:r w:rsidRPr="009031B6">
        <w:rPr>
          <w:color w:val="auto"/>
        </w:rPr>
        <w:t>het</w:t>
      </w:r>
      <w:r w:rsidR="00337F9E">
        <w:rPr>
          <w:color w:val="auto"/>
        </w:rPr>
        <w:t xml:space="preserve"> </w:t>
      </w:r>
      <w:r w:rsidRPr="009031B6">
        <w:rPr>
          <w:color w:val="auto"/>
        </w:rPr>
        <w:t>ministerie van</w:t>
      </w:r>
      <w:r w:rsidRPr="009031B6" w:rsidR="00352926">
        <w:rPr>
          <w:color w:val="auto"/>
        </w:rPr>
        <w:t xml:space="preserve"> OCW</w:t>
      </w:r>
      <w:r w:rsidRPr="009031B6">
        <w:rPr>
          <w:color w:val="auto"/>
        </w:rPr>
        <w:t xml:space="preserve">. </w:t>
      </w:r>
      <w:r w:rsidR="00F670D0">
        <w:rPr>
          <w:color w:val="auto"/>
        </w:rPr>
        <w:t xml:space="preserve">In het </w:t>
      </w:r>
      <w:r w:rsidR="00F670D0">
        <w:rPr>
          <w:color w:val="auto"/>
        </w:rPr>
        <w:lastRenderedPageBreak/>
        <w:t>AZWA</w:t>
      </w:r>
      <w:r w:rsidR="00337F9E">
        <w:rPr>
          <w:color w:val="auto"/>
        </w:rPr>
        <w:t xml:space="preserve"> </w:t>
      </w:r>
      <w:r w:rsidRPr="009031B6">
        <w:rPr>
          <w:color w:val="auto"/>
        </w:rPr>
        <w:t xml:space="preserve">zijn afspraken </w:t>
      </w:r>
      <w:r w:rsidR="00F670D0">
        <w:rPr>
          <w:color w:val="auto"/>
        </w:rPr>
        <w:t>gemaakt</w:t>
      </w:r>
      <w:r w:rsidRPr="009031B6" w:rsidR="00F670D0">
        <w:rPr>
          <w:color w:val="auto"/>
        </w:rPr>
        <w:t xml:space="preserve"> </w:t>
      </w:r>
      <w:r w:rsidRPr="009031B6">
        <w:rPr>
          <w:color w:val="auto"/>
        </w:rPr>
        <w:t xml:space="preserve">over het verstevigen van vervolgopleidingen buiten het ziekenhuis </w:t>
      </w:r>
      <w:r w:rsidR="00F670D0">
        <w:rPr>
          <w:color w:val="auto"/>
        </w:rPr>
        <w:t>(lees: medisch specialistische zorg)</w:t>
      </w:r>
      <w:r w:rsidRPr="009031B6">
        <w:rPr>
          <w:color w:val="auto"/>
        </w:rPr>
        <w:t xml:space="preserve"> en over de inzet op bij- en nascholing van professionals. Momenteel ben ik met de AZWA</w:t>
      </w:r>
      <w:r w:rsidR="005622B3">
        <w:rPr>
          <w:color w:val="auto"/>
        </w:rPr>
        <w:t>-</w:t>
      </w:r>
      <w:r w:rsidRPr="009031B6">
        <w:rPr>
          <w:color w:val="auto"/>
        </w:rPr>
        <w:t>partijen aan het kijken</w:t>
      </w:r>
      <w:r w:rsidR="00337F9E">
        <w:rPr>
          <w:color w:val="auto"/>
        </w:rPr>
        <w:t xml:space="preserve"> </w:t>
      </w:r>
      <w:r w:rsidRPr="009031B6">
        <w:rPr>
          <w:color w:val="auto"/>
        </w:rPr>
        <w:t>hoe de</w:t>
      </w:r>
      <w:r w:rsidR="00337F9E">
        <w:rPr>
          <w:color w:val="auto"/>
        </w:rPr>
        <w:t xml:space="preserve"> </w:t>
      </w:r>
      <w:r w:rsidRPr="009031B6">
        <w:rPr>
          <w:color w:val="auto"/>
        </w:rPr>
        <w:t>middelen voor het opleiden buiten</w:t>
      </w:r>
      <w:r w:rsidR="00337F9E">
        <w:rPr>
          <w:color w:val="auto"/>
        </w:rPr>
        <w:t xml:space="preserve"> </w:t>
      </w:r>
      <w:r w:rsidRPr="009031B6">
        <w:rPr>
          <w:color w:val="auto"/>
        </w:rPr>
        <w:t>het ziekenhuis</w:t>
      </w:r>
      <w:r w:rsidR="00337F9E">
        <w:rPr>
          <w:color w:val="auto"/>
        </w:rPr>
        <w:t xml:space="preserve"> </w:t>
      </w:r>
      <w:r w:rsidRPr="009031B6">
        <w:rPr>
          <w:color w:val="auto"/>
        </w:rPr>
        <w:t>per 2027 het beste geborgd kunnen worden. In dit proces neem ik ook de middelen voor opleiden ten behoeve van de wijkverpleging (</w:t>
      </w:r>
      <w:r w:rsidRPr="009031B6" w:rsidR="002822B0">
        <w:rPr>
          <w:color w:val="auto"/>
        </w:rPr>
        <w:t xml:space="preserve">jaarlijks </w:t>
      </w:r>
      <w:r w:rsidRPr="009031B6">
        <w:rPr>
          <w:color w:val="auto"/>
        </w:rPr>
        <w:t xml:space="preserve">€ 60 miljoen) mee. </w:t>
      </w:r>
      <w:bookmarkStart w:name="_Hlk228379990" w:id="5"/>
      <w:r w:rsidRPr="009031B6">
        <w:rPr>
          <w:color w:val="auto"/>
        </w:rPr>
        <w:t xml:space="preserve">Voor de structurele borging van de middelen ten behoeve van </w:t>
      </w:r>
      <w:r w:rsidR="00F670D0">
        <w:rPr>
          <w:color w:val="auto"/>
        </w:rPr>
        <w:t>opleiding en bij- en nascholing in</w:t>
      </w:r>
      <w:r w:rsidRPr="009031B6">
        <w:rPr>
          <w:color w:val="auto"/>
        </w:rPr>
        <w:t xml:space="preserve"> de </w:t>
      </w:r>
      <w:r w:rsidRPr="009031B6" w:rsidR="00DC5208">
        <w:rPr>
          <w:color w:val="auto"/>
        </w:rPr>
        <w:t>MSZ</w:t>
      </w:r>
      <w:r w:rsidRPr="009031B6">
        <w:rPr>
          <w:color w:val="auto"/>
        </w:rPr>
        <w:t>-sector (</w:t>
      </w:r>
      <w:r w:rsidRPr="009031B6" w:rsidR="002822B0">
        <w:rPr>
          <w:color w:val="auto"/>
        </w:rPr>
        <w:t>jaarlijks</w:t>
      </w:r>
      <w:r w:rsidR="000F65A7">
        <w:rPr>
          <w:color w:val="auto"/>
        </w:rPr>
        <w:t xml:space="preserve"> ca.</w:t>
      </w:r>
      <w:r w:rsidRPr="009031B6" w:rsidR="002822B0">
        <w:rPr>
          <w:color w:val="auto"/>
        </w:rPr>
        <w:t xml:space="preserve"> </w:t>
      </w:r>
      <w:r w:rsidRPr="009031B6">
        <w:rPr>
          <w:color w:val="auto"/>
        </w:rPr>
        <w:t>€</w:t>
      </w:r>
      <w:r w:rsidRPr="009031B6" w:rsidR="002822B0">
        <w:rPr>
          <w:color w:val="auto"/>
        </w:rPr>
        <w:t xml:space="preserve"> </w:t>
      </w:r>
      <w:r w:rsidRPr="009031B6">
        <w:rPr>
          <w:color w:val="auto"/>
        </w:rPr>
        <w:t>24</w:t>
      </w:r>
      <w:r w:rsidR="00F670D0">
        <w:rPr>
          <w:color w:val="auto"/>
        </w:rPr>
        <w:t>7</w:t>
      </w:r>
      <w:r w:rsidRPr="009031B6">
        <w:rPr>
          <w:color w:val="auto"/>
        </w:rPr>
        <w:t xml:space="preserve"> miljoen) </w:t>
      </w:r>
      <w:r w:rsidRPr="009031B6" w:rsidR="00B12606">
        <w:rPr>
          <w:color w:val="auto"/>
        </w:rPr>
        <w:t xml:space="preserve">verken ik </w:t>
      </w:r>
      <w:r w:rsidRPr="009031B6" w:rsidR="00DC5208">
        <w:rPr>
          <w:color w:val="auto"/>
        </w:rPr>
        <w:t xml:space="preserve">met de betrokken MSZ-partijen </w:t>
      </w:r>
      <w:r w:rsidR="000C2FDA">
        <w:rPr>
          <w:color w:val="auto"/>
        </w:rPr>
        <w:t>of het wenselijk en mogelijk is</w:t>
      </w:r>
      <w:r w:rsidRPr="009031B6">
        <w:rPr>
          <w:color w:val="auto"/>
        </w:rPr>
        <w:t xml:space="preserve"> om </w:t>
      </w:r>
      <w:r w:rsidRPr="009031B6" w:rsidR="00B12606">
        <w:rPr>
          <w:color w:val="auto"/>
        </w:rPr>
        <w:t>de</w:t>
      </w:r>
      <w:r w:rsidRPr="009031B6">
        <w:rPr>
          <w:color w:val="auto"/>
        </w:rPr>
        <w:t xml:space="preserve"> </w:t>
      </w:r>
      <w:r w:rsidRPr="009031B6" w:rsidR="00355ADA">
        <w:rPr>
          <w:color w:val="auto"/>
        </w:rPr>
        <w:t xml:space="preserve">middelen </w:t>
      </w:r>
      <w:r w:rsidRPr="009031B6">
        <w:rPr>
          <w:color w:val="auto"/>
        </w:rPr>
        <w:t xml:space="preserve">over te hevelen naar het </w:t>
      </w:r>
      <w:bookmarkEnd w:id="5"/>
      <w:r w:rsidR="00842C08">
        <w:rPr>
          <w:color w:val="auto"/>
        </w:rPr>
        <w:t xml:space="preserve">Zvw </w:t>
      </w:r>
      <w:r w:rsidR="00F670D0">
        <w:rPr>
          <w:color w:val="auto"/>
        </w:rPr>
        <w:t>premie</w:t>
      </w:r>
      <w:r w:rsidRPr="009031B6">
        <w:rPr>
          <w:color w:val="auto"/>
        </w:rPr>
        <w:t>kader</w:t>
      </w:r>
      <w:r w:rsidR="00842C08">
        <w:rPr>
          <w:color w:val="auto"/>
        </w:rPr>
        <w:t xml:space="preserve"> voor de</w:t>
      </w:r>
      <w:r w:rsidR="00F670D0">
        <w:rPr>
          <w:color w:val="auto"/>
        </w:rPr>
        <w:t xml:space="preserve"> MSZ</w:t>
      </w:r>
      <w:r w:rsidRPr="009031B6" w:rsidR="00B12606">
        <w:rPr>
          <w:color w:val="auto"/>
        </w:rPr>
        <w:t>.</w:t>
      </w:r>
      <w:r w:rsidR="00842C08">
        <w:rPr>
          <w:color w:val="auto"/>
        </w:rPr>
        <w:t xml:space="preserve"> Deze overheveling </w:t>
      </w:r>
      <w:r w:rsidR="00603009">
        <w:rPr>
          <w:color w:val="auto"/>
        </w:rPr>
        <w:t xml:space="preserve">houdt in </w:t>
      </w:r>
      <w:r w:rsidR="00842C08">
        <w:rPr>
          <w:color w:val="auto"/>
        </w:rPr>
        <w:t xml:space="preserve">dat de MSZ-instellingen de opleiding en bij- en nascholing van het personeel </w:t>
      </w:r>
      <w:r w:rsidRPr="007E37F7" w:rsidR="00842C08">
        <w:rPr>
          <w:color w:val="auto"/>
        </w:rPr>
        <w:t>betrekken in de reguliere contractonderhandelingen tussen zorgaanbieders en zorgverzekeraars</w:t>
      </w:r>
      <w:r w:rsidR="00842C08">
        <w:rPr>
          <w:color w:val="auto"/>
        </w:rPr>
        <w:t>.</w:t>
      </w:r>
    </w:p>
    <w:p w:rsidRPr="009031B6" w:rsidR="00310FC9" w:rsidP="006D59D6" w:rsidRDefault="00310FC9" w14:paraId="3195DE1B" w14:textId="77777777">
      <w:pPr>
        <w:pStyle w:val="Lijstalinea"/>
        <w:suppressAutoHyphens/>
        <w:spacing w:line="276" w:lineRule="auto"/>
        <w:ind w:left="0"/>
        <w:rPr>
          <w:color w:val="auto"/>
        </w:rPr>
      </w:pPr>
    </w:p>
    <w:p w:rsidR="00310FC9" w:rsidP="006D59D6" w:rsidRDefault="00082ACE" w14:paraId="5D7688A6" w14:textId="77777777">
      <w:pPr>
        <w:pStyle w:val="Lijstalinea"/>
        <w:suppressAutoHyphens/>
        <w:spacing w:line="276" w:lineRule="auto"/>
        <w:ind w:left="0"/>
      </w:pPr>
      <w:r>
        <w:rPr>
          <w:color w:val="auto"/>
        </w:rPr>
        <w:t>I</w:t>
      </w:r>
      <w:r w:rsidRPr="009031B6" w:rsidR="00BD5525">
        <w:rPr>
          <w:color w:val="auto"/>
        </w:rPr>
        <w:t xml:space="preserve">n </w:t>
      </w:r>
      <w:r w:rsidRPr="009031B6">
        <w:rPr>
          <w:color w:val="auto"/>
        </w:rPr>
        <w:t xml:space="preserve">het AZWA </w:t>
      </w:r>
      <w:r>
        <w:rPr>
          <w:color w:val="auto"/>
        </w:rPr>
        <w:t>is</w:t>
      </w:r>
      <w:r w:rsidRPr="009031B6">
        <w:rPr>
          <w:color w:val="auto"/>
        </w:rPr>
        <w:t xml:space="preserve"> </w:t>
      </w:r>
      <w:r w:rsidR="00842C08">
        <w:rPr>
          <w:color w:val="auto"/>
        </w:rPr>
        <w:t xml:space="preserve">tot slot </w:t>
      </w:r>
      <w:r w:rsidRPr="009031B6">
        <w:rPr>
          <w:color w:val="auto"/>
        </w:rPr>
        <w:t>afgesproken om de bestaande loopbaaninstrumenten</w:t>
      </w:r>
      <w:r w:rsidRPr="009031B6" w:rsidR="001270BA">
        <w:rPr>
          <w:color w:val="auto"/>
        </w:rPr>
        <w:t xml:space="preserve"> </w:t>
      </w:r>
      <w:r w:rsidRPr="009031B6" w:rsidR="001270BA">
        <w:rPr>
          <w:i/>
          <w:iCs/>
          <w:color w:val="auto"/>
        </w:rPr>
        <w:t>YouChooz</w:t>
      </w:r>
      <w:r w:rsidRPr="009031B6" w:rsidR="001270BA">
        <w:rPr>
          <w:color w:val="auto"/>
        </w:rPr>
        <w:t xml:space="preserve">, </w:t>
      </w:r>
      <w:r w:rsidRPr="009031B6" w:rsidR="001270BA">
        <w:rPr>
          <w:i/>
          <w:iCs/>
          <w:color w:val="auto"/>
        </w:rPr>
        <w:t>Zorginspirator</w:t>
      </w:r>
      <w:r w:rsidRPr="009031B6" w:rsidR="001270BA">
        <w:rPr>
          <w:color w:val="auto"/>
        </w:rPr>
        <w:t xml:space="preserve">, </w:t>
      </w:r>
      <w:r w:rsidRPr="009031B6" w:rsidR="001270BA">
        <w:rPr>
          <w:i/>
          <w:iCs/>
          <w:color w:val="auto"/>
        </w:rPr>
        <w:t>Sterk in je werk</w:t>
      </w:r>
      <w:r w:rsidRPr="009031B6" w:rsidR="001270BA">
        <w:rPr>
          <w:color w:val="auto"/>
        </w:rPr>
        <w:t xml:space="preserve"> en </w:t>
      </w:r>
      <w:r w:rsidRPr="009031B6" w:rsidR="001270BA">
        <w:rPr>
          <w:i/>
          <w:iCs/>
          <w:color w:val="auto"/>
        </w:rPr>
        <w:t>Next Level Dokter</w:t>
      </w:r>
      <w:r w:rsidRPr="009031B6">
        <w:rPr>
          <w:color w:val="auto"/>
        </w:rPr>
        <w:t xml:space="preserve"> geïntegreerd voort te zetten</w:t>
      </w:r>
      <w:r w:rsidRPr="009031B6" w:rsidR="00BD5525">
        <w:rPr>
          <w:color w:val="auto"/>
        </w:rPr>
        <w:t xml:space="preserve">, met als doel de loopbaanoriëntatie en het </w:t>
      </w:r>
      <w:r w:rsidRPr="00310FC9" w:rsidR="00BD5525">
        <w:t xml:space="preserve">ontwikkelperspectief voor studiekiezers, </w:t>
      </w:r>
      <w:r w:rsidR="00BD5525">
        <w:t xml:space="preserve">studenten, </w:t>
      </w:r>
      <w:r w:rsidRPr="00310FC9" w:rsidR="00BD5525">
        <w:t>werkenden, herintreders en zij-instromers in zorg en welzijn te verbeteren</w:t>
      </w:r>
      <w:r w:rsidR="00BD5525">
        <w:t>.</w:t>
      </w:r>
      <w:r>
        <w:t xml:space="preserve"> Afgelopen </w:t>
      </w:r>
      <w:r w:rsidRPr="0002309D" w:rsidR="0002309D">
        <w:t xml:space="preserve">maart </w:t>
      </w:r>
      <w:r>
        <w:t>is de basis hiervoor gelegd met het beschikbaar komen van de testversie van</w:t>
      </w:r>
      <w:r w:rsidRPr="0002309D" w:rsidR="0002309D">
        <w:t xml:space="preserve"> het nieuwe persoonlijke loopbaanplatform </w:t>
      </w:r>
      <w:r w:rsidRPr="00BD5525" w:rsidR="0002309D">
        <w:rPr>
          <w:i/>
          <w:iCs/>
        </w:rPr>
        <w:t>Zowi</w:t>
      </w:r>
      <w:r>
        <w:rPr>
          <w:rStyle w:val="Voetnootmarkering"/>
        </w:rPr>
        <w:footnoteReference w:id="9"/>
      </w:r>
      <w:r w:rsidRPr="0002309D" w:rsidR="0002309D">
        <w:t>. Met dit platform worden mensen die een (eerste of volgende) stap willen zetten in zorg en welzijn actief ondersteund.</w:t>
      </w:r>
      <w:r w:rsidR="0002309D">
        <w:t xml:space="preserve"> </w:t>
      </w:r>
      <w:r w:rsidR="00BD5525">
        <w:t xml:space="preserve">Vanaf dit najaar start ook de bijbehorende publiekscommunicatie waarmee </w:t>
      </w:r>
      <w:r w:rsidRPr="00BD5525" w:rsidR="00BD5525">
        <w:rPr>
          <w:i/>
          <w:iCs/>
        </w:rPr>
        <w:t>Zowi</w:t>
      </w:r>
      <w:r w:rsidR="00BD5525">
        <w:t xml:space="preserve"> en de sector extra onder de aandacht van de doelgroepen wordt gebracht. </w:t>
      </w:r>
      <w:r w:rsidRPr="0002309D" w:rsidR="0002309D">
        <w:t xml:space="preserve">Het </w:t>
      </w:r>
      <w:r w:rsidR="00BD5525">
        <w:t>loopbaan</w:t>
      </w:r>
      <w:r w:rsidRPr="0002309D" w:rsidR="0002309D">
        <w:t xml:space="preserve">platform wordt de komende maanden </w:t>
      </w:r>
      <w:r w:rsidR="00C454C8">
        <w:t xml:space="preserve">samen met de arbeidsmarktfondsen in zorg en welzijn </w:t>
      </w:r>
      <w:r w:rsidRPr="0002309D" w:rsidR="0002309D">
        <w:t>verder doorontwikkeld en geïntegreerd met andere loopbaaninstrumenten</w:t>
      </w:r>
      <w:r w:rsidR="00BD5525">
        <w:t xml:space="preserve"> zoals persoonlijke loopbaanbegeleiding en </w:t>
      </w:r>
      <w:r w:rsidR="001270BA">
        <w:t xml:space="preserve">verbinding met </w:t>
      </w:r>
      <w:r w:rsidR="00BD5525">
        <w:t xml:space="preserve">het platform </w:t>
      </w:r>
      <w:r w:rsidRPr="00C454C8" w:rsidR="00BD5525">
        <w:rPr>
          <w:i/>
          <w:iCs/>
        </w:rPr>
        <w:t>Next Level Dokter</w:t>
      </w:r>
      <w:r w:rsidR="00BD5525">
        <w:t>. Dit laatste initiatief heeft tot doel om de artsenberoepen buiten het ziekenhuis</w:t>
      </w:r>
      <w:r w:rsidR="00C454C8">
        <w:t xml:space="preserve"> (bijvoorbeeld huisartsen, specialist</w:t>
      </w:r>
      <w:r w:rsidR="001270BA">
        <w:t>en</w:t>
      </w:r>
      <w:r w:rsidR="00C454C8">
        <w:t xml:space="preserve"> ouderengeneeskunde, arts</w:t>
      </w:r>
      <w:r w:rsidR="001270BA">
        <w:t>en</w:t>
      </w:r>
      <w:r w:rsidR="00C454C8">
        <w:t xml:space="preserve"> VG)</w:t>
      </w:r>
      <w:r w:rsidR="00BD5525">
        <w:t xml:space="preserve"> </w:t>
      </w:r>
      <w:r w:rsidR="00C454C8">
        <w:t>steviger op de kaart te zetten bij geneeskundestudenten en basisartsen die een vervolgopleiding willen doen.</w:t>
      </w:r>
      <w:r w:rsidR="00F670D0">
        <w:t xml:space="preserve"> </w:t>
      </w:r>
      <w:bookmarkStart w:name="_Hlk228986308" w:id="6"/>
      <w:r w:rsidR="00F670D0">
        <w:t xml:space="preserve">Voor de loopbaaninstrumenten is </w:t>
      </w:r>
      <w:r w:rsidR="00E635CA">
        <w:t xml:space="preserve">vanuit de AZWA B3-afspraak </w:t>
      </w:r>
      <w:r w:rsidR="00F670D0">
        <w:t>in 2026 een bedrag van € 3,6 miljoen beschikbaar</w:t>
      </w:r>
      <w:r w:rsidR="000C2FDA">
        <w:t xml:space="preserve"> en vanaf 2027 tot en met 2035 jaarlijks € 4,6 miljoen</w:t>
      </w:r>
      <w:r w:rsidR="00F670D0">
        <w:t>.</w:t>
      </w:r>
      <w:bookmarkEnd w:id="6"/>
    </w:p>
    <w:p w:rsidR="00FF346D" w:rsidP="006D59D6" w:rsidRDefault="00FF346D" w14:paraId="27653627" w14:textId="77777777">
      <w:pPr>
        <w:pStyle w:val="Lijstalinea"/>
        <w:suppressAutoHyphens/>
        <w:spacing w:line="276" w:lineRule="auto"/>
        <w:ind w:left="0"/>
      </w:pPr>
    </w:p>
    <w:p w:rsidRPr="003C5CCF" w:rsidR="00FF346D" w:rsidP="006D59D6" w:rsidRDefault="00082ACE" w14:paraId="70DB3495" w14:textId="77777777">
      <w:pPr>
        <w:suppressAutoHyphens/>
        <w:spacing w:line="276" w:lineRule="auto"/>
        <w:rPr>
          <w:i/>
          <w:color w:val="auto"/>
        </w:rPr>
      </w:pPr>
      <w:r w:rsidRPr="003C5CCF">
        <w:rPr>
          <w:i/>
          <w:color w:val="auto"/>
        </w:rPr>
        <w:t>Toekomstbestendige systematiek van de beschikbaarheidsbijdrage</w:t>
      </w:r>
    </w:p>
    <w:p w:rsidR="00FF346D" w:rsidP="006D59D6" w:rsidRDefault="00082ACE" w14:paraId="247D1DBC" w14:textId="77777777">
      <w:pPr>
        <w:suppressAutoHyphens/>
        <w:spacing w:line="276" w:lineRule="auto"/>
        <w:rPr>
          <w:color w:val="auto"/>
        </w:rPr>
      </w:pPr>
      <w:r w:rsidRPr="009031B6">
        <w:rPr>
          <w:color w:val="auto"/>
        </w:rPr>
        <w:t>Een groot aantal vervolgopleidingen waarover het Capaciteitsorgaan advies uitbrengt</w:t>
      </w:r>
      <w:r>
        <w:rPr>
          <w:color w:val="auto"/>
        </w:rPr>
        <w:t xml:space="preserve"> over benodigde instroom in de opleidingen</w:t>
      </w:r>
      <w:r w:rsidRPr="009031B6">
        <w:rPr>
          <w:color w:val="auto"/>
        </w:rPr>
        <w:t>, wordt bekostigd via het instrument beschikbaarheidbijdrage. Over de verdeling van de medisch-specialistische opleidingsplaatsen vond vorig jaar een rechtszaak plaats. De rechter heeft geoordeeld dat er geen wettelijke bevoegdheid bestaat voor VWS en de Nederlandse Zorgautoriteit (NZa) om een verdeelplan (met aantal instroomplaatsen per specialisme per zorgaanbieder) vast te stellen. Deze uitspraak heeft geleid tot een tijdelijke wijziging van de systematiek van de</w:t>
      </w:r>
      <w:r w:rsidRPr="009031B6">
        <w:rPr>
          <w:color w:val="auto"/>
        </w:rPr>
        <w:t xml:space="preserve"> beschikbaarheidbijdrage. In plaats van een verdeelplan heb ik in een aanwijzing aan de NZa de verdeelcriteria en maximum instroomaantallen per specialisme opgenomen. Aan de hand daarvan beoordeelt de NZa het aantal opleidingsplaatsen waarvoor een beschikbaarheidbijdrage kan worden toegekend. </w:t>
      </w:r>
    </w:p>
    <w:p w:rsidR="00FF346D" w:rsidP="006D59D6" w:rsidRDefault="00FF346D" w14:paraId="6EEA7475" w14:textId="77777777">
      <w:pPr>
        <w:suppressAutoHyphens/>
        <w:spacing w:line="276" w:lineRule="auto"/>
        <w:rPr>
          <w:color w:val="auto"/>
        </w:rPr>
      </w:pPr>
    </w:p>
    <w:p w:rsidR="00FF346D" w:rsidP="006D59D6" w:rsidRDefault="00082ACE" w14:paraId="3382B16E" w14:textId="77777777">
      <w:pPr>
        <w:suppressAutoHyphens/>
        <w:spacing w:line="276" w:lineRule="auto"/>
        <w:rPr>
          <w:color w:val="auto"/>
        </w:rPr>
      </w:pPr>
      <w:r w:rsidRPr="00B05778">
        <w:rPr>
          <w:color w:val="auto"/>
        </w:rPr>
        <w:lastRenderedPageBreak/>
        <w:t>De mogelijkheden voor een toekomstbestendige systematiek voor de jaren 2028 en verder zijn inmiddels met de NZa verkend. De criteria voor de beschikbaarheidbijdrage voor (medische) vervolgopleidingen zullen worden gewijzigd. In het Besluit Beschikbaarheidbijdrage WMG (Besluit) zal de voorwaarde worden opgenomen dat een zorgaanbieder op het toewijzingsvoorstel van TOP Opleidingsplaatsen (TOP) en Stichting BOLS (BOLS) dient te staan. Hiermee wordt de vergelijking gemaakt met de werkwijze die van toepassing is</w:t>
      </w:r>
      <w:r w:rsidRPr="00B05778">
        <w:rPr>
          <w:color w:val="auto"/>
        </w:rPr>
        <w:t xml:space="preserve"> op de beschikbaarheidbijdrage Spoedeisende hulp (SEH) tot 2027. TOP en BOLS blijven jaarlijks advies uitbrengen over de verdeling van opleidingsplaatsen. Een verschil met de huidige situatie is dat in het Besluit wordt opgenomen dat TOP en BOLS een publicatie uitbrengen. Een voorwaarde om vervolgens in aanmerking te komen voor een beschikbaarheidbijdrage is dat de zorgaanbieder is opgenomen in de publicatie van TOP en BOLS.</w:t>
      </w:r>
    </w:p>
    <w:p w:rsidRPr="00B05778" w:rsidR="00FF346D" w:rsidP="006D59D6" w:rsidRDefault="00FF346D" w14:paraId="37DD856E" w14:textId="77777777">
      <w:pPr>
        <w:suppressAutoHyphens/>
        <w:spacing w:line="276" w:lineRule="auto"/>
        <w:rPr>
          <w:i/>
          <w:color w:val="auto"/>
        </w:rPr>
      </w:pPr>
    </w:p>
    <w:p w:rsidRPr="003C5CCF" w:rsidR="00FF346D" w:rsidP="006D59D6" w:rsidRDefault="00082ACE" w14:paraId="485496D7" w14:textId="77777777">
      <w:pPr>
        <w:suppressAutoHyphens/>
        <w:spacing w:line="276" w:lineRule="auto"/>
        <w:rPr>
          <w:i/>
          <w:color w:val="auto"/>
        </w:rPr>
      </w:pPr>
      <w:r w:rsidRPr="003C5CCF">
        <w:rPr>
          <w:i/>
          <w:color w:val="auto"/>
        </w:rPr>
        <w:t>Structurele korting vervolgopleidingen medisch-specialisten</w:t>
      </w:r>
    </w:p>
    <w:p w:rsidRPr="009031B6" w:rsidR="00FF346D" w:rsidP="006D59D6" w:rsidRDefault="00082ACE" w14:paraId="702B93B0" w14:textId="77777777">
      <w:pPr>
        <w:suppressAutoHyphens/>
        <w:spacing w:line="276" w:lineRule="auto"/>
        <w:rPr>
          <w:color w:val="auto"/>
        </w:rPr>
      </w:pPr>
      <w:r w:rsidRPr="009031B6">
        <w:rPr>
          <w:color w:val="auto"/>
        </w:rPr>
        <w:t>In het coalitieakkoord staat vanaf het jaar 2029 een structurele korting ingeboekt voor de vervolgopleidingen voor medisch-specialisten ter hoogte van € 110 m</w:t>
      </w:r>
      <w:r>
        <w:rPr>
          <w:color w:val="auto"/>
        </w:rPr>
        <w:t>iljoen</w:t>
      </w:r>
      <w:r w:rsidRPr="009031B6">
        <w:rPr>
          <w:color w:val="auto"/>
        </w:rPr>
        <w:t xml:space="preserve">. Deze vervolgopleidingen worden gefinancierd via </w:t>
      </w:r>
      <w:r>
        <w:rPr>
          <w:color w:val="auto"/>
        </w:rPr>
        <w:t>een</w:t>
      </w:r>
      <w:r w:rsidRPr="009031B6">
        <w:rPr>
          <w:color w:val="auto"/>
        </w:rPr>
        <w:t xml:space="preserve"> beschikbaarheids</w:t>
      </w:r>
      <w:r>
        <w:rPr>
          <w:color w:val="auto"/>
        </w:rPr>
        <w:t>-</w:t>
      </w:r>
      <w:r w:rsidRPr="009031B6">
        <w:rPr>
          <w:color w:val="auto"/>
        </w:rPr>
        <w:t xml:space="preserve">bijdrage. </w:t>
      </w:r>
      <w:r>
        <w:rPr>
          <w:color w:val="auto"/>
        </w:rPr>
        <w:t xml:space="preserve">Ik wil hier goed de </w:t>
      </w:r>
      <w:r w:rsidRPr="009031B6">
        <w:rPr>
          <w:color w:val="auto"/>
        </w:rPr>
        <w:t xml:space="preserve">tijd voor nemen en </w:t>
      </w:r>
      <w:r>
        <w:rPr>
          <w:color w:val="auto"/>
        </w:rPr>
        <w:t xml:space="preserve">wil </w:t>
      </w:r>
      <w:r w:rsidRPr="009031B6">
        <w:rPr>
          <w:color w:val="auto"/>
        </w:rPr>
        <w:t xml:space="preserve">de juiste partijen </w:t>
      </w:r>
      <w:r>
        <w:rPr>
          <w:color w:val="auto"/>
        </w:rPr>
        <w:t>hier</w:t>
      </w:r>
      <w:r w:rsidRPr="009031B6">
        <w:rPr>
          <w:color w:val="auto"/>
        </w:rPr>
        <w:t>bij betrekken. Mijn streven is om begin 2027 een beeld te hebben hoe deze bezuiniging het beste vorm kan krijgen. Bij de uitwerking van deze korting zal onder andere verkend worden of de korting gerealiseerd kan worden via een doelmatigere invulling van het instrument van de beschikbaarheidsbijdrage. In de onlangs aan de Kamer toegezonden Periodieke Rapportage Arbeidsmarkt en opleiden, als onderdeel van de Strategi</w:t>
      </w:r>
      <w:r w:rsidRPr="009031B6">
        <w:rPr>
          <w:color w:val="auto"/>
        </w:rPr>
        <w:t>sche Evaluatie Agenda (SEA), worden concrete aanbevelingen gedaan voor een doelmatiger invulling van de beschikbaarheidsbijdrage voor (medische) vervolgopleidingen. Deze zullen betrokken worden bij de verdere verkenning en uitwerking van de korting. </w:t>
      </w:r>
    </w:p>
    <w:p w:rsidRPr="00597870" w:rsidR="38EF0E11" w:rsidP="006D59D6" w:rsidRDefault="38EF0E11" w14:paraId="52CDC21E" w14:textId="77777777">
      <w:pPr>
        <w:suppressAutoHyphens/>
        <w:spacing w:line="276" w:lineRule="auto"/>
        <w:rPr>
          <w:i/>
          <w:iCs/>
        </w:rPr>
      </w:pPr>
    </w:p>
    <w:p w:rsidRPr="003C5CCF" w:rsidR="5EE933F9" w:rsidP="006D59D6" w:rsidRDefault="00082ACE" w14:paraId="3A9CEA6A" w14:textId="77777777">
      <w:pPr>
        <w:suppressAutoHyphens/>
        <w:spacing w:line="276" w:lineRule="auto"/>
        <w:rPr>
          <w:rFonts w:eastAsia="Verdana" w:cs="Verdana"/>
          <w:b/>
          <w:i/>
        </w:rPr>
      </w:pPr>
      <w:r w:rsidRPr="74FBFE66">
        <w:rPr>
          <w:rFonts w:eastAsia="Verdana" w:cs="Verdana"/>
          <w:b/>
          <w:bCs/>
          <w:i/>
          <w:iCs/>
        </w:rPr>
        <w:t>2. Arbeidspotentieel beter benutten</w:t>
      </w:r>
    </w:p>
    <w:p w:rsidR="7FF9E926" w:rsidP="006D59D6" w:rsidRDefault="00082ACE" w14:paraId="30D9C577" w14:textId="77777777">
      <w:pPr>
        <w:suppressAutoHyphens/>
        <w:spacing w:line="276" w:lineRule="auto"/>
      </w:pPr>
      <w:r w:rsidRPr="49A4F9FE">
        <w:rPr>
          <w:rFonts w:eastAsia="Verdana" w:cs="Verdana"/>
        </w:rPr>
        <w:t xml:space="preserve">Om de aanhoudende druk op de arbeidsmarkt te verlichten, is het essentieel om onbenut arbeidspotentieel effectief aan te wenden. </w:t>
      </w:r>
      <w:r w:rsidR="00845EA0">
        <w:t xml:space="preserve">Het kabinet zet </w:t>
      </w:r>
      <w:r w:rsidRPr="49A4F9FE">
        <w:t>zowel in op het beter benutten van potentieel van mensen die al in zorg en welzijn</w:t>
      </w:r>
      <w:r w:rsidR="00845EA0">
        <w:t xml:space="preserve"> werken</w:t>
      </w:r>
      <w:r w:rsidR="00C454C8">
        <w:t>,</w:t>
      </w:r>
      <w:r w:rsidRPr="49A4F9FE">
        <w:t xml:space="preserve"> als op het </w:t>
      </w:r>
      <w:r w:rsidR="00845EA0">
        <w:t>aan</w:t>
      </w:r>
      <w:r w:rsidR="00097CA7">
        <w:t>spreken</w:t>
      </w:r>
      <w:r w:rsidR="00845EA0">
        <w:t xml:space="preserve"> van </w:t>
      </w:r>
      <w:r w:rsidRPr="49A4F9FE">
        <w:t xml:space="preserve">arbeidsmarktpotentieel van mensen die nu nog niet in </w:t>
      </w:r>
      <w:r w:rsidR="00C454C8">
        <w:t>de sector</w:t>
      </w:r>
      <w:r w:rsidRPr="49A4F9FE">
        <w:t xml:space="preserve"> werk</w:t>
      </w:r>
      <w:r w:rsidR="00845EA0">
        <w:t>zaam zijn</w:t>
      </w:r>
      <w:r w:rsidRPr="49A4F9FE">
        <w:t>.</w:t>
      </w:r>
      <w:r w:rsidR="00097CA7">
        <w:t xml:space="preserve"> Dit laatste is immers </w:t>
      </w:r>
      <w:r w:rsidR="008551C4">
        <w:t>ook</w:t>
      </w:r>
      <w:r w:rsidR="00097CA7">
        <w:t xml:space="preserve"> van belang om de instroom van personeel in de sector op peil te houden.  </w:t>
      </w:r>
    </w:p>
    <w:p w:rsidR="00C454C8" w:rsidP="006D59D6" w:rsidRDefault="00C454C8" w14:paraId="2D7941B8" w14:textId="77777777">
      <w:pPr>
        <w:suppressAutoHyphens/>
        <w:spacing w:line="276" w:lineRule="auto"/>
      </w:pPr>
    </w:p>
    <w:p w:rsidRPr="003C5CCF" w:rsidR="00845EA0" w:rsidP="006D59D6" w:rsidRDefault="00082ACE" w14:paraId="1FDB015E" w14:textId="77777777">
      <w:pPr>
        <w:suppressAutoHyphens/>
        <w:spacing w:line="276" w:lineRule="auto"/>
        <w:rPr>
          <w:i/>
        </w:rPr>
      </w:pPr>
      <w:r>
        <w:rPr>
          <w:i/>
          <w:iCs/>
        </w:rPr>
        <w:t xml:space="preserve">1. </w:t>
      </w:r>
      <w:r w:rsidRPr="00845EA0">
        <w:rPr>
          <w:i/>
          <w:iCs/>
        </w:rPr>
        <w:t>Huidig arbeidspotentieel beter benutten</w:t>
      </w:r>
    </w:p>
    <w:p w:rsidR="006E6098" w:rsidP="006D59D6" w:rsidRDefault="00082ACE" w14:paraId="2FD03E9A" w14:textId="77777777">
      <w:pPr>
        <w:suppressAutoHyphens/>
        <w:spacing w:line="276" w:lineRule="auto"/>
        <w:rPr>
          <w:rFonts w:eastAsia="Verdana" w:cs="Verdana"/>
          <w:color w:val="auto"/>
        </w:rPr>
      </w:pPr>
      <w:r w:rsidRPr="00845EA0">
        <w:rPr>
          <w:rFonts w:eastAsia="Verdana" w:cs="Verdana"/>
          <w:color w:val="auto"/>
        </w:rPr>
        <w:t xml:space="preserve">Door </w:t>
      </w:r>
      <w:r>
        <w:rPr>
          <w:rFonts w:eastAsia="Verdana" w:cs="Verdana"/>
          <w:color w:val="auto"/>
        </w:rPr>
        <w:t xml:space="preserve">zorg en ondersteuning </w:t>
      </w:r>
      <w:r w:rsidRPr="00845EA0">
        <w:rPr>
          <w:rFonts w:eastAsia="Verdana" w:cs="Verdana"/>
          <w:color w:val="auto"/>
        </w:rPr>
        <w:t>slimmer</w:t>
      </w:r>
      <w:r>
        <w:rPr>
          <w:rFonts w:eastAsia="Verdana" w:cs="Verdana"/>
          <w:color w:val="auto"/>
        </w:rPr>
        <w:t xml:space="preserve"> te</w:t>
      </w:r>
      <w:r w:rsidRPr="00845EA0">
        <w:rPr>
          <w:rFonts w:eastAsia="Verdana" w:cs="Verdana"/>
          <w:color w:val="auto"/>
        </w:rPr>
        <w:t xml:space="preserve"> organiseren</w:t>
      </w:r>
      <w:r>
        <w:rPr>
          <w:rFonts w:eastAsia="Verdana" w:cs="Verdana"/>
          <w:color w:val="auto"/>
        </w:rPr>
        <w:t xml:space="preserve"> met</w:t>
      </w:r>
      <w:r w:rsidRPr="00845EA0">
        <w:rPr>
          <w:rFonts w:eastAsia="Verdana" w:cs="Verdana"/>
          <w:color w:val="auto"/>
        </w:rPr>
        <w:t xml:space="preserve"> minder administratieve lasten en meer ruimte voor innovatie</w:t>
      </w:r>
      <w:r>
        <w:rPr>
          <w:rFonts w:eastAsia="Verdana" w:cs="Verdana"/>
          <w:color w:val="auto"/>
        </w:rPr>
        <w:t>,</w:t>
      </w:r>
      <w:r w:rsidRPr="00845EA0">
        <w:rPr>
          <w:rFonts w:eastAsia="Verdana" w:cs="Verdana"/>
          <w:color w:val="auto"/>
        </w:rPr>
        <w:t xml:space="preserve"> </w:t>
      </w:r>
      <w:r>
        <w:rPr>
          <w:rFonts w:eastAsia="Verdana" w:cs="Verdana"/>
          <w:color w:val="auto"/>
        </w:rPr>
        <w:t>zetten we de schaarse personeelscapaciteit zo optimaal mogelijk in.</w:t>
      </w:r>
      <w:r w:rsidR="00F97F38">
        <w:rPr>
          <w:rFonts w:eastAsia="Verdana" w:cs="Verdana"/>
          <w:color w:val="auto"/>
        </w:rPr>
        <w:t xml:space="preserve"> Hierdoor krijgen professionals meer tijd voor patiënten en cliënten en blijft zorg en welzijn een aantrekkelijke sector om in te werken. </w:t>
      </w:r>
      <w:r w:rsidR="00BD1EE2">
        <w:rPr>
          <w:rFonts w:eastAsia="Verdana" w:cs="Verdana"/>
          <w:color w:val="auto"/>
        </w:rPr>
        <w:t xml:space="preserve">Arbeidsbesparend werken is daarmee een belangrijke component van het arbeidsmarktbeleid van dit kabinet. </w:t>
      </w:r>
    </w:p>
    <w:p w:rsidR="006E6098" w:rsidP="006D59D6" w:rsidRDefault="006E6098" w14:paraId="62FE7069" w14:textId="77777777">
      <w:pPr>
        <w:suppressAutoHyphens/>
        <w:spacing w:line="276" w:lineRule="auto"/>
        <w:rPr>
          <w:rFonts w:eastAsia="Verdana" w:cs="Verdana"/>
          <w:color w:val="auto"/>
        </w:rPr>
      </w:pPr>
    </w:p>
    <w:p w:rsidRPr="003C5CCF" w:rsidR="00876107" w:rsidP="006D59D6" w:rsidRDefault="00082ACE" w14:paraId="562B5D83" w14:textId="77777777">
      <w:pPr>
        <w:suppressAutoHyphens/>
        <w:spacing w:line="276" w:lineRule="auto"/>
        <w:rPr>
          <w:rFonts w:eastAsia="Verdana" w:cs="Verdana"/>
          <w:i/>
          <w:color w:val="auto"/>
        </w:rPr>
      </w:pPr>
      <w:r w:rsidRPr="00E80ECB">
        <w:rPr>
          <w:rFonts w:eastAsia="Verdana" w:cs="Verdana"/>
          <w:i/>
          <w:iCs/>
          <w:color w:val="auto"/>
        </w:rPr>
        <w:t xml:space="preserve">Arbeidsbesparende innovatie </w:t>
      </w:r>
    </w:p>
    <w:p w:rsidR="00BD1EE2" w:rsidP="006D59D6" w:rsidRDefault="00082ACE" w14:paraId="58AF3D9C" w14:textId="77777777">
      <w:pPr>
        <w:suppressAutoHyphens/>
        <w:spacing w:line="276" w:lineRule="auto"/>
        <w:rPr>
          <w:rFonts w:eastAsia="Verdana" w:cs="Verdana"/>
          <w:color w:val="auto"/>
        </w:rPr>
      </w:pPr>
      <w:r>
        <w:rPr>
          <w:rFonts w:eastAsia="Verdana" w:cs="Verdana"/>
          <w:color w:val="auto"/>
        </w:rPr>
        <w:t xml:space="preserve">Op het gebied van innovatie zijn er in het AZWA afspraken gemaakt over het bevorderen van arbeidsbesparende </w:t>
      </w:r>
      <w:r w:rsidR="25ED57C5">
        <w:rPr>
          <w:rFonts w:eastAsia="Verdana" w:cs="Verdana"/>
          <w:color w:val="auto"/>
        </w:rPr>
        <w:t>inzet van innovatie</w:t>
      </w:r>
      <w:r>
        <w:rPr>
          <w:rFonts w:eastAsia="Verdana" w:cs="Verdana"/>
          <w:color w:val="auto"/>
        </w:rPr>
        <w:t xml:space="preserve">. De stand van zaken hieromtrent </w:t>
      </w:r>
      <w:r w:rsidR="00D175B7">
        <w:rPr>
          <w:rFonts w:eastAsia="Verdana" w:cs="Verdana"/>
          <w:color w:val="auto"/>
        </w:rPr>
        <w:t xml:space="preserve">heeft </w:t>
      </w:r>
      <w:r>
        <w:rPr>
          <w:rFonts w:eastAsia="Verdana" w:cs="Verdana"/>
          <w:color w:val="auto"/>
        </w:rPr>
        <w:t>uw Kamer in de voortgangsbrief IZA/AZWA</w:t>
      </w:r>
      <w:r w:rsidR="00D175B7">
        <w:rPr>
          <w:rFonts w:eastAsia="Verdana" w:cs="Verdana"/>
          <w:color w:val="auto"/>
        </w:rPr>
        <w:t xml:space="preserve"> van 9 april jl. reeds </w:t>
      </w:r>
      <w:r w:rsidR="00D175B7">
        <w:rPr>
          <w:rFonts w:eastAsia="Verdana" w:cs="Verdana"/>
          <w:color w:val="auto"/>
        </w:rPr>
        <w:lastRenderedPageBreak/>
        <w:t>ontvangen</w:t>
      </w:r>
      <w:r>
        <w:rPr>
          <w:rStyle w:val="Voetnootmarkering"/>
          <w:rFonts w:eastAsia="Verdana" w:cs="Verdana"/>
          <w:color w:val="auto"/>
        </w:rPr>
        <w:footnoteReference w:id="10"/>
      </w:r>
      <w:r>
        <w:rPr>
          <w:rFonts w:eastAsia="Verdana" w:cs="Verdana"/>
          <w:color w:val="auto"/>
        </w:rPr>
        <w:t>. H</w:t>
      </w:r>
      <w:r w:rsidRPr="00BD1EE2">
        <w:rPr>
          <w:rFonts w:eastAsia="Verdana" w:cs="Verdana"/>
          <w:color w:val="auto"/>
        </w:rPr>
        <w:t xml:space="preserve">et belang van innovaties binnen de individuele beroepsuitoefening en wat </w:t>
      </w:r>
      <w:r w:rsidR="00F97F38">
        <w:rPr>
          <w:rFonts w:eastAsia="Verdana" w:cs="Verdana"/>
          <w:color w:val="auto"/>
        </w:rPr>
        <w:t xml:space="preserve">er </w:t>
      </w:r>
      <w:r w:rsidRPr="00BD1EE2">
        <w:rPr>
          <w:rFonts w:eastAsia="Verdana" w:cs="Verdana"/>
          <w:color w:val="auto"/>
        </w:rPr>
        <w:t>nodig is om het gebruik van deze innovaties</w:t>
      </w:r>
      <w:r>
        <w:rPr>
          <w:rFonts w:eastAsia="Verdana" w:cs="Verdana"/>
          <w:color w:val="auto"/>
        </w:rPr>
        <w:t xml:space="preserve"> door professionals</w:t>
      </w:r>
      <w:r w:rsidRPr="00BD1EE2">
        <w:rPr>
          <w:rFonts w:eastAsia="Verdana" w:cs="Verdana"/>
          <w:color w:val="auto"/>
        </w:rPr>
        <w:t xml:space="preserve"> te laten slagen</w:t>
      </w:r>
      <w:r>
        <w:rPr>
          <w:rFonts w:eastAsia="Verdana" w:cs="Verdana"/>
          <w:color w:val="auto"/>
        </w:rPr>
        <w:t>, is</w:t>
      </w:r>
      <w:r w:rsidR="00D175B7">
        <w:rPr>
          <w:rFonts w:eastAsia="Verdana" w:cs="Verdana"/>
          <w:color w:val="auto"/>
        </w:rPr>
        <w:t xml:space="preserve"> ook</w:t>
      </w:r>
      <w:r>
        <w:rPr>
          <w:rFonts w:eastAsia="Verdana" w:cs="Verdana"/>
          <w:color w:val="auto"/>
        </w:rPr>
        <w:t xml:space="preserve"> in een eerdere brief aan uw Kamer uiteengezet</w:t>
      </w:r>
      <w:r>
        <w:rPr>
          <w:rStyle w:val="Voetnootmarkering"/>
          <w:rFonts w:eastAsia="Verdana" w:cs="Verdana"/>
          <w:color w:val="auto"/>
        </w:rPr>
        <w:footnoteReference w:id="11"/>
      </w:r>
      <w:r>
        <w:rPr>
          <w:rFonts w:eastAsia="Verdana" w:cs="Verdana"/>
          <w:color w:val="auto"/>
        </w:rPr>
        <w:t>.</w:t>
      </w:r>
      <w:r w:rsidR="00113DE9">
        <w:rPr>
          <w:rFonts w:eastAsia="Verdana" w:cs="Verdana"/>
          <w:color w:val="auto"/>
        </w:rPr>
        <w:t xml:space="preserve"> </w:t>
      </w:r>
      <w:r w:rsidR="00D175B7">
        <w:rPr>
          <w:rFonts w:eastAsia="Verdana" w:cs="Verdana"/>
          <w:color w:val="auto"/>
        </w:rPr>
        <w:t>O</w:t>
      </w:r>
      <w:r w:rsidR="00113DE9">
        <w:rPr>
          <w:rFonts w:eastAsia="Verdana" w:cs="Verdana"/>
          <w:color w:val="auto"/>
        </w:rPr>
        <w:t>ver de inzet van de doorbraakmiddelen die vanuit het AZWA</w:t>
      </w:r>
      <w:r w:rsidR="004028CD">
        <w:rPr>
          <w:rFonts w:eastAsia="Verdana" w:cs="Verdana"/>
          <w:color w:val="auto"/>
        </w:rPr>
        <w:t xml:space="preserve"> onder andere</w:t>
      </w:r>
      <w:r w:rsidR="00113DE9">
        <w:rPr>
          <w:rFonts w:eastAsia="Verdana" w:cs="Verdana"/>
          <w:color w:val="auto"/>
        </w:rPr>
        <w:t xml:space="preserve"> beschikbaar worden gesteld voor </w:t>
      </w:r>
      <w:r w:rsidRPr="00BD1EE2" w:rsidR="00113DE9">
        <w:rPr>
          <w:rFonts w:eastAsia="Verdana" w:cs="Verdana"/>
          <w:color w:val="auto"/>
        </w:rPr>
        <w:t>de landelijke opschaling van arbeidsbesparende AI, digitale en hybride zorg en medische technologie</w:t>
      </w:r>
      <w:r w:rsidR="00113DE9">
        <w:rPr>
          <w:rFonts w:eastAsia="Verdana" w:cs="Verdana"/>
          <w:color w:val="auto"/>
        </w:rPr>
        <w:t xml:space="preserve"> (</w:t>
      </w:r>
      <w:r w:rsidRPr="00F97F38" w:rsidR="00113DE9">
        <w:rPr>
          <w:rFonts w:eastAsia="Verdana" w:cs="Verdana"/>
          <w:color w:val="auto"/>
        </w:rPr>
        <w:t xml:space="preserve">€ </w:t>
      </w:r>
      <w:r w:rsidR="004028CD">
        <w:rPr>
          <w:rFonts w:eastAsia="Verdana" w:cs="Verdana"/>
          <w:color w:val="auto"/>
        </w:rPr>
        <w:t>2</w:t>
      </w:r>
      <w:r w:rsidRPr="00F97F38" w:rsidR="00113DE9">
        <w:rPr>
          <w:rFonts w:eastAsia="Verdana" w:cs="Verdana"/>
          <w:color w:val="auto"/>
        </w:rPr>
        <w:t xml:space="preserve">00 miljoen </w:t>
      </w:r>
      <w:r w:rsidR="004028CD">
        <w:rPr>
          <w:rFonts w:eastAsia="Verdana" w:cs="Verdana"/>
          <w:color w:val="auto"/>
        </w:rPr>
        <w:t>in 2027,</w:t>
      </w:r>
      <w:r w:rsidRPr="00F97F38" w:rsidR="00113DE9">
        <w:rPr>
          <w:rFonts w:eastAsia="Verdana" w:cs="Verdana"/>
          <w:color w:val="auto"/>
        </w:rPr>
        <w:t xml:space="preserve"> </w:t>
      </w:r>
      <w:r w:rsidRPr="00F97F38" w:rsidR="004028CD">
        <w:rPr>
          <w:rFonts w:eastAsia="Verdana" w:cs="Verdana"/>
          <w:color w:val="auto"/>
        </w:rPr>
        <w:t>€</w:t>
      </w:r>
      <w:r w:rsidR="004028CD">
        <w:rPr>
          <w:rFonts w:eastAsia="Verdana" w:cs="Verdana"/>
          <w:color w:val="auto"/>
        </w:rPr>
        <w:t xml:space="preserve"> 300 miljoen in </w:t>
      </w:r>
      <w:r w:rsidRPr="00F97F38" w:rsidR="00113DE9">
        <w:rPr>
          <w:rFonts w:eastAsia="Verdana" w:cs="Verdana"/>
          <w:color w:val="auto"/>
        </w:rPr>
        <w:t>202</w:t>
      </w:r>
      <w:r w:rsidR="004028CD">
        <w:rPr>
          <w:rFonts w:eastAsia="Verdana" w:cs="Verdana"/>
          <w:color w:val="auto"/>
        </w:rPr>
        <w:t>8</w:t>
      </w:r>
      <w:r w:rsidRPr="00F97F38" w:rsidR="00113DE9">
        <w:rPr>
          <w:rFonts w:eastAsia="Verdana" w:cs="Verdana"/>
          <w:color w:val="auto"/>
        </w:rPr>
        <w:t xml:space="preserve"> en</w:t>
      </w:r>
      <w:r w:rsidR="004028CD">
        <w:rPr>
          <w:rFonts w:eastAsia="Verdana" w:cs="Verdana"/>
          <w:color w:val="auto"/>
        </w:rPr>
        <w:t xml:space="preserve"> </w:t>
      </w:r>
      <w:r w:rsidRPr="00F97F38" w:rsidR="004028CD">
        <w:rPr>
          <w:rFonts w:eastAsia="Verdana" w:cs="Verdana"/>
          <w:color w:val="auto"/>
        </w:rPr>
        <w:t>€</w:t>
      </w:r>
      <w:r w:rsidR="004028CD">
        <w:rPr>
          <w:rFonts w:eastAsia="Verdana" w:cs="Verdana"/>
          <w:color w:val="auto"/>
        </w:rPr>
        <w:t xml:space="preserve"> 300 miljoen in</w:t>
      </w:r>
      <w:r w:rsidRPr="00F97F38" w:rsidR="00113DE9">
        <w:rPr>
          <w:rFonts w:eastAsia="Verdana" w:cs="Verdana"/>
          <w:color w:val="auto"/>
        </w:rPr>
        <w:t xml:space="preserve"> 202</w:t>
      </w:r>
      <w:r w:rsidR="004028CD">
        <w:rPr>
          <w:rFonts w:eastAsia="Verdana" w:cs="Verdana"/>
          <w:color w:val="auto"/>
        </w:rPr>
        <w:t>9</w:t>
      </w:r>
      <w:r w:rsidR="00113DE9">
        <w:rPr>
          <w:rFonts w:eastAsia="Verdana" w:cs="Verdana"/>
          <w:color w:val="auto"/>
        </w:rPr>
        <w:t xml:space="preserve">), heeft uw Kamer recent een </w:t>
      </w:r>
      <w:r w:rsidR="00897D47">
        <w:rPr>
          <w:rFonts w:eastAsia="Verdana" w:cs="Verdana"/>
          <w:color w:val="auto"/>
        </w:rPr>
        <w:t>voorhang</w:t>
      </w:r>
      <w:r w:rsidR="00113DE9">
        <w:rPr>
          <w:rFonts w:eastAsia="Verdana" w:cs="Verdana"/>
          <w:color w:val="auto"/>
        </w:rPr>
        <w:t xml:space="preserve">brief </w:t>
      </w:r>
      <w:r w:rsidR="00897D47">
        <w:rPr>
          <w:rFonts w:eastAsia="Verdana" w:cs="Verdana"/>
          <w:color w:val="auto"/>
        </w:rPr>
        <w:t xml:space="preserve">met beleidsmatige toelichting </w:t>
      </w:r>
      <w:r w:rsidR="00113DE9">
        <w:rPr>
          <w:rFonts w:eastAsia="Verdana" w:cs="Verdana"/>
          <w:color w:val="auto"/>
        </w:rPr>
        <w:t>ontvangen</w:t>
      </w:r>
      <w:r>
        <w:rPr>
          <w:rStyle w:val="Voetnootmarkering"/>
          <w:rFonts w:eastAsia="Verdana" w:cs="Verdana"/>
          <w:color w:val="auto"/>
        </w:rPr>
        <w:footnoteReference w:id="12"/>
      </w:r>
      <w:r w:rsidR="00113DE9">
        <w:rPr>
          <w:rFonts w:eastAsia="Verdana" w:cs="Verdana"/>
          <w:color w:val="auto"/>
        </w:rPr>
        <w:t>.</w:t>
      </w:r>
      <w:r w:rsidR="00A16646">
        <w:rPr>
          <w:rFonts w:eastAsia="Verdana" w:cs="Verdana"/>
          <w:color w:val="auto"/>
        </w:rPr>
        <w:t xml:space="preserve"> </w:t>
      </w:r>
    </w:p>
    <w:p w:rsidR="00920F08" w:rsidP="006D59D6" w:rsidRDefault="00920F08" w14:paraId="55DB6D67" w14:textId="77777777">
      <w:pPr>
        <w:suppressAutoHyphens/>
        <w:spacing w:line="276" w:lineRule="auto"/>
        <w:rPr>
          <w:rFonts w:eastAsia="Verdana" w:cs="Verdana"/>
          <w:color w:val="auto"/>
        </w:rPr>
      </w:pPr>
    </w:p>
    <w:p w:rsidRPr="003C5CCF" w:rsidR="00920F08" w:rsidP="006D59D6" w:rsidRDefault="00082ACE" w14:paraId="5E00D930" w14:textId="77777777">
      <w:pPr>
        <w:suppressAutoHyphens/>
        <w:spacing w:line="276" w:lineRule="auto"/>
        <w:rPr>
          <w:rFonts w:eastAsia="Verdana" w:cs="Verdana"/>
          <w:i/>
          <w:color w:val="auto"/>
        </w:rPr>
      </w:pPr>
      <w:r>
        <w:rPr>
          <w:rFonts w:eastAsia="Verdana" w:cs="Verdana"/>
          <w:i/>
          <w:iCs/>
          <w:color w:val="auto"/>
        </w:rPr>
        <w:t>Naar maximaal 20 procent administratietijd</w:t>
      </w:r>
    </w:p>
    <w:p w:rsidR="00651779" w:rsidP="006D59D6" w:rsidRDefault="00082ACE" w14:paraId="6198FF4C" w14:textId="77777777">
      <w:pPr>
        <w:suppressAutoHyphens/>
      </w:pPr>
      <w:r>
        <w:t>Een</w:t>
      </w:r>
      <w:r w:rsidR="006E6098">
        <w:t xml:space="preserve"> </w:t>
      </w:r>
      <w:r w:rsidR="00785058">
        <w:t>andere</w:t>
      </w:r>
      <w:r w:rsidR="006E6098">
        <w:t xml:space="preserve"> wijze waarop arbeidspotentieel beter kan worden benut via arbeidsbesparing,</w:t>
      </w:r>
      <w:r>
        <w:t xml:space="preserve"> is door de administratietijd te beperken. Administratietijd gaat immers ten koste van tijd voor de patiënt of cliënt én vermindert werkplezier</w:t>
      </w:r>
      <w:r w:rsidR="006E6098">
        <w:t xml:space="preserve"> van professionals</w:t>
      </w:r>
      <w:r>
        <w:t>. Daarom hebben de ondertekenaars van het IZA destijds als doel gesteld dat zorgprofessionals eind 2025 2 uur minder per week moeten besteden aan administratie. Op landelijk niveau laten de cijfers van het Centraal Bureau voor de Statistiek (CBS) een lichte daling zie</w:t>
      </w:r>
      <w:r>
        <w:t>n. Zorgbreed besteedden zorgprofessionals eind 2025 gemiddeld ongeveer 30 procent van hun werktijd aan administratie, terwijl het percentage vanaf 2020 tot voor de zomer van 2025 schommelde tussen de 31 en bijna 32 procent</w:t>
      </w:r>
      <w:r>
        <w:rPr>
          <w:rStyle w:val="Voetnootmarkering"/>
        </w:rPr>
        <w:footnoteReference w:id="13"/>
      </w:r>
      <w:r>
        <w:t>. Uit de rapportage van het CBS blijkt ook dat meer werkgevers activiteiten uitvoeren om de administratietijd te verkorten.</w:t>
      </w:r>
    </w:p>
    <w:p w:rsidR="00651779" w:rsidP="006D59D6" w:rsidRDefault="00651779" w14:paraId="4586DFED" w14:textId="77777777">
      <w:pPr>
        <w:suppressAutoHyphens/>
      </w:pPr>
    </w:p>
    <w:p w:rsidRPr="00FF72E1" w:rsidR="006E6098" w:rsidP="006D59D6" w:rsidRDefault="00082ACE" w14:paraId="62494E5A" w14:textId="77777777">
      <w:pPr>
        <w:pBdr>
          <w:top w:val="single" w:color="auto" w:sz="4" w:space="1"/>
          <w:left w:val="single" w:color="auto" w:sz="4" w:space="4"/>
          <w:bottom w:val="single" w:color="auto" w:sz="4" w:space="1"/>
          <w:right w:val="single" w:color="auto" w:sz="4" w:space="4"/>
        </w:pBdr>
        <w:suppressAutoHyphens/>
        <w:rPr>
          <w:u w:val="single"/>
        </w:rPr>
      </w:pPr>
      <w:bookmarkStart w:name="_Hlk230683456" w:id="7"/>
      <w:r w:rsidRPr="00FF72E1">
        <w:rPr>
          <w:u w:val="single"/>
        </w:rPr>
        <w:t xml:space="preserve">Box </w:t>
      </w:r>
      <w:r w:rsidRPr="00FF72E1" w:rsidR="00FF72E1">
        <w:rPr>
          <w:u w:val="single"/>
        </w:rPr>
        <w:t>1 Ontregelen in de praktijk</w:t>
      </w:r>
    </w:p>
    <w:p w:rsidR="00651779" w:rsidP="006D59D6" w:rsidRDefault="00082ACE" w14:paraId="314FC8EF" w14:textId="77777777">
      <w:pPr>
        <w:pBdr>
          <w:top w:val="single" w:color="auto" w:sz="4" w:space="1"/>
          <w:left w:val="single" w:color="auto" w:sz="4" w:space="4"/>
          <w:bottom w:val="single" w:color="auto" w:sz="4" w:space="1"/>
          <w:right w:val="single" w:color="auto" w:sz="4" w:space="4"/>
        </w:pBdr>
        <w:suppressAutoHyphens/>
      </w:pPr>
      <w:r>
        <w:t xml:space="preserve">Dat zorgorganisaties lokaal ontregelen en dat het hierbij regelmatig wél lukt om substantiële impact te maken en de administratietijd flink te verlagen, is ook te zien aan het aantal goede voorbeelden. Zo heeft ouderenzorgorganisatie Aafje naar voorbeeld van Carintreggeland de dubbele medicatiecontrole voor risicovolle medicatie afgeschaft, wat zonder toename van het aantal fouten resulteerde in 25 minuten tijdswinst per zorgprofessional per dienst. Ook zette ouderenzorgorganisatie </w:t>
      </w:r>
      <w:r w:rsidRPr="00542F1E">
        <w:t xml:space="preserve">Carinova de afgelopen jaren grote stappen </w:t>
      </w:r>
      <w:r>
        <w:t xml:space="preserve">met bijvoorbeeld het afschaffen van de zorg- en dienstverleningsovereenkomst en het stoppen met de dubbele medicatiecontrole. Daarmee realiseerden zij 2 uur regeldrukvermindering per zorgprofessional per week. Alle goede voorbeelden worden gedeeld op ordz.nl. </w:t>
      </w:r>
    </w:p>
    <w:bookmarkEnd w:id="7"/>
    <w:p w:rsidR="00651779" w:rsidP="006D59D6" w:rsidRDefault="00651779" w14:paraId="5CDC446D" w14:textId="77777777">
      <w:pPr>
        <w:suppressAutoHyphens/>
      </w:pPr>
    </w:p>
    <w:p w:rsidR="00651779" w:rsidP="006D59D6" w:rsidRDefault="00082ACE" w14:paraId="0939EE01" w14:textId="77777777">
      <w:pPr>
        <w:suppressAutoHyphens/>
      </w:pPr>
      <w:r>
        <w:t>Om de vele goede initiatieven verder te brengen en op te schalen zijn in het AZWA aanvullende afspraken gemaakt om de administratietijd substantieel terug te dringen. Zo zijn er</w:t>
      </w:r>
      <w:r w:rsidRPr="00FE76A7">
        <w:t xml:space="preserve"> afspraken gemaakt over opschaling van doorbraakprojecten</w:t>
      </w:r>
      <w:r>
        <w:t xml:space="preserve"> en vermindering van regeldruk als gevolg van</w:t>
      </w:r>
      <w:r w:rsidRPr="00FE76A7">
        <w:t xml:space="preserve"> machtigingen en verklaringen en </w:t>
      </w:r>
      <w:r>
        <w:t xml:space="preserve">verschillen in </w:t>
      </w:r>
      <w:r w:rsidRPr="00FE76A7">
        <w:t xml:space="preserve">inkoop- en verantwoordingseisen. </w:t>
      </w:r>
      <w:r>
        <w:t xml:space="preserve">Bovendien </w:t>
      </w:r>
      <w:r w:rsidRPr="00FE76A7">
        <w:t xml:space="preserve">wordt ingezet op </w:t>
      </w:r>
      <w:r>
        <w:t xml:space="preserve">het </w:t>
      </w:r>
      <w:r w:rsidRPr="00FE76A7">
        <w:t xml:space="preserve">opschalen van AI en het versnellen van implementatie van gegevensuitwisseling in de zorg. </w:t>
      </w:r>
      <w:r>
        <w:t xml:space="preserve">Daarnaast hebben alle ondertekenaars van het AZWA de </w:t>
      </w:r>
      <w:r w:rsidRPr="00FD09EA">
        <w:t xml:space="preserve">gezamenlijke norm </w:t>
      </w:r>
      <w:r>
        <w:t>omarmd dat zorgprofessionals in 2030</w:t>
      </w:r>
      <w:r w:rsidRPr="00FD09EA">
        <w:t xml:space="preserve"> maximaal 20% van hun tijd aan administratie besteden.</w:t>
      </w:r>
    </w:p>
    <w:p w:rsidR="00897D47" w:rsidP="006D59D6" w:rsidRDefault="00897D47" w14:paraId="0E6C5F21" w14:textId="77777777">
      <w:pPr>
        <w:suppressAutoHyphens/>
      </w:pPr>
    </w:p>
    <w:p w:rsidRPr="00E81908" w:rsidR="00897D47" w:rsidP="006D59D6" w:rsidRDefault="00082ACE" w14:paraId="6E8A2264" w14:textId="77777777">
      <w:pPr>
        <w:suppressAutoHyphens/>
        <w:spacing w:after="160" w:line="259" w:lineRule="auto"/>
      </w:pPr>
      <w:r>
        <w:lastRenderedPageBreak/>
        <w:t xml:space="preserve">Zoals eerder aangegeven, is de Kamer recent per voorhangbrief geïnformeerd over AZWA-doorbraakmiddelen die beschikbaar zijn voor </w:t>
      </w:r>
      <w:r w:rsidRPr="00E81908">
        <w:t>de ontwikkeling van AI, digitale en hybride zorg en medische technologie</w:t>
      </w:r>
      <w:r>
        <w:rPr>
          <w:rStyle w:val="Voetnootmarkering"/>
        </w:rPr>
        <w:footnoteReference w:id="14"/>
      </w:r>
      <w:r>
        <w:t xml:space="preserve">. </w:t>
      </w:r>
      <w:r w:rsidRPr="00E81908">
        <w:t xml:space="preserve">De komst van de European Health Data Space (EHDS) ondersteunt deze ontwikkeling door randvoorwaarden te creëren voor veilige, elektronische en toekomstbestendige gegevensuitwisseling binnen het zorgproces en voor de inrichting van een toekomstbestendig gezondheidsinformatiestelsel. </w:t>
      </w:r>
    </w:p>
    <w:p w:rsidRPr="00556FEE" w:rsidR="00651779" w:rsidP="006D59D6" w:rsidRDefault="00082ACE" w14:paraId="44565961" w14:textId="77777777">
      <w:pPr>
        <w:suppressAutoHyphens/>
      </w:pPr>
      <w:r>
        <w:t xml:space="preserve">Deze ambitie en onderliggende afspraken zijn verwerkt in het gezamenlijke plan van aanpak van de Regiegroep Aanpak Regeldruk en in de individuele werkagenda’s van de leden van de Regiegroep. Deze stukken zijn door </w:t>
      </w:r>
      <w:r w:rsidR="00D73355">
        <w:t xml:space="preserve">de voormalig minister van VWS </w:t>
      </w:r>
      <w:r>
        <w:t>op 3 februari 2026 naar uw Kamer gestuurd</w:t>
      </w:r>
      <w:r>
        <w:rPr>
          <w:rStyle w:val="Voetnootmarkering"/>
        </w:rPr>
        <w:footnoteReference w:id="15"/>
      </w:r>
      <w:r>
        <w:t xml:space="preserve">. De komende periode staat in het teken van uitvoering van die plannen door alle partijen binnen de Regiegroep om gezamenlijk </w:t>
      </w:r>
      <w:r w:rsidRPr="002C5F31">
        <w:t>de</w:t>
      </w:r>
      <w:r>
        <w:t xml:space="preserve"> </w:t>
      </w:r>
      <w:r w:rsidRPr="002C5F31">
        <w:t>transitie vorm</w:t>
      </w:r>
      <w:r>
        <w:t xml:space="preserve"> te </w:t>
      </w:r>
      <w:r w:rsidRPr="002C5F31">
        <w:t xml:space="preserve">geven van wantrouwen naar </w:t>
      </w:r>
      <w:r>
        <w:t xml:space="preserve">meer </w:t>
      </w:r>
      <w:r w:rsidRPr="002C5F31">
        <w:t>vertrouwen in professionals op</w:t>
      </w:r>
      <w:r>
        <w:t xml:space="preserve"> </w:t>
      </w:r>
      <w:r w:rsidRPr="002C5F31">
        <w:t>de werkvloer</w:t>
      </w:r>
      <w:r>
        <w:t xml:space="preserve">. In de brief die vóór het </w:t>
      </w:r>
      <w:r w:rsidR="539931A1">
        <w:t>Commissie</w:t>
      </w:r>
      <w:r>
        <w:t>debat over het IZA/AZWA naar uw Kamer wordt verstuurd, zal het kabinet ingaan op de voortgang van de uitvoering van de</w:t>
      </w:r>
      <w:r w:rsidR="539931A1">
        <w:t>ze</w:t>
      </w:r>
      <w:r>
        <w:t xml:space="preserve"> AZWA afspraken en het plan van aanpak en de werkagenda’s van de Regiegroep. </w:t>
      </w:r>
    </w:p>
    <w:p w:rsidR="7FF9E926" w:rsidP="006D59D6" w:rsidRDefault="7FF9E926" w14:paraId="3FAFAC3D" w14:textId="77777777">
      <w:pPr>
        <w:suppressAutoHyphens/>
        <w:spacing w:line="276" w:lineRule="auto"/>
        <w:rPr>
          <w:rFonts w:eastAsia="Verdana" w:cs="Verdana"/>
          <w:i/>
          <w:iCs/>
        </w:rPr>
      </w:pPr>
    </w:p>
    <w:p w:rsidRPr="003C5CCF" w:rsidR="00845EA0" w:rsidP="006D59D6" w:rsidRDefault="00082ACE" w14:paraId="516F7D5F" w14:textId="77777777">
      <w:pPr>
        <w:suppressAutoHyphens/>
        <w:spacing w:line="276" w:lineRule="auto"/>
        <w:rPr>
          <w:rFonts w:eastAsia="Verdana" w:cs="Verdana"/>
          <w:i/>
          <w:color w:val="auto"/>
        </w:rPr>
      </w:pPr>
      <w:r w:rsidRPr="00845EA0">
        <w:rPr>
          <w:rFonts w:eastAsia="Verdana" w:cs="Verdana"/>
          <w:i/>
          <w:iCs/>
          <w:color w:val="auto"/>
        </w:rPr>
        <w:t xml:space="preserve">Meer uren werken </w:t>
      </w:r>
      <w:r w:rsidR="00F97F38">
        <w:rPr>
          <w:rFonts w:eastAsia="Verdana" w:cs="Verdana"/>
          <w:i/>
          <w:iCs/>
          <w:color w:val="auto"/>
        </w:rPr>
        <w:t>stimuleren</w:t>
      </w:r>
    </w:p>
    <w:p w:rsidR="007430E5" w:rsidP="006D59D6" w:rsidRDefault="00082ACE" w14:paraId="3D297DDA" w14:textId="77777777">
      <w:pPr>
        <w:suppressAutoHyphens/>
        <w:spacing w:line="276" w:lineRule="auto"/>
        <w:rPr>
          <w:rFonts w:eastAsia="Verdana" w:cs="Verdana"/>
        </w:rPr>
      </w:pPr>
      <w:r w:rsidRPr="49A4F9FE">
        <w:rPr>
          <w:rFonts w:eastAsia="Verdana" w:cs="Verdana"/>
        </w:rPr>
        <w:t xml:space="preserve">De deeltijdfactor </w:t>
      </w:r>
      <w:r w:rsidR="007B2F2C">
        <w:rPr>
          <w:rFonts w:eastAsia="Verdana" w:cs="Verdana"/>
        </w:rPr>
        <w:t>in zorg en welzijn</w:t>
      </w:r>
      <w:r w:rsidR="00920F08">
        <w:rPr>
          <w:rFonts w:eastAsia="Verdana" w:cs="Verdana"/>
        </w:rPr>
        <w:t xml:space="preserve"> </w:t>
      </w:r>
      <w:r w:rsidR="003E2ADD">
        <w:rPr>
          <w:rFonts w:eastAsia="Verdana" w:cs="Verdana"/>
        </w:rPr>
        <w:t>is</w:t>
      </w:r>
      <w:r w:rsidRPr="49A4F9FE">
        <w:rPr>
          <w:rFonts w:eastAsia="Verdana" w:cs="Verdana"/>
        </w:rPr>
        <w:t xml:space="preserve"> </w:t>
      </w:r>
      <w:r w:rsidR="00011254">
        <w:rPr>
          <w:rFonts w:eastAsia="Verdana" w:cs="Verdana"/>
        </w:rPr>
        <w:t>met 0,6</w:t>
      </w:r>
      <w:r w:rsidR="00F5177E">
        <w:rPr>
          <w:rFonts w:eastAsia="Verdana" w:cs="Verdana"/>
        </w:rPr>
        <w:t>9</w:t>
      </w:r>
      <w:r w:rsidR="00011254">
        <w:rPr>
          <w:rFonts w:eastAsia="Verdana" w:cs="Verdana"/>
        </w:rPr>
        <w:t xml:space="preserve"> al geruime tijd stabiel en relatief laag in vergelijking met het gemiddelde in Nederland</w:t>
      </w:r>
      <w:r w:rsidR="00792751">
        <w:rPr>
          <w:rFonts w:eastAsia="Verdana" w:cs="Verdana"/>
        </w:rPr>
        <w:t xml:space="preserve"> </w:t>
      </w:r>
      <w:r w:rsidR="00E35788">
        <w:rPr>
          <w:rFonts w:eastAsia="Verdana" w:cs="Verdana"/>
        </w:rPr>
        <w:t>(0,76)</w:t>
      </w:r>
      <w:r>
        <w:rPr>
          <w:rStyle w:val="Voetnootmarkering"/>
          <w:rFonts w:eastAsia="Verdana" w:cs="Verdana"/>
        </w:rPr>
        <w:footnoteReference w:id="16"/>
      </w:r>
      <w:r w:rsidRPr="49A4F9FE">
        <w:rPr>
          <w:rFonts w:eastAsia="Verdana" w:cs="Verdana"/>
        </w:rPr>
        <w:t>.</w:t>
      </w:r>
      <w:r w:rsidR="00792751">
        <w:rPr>
          <w:rFonts w:eastAsia="Verdana" w:cs="Verdana"/>
        </w:rPr>
        <w:t xml:space="preserve"> </w:t>
      </w:r>
      <w:r w:rsidRPr="00F32E5C" w:rsidR="00F32E5C">
        <w:rPr>
          <w:rFonts w:eastAsia="Verdana" w:cs="Verdana"/>
        </w:rPr>
        <w:t>Veel medewerkers werken in kleine contracten. Waar dat past bij hun situatie en wensen, kan een grotere arbeidsduur per persoon helpen de tekorten te verkleinen.</w:t>
      </w:r>
      <w:r w:rsidR="00ED7C3B">
        <w:rPr>
          <w:rFonts w:eastAsia="Verdana" w:cs="Verdana"/>
        </w:rPr>
        <w:t xml:space="preserve"> O</w:t>
      </w:r>
      <w:r w:rsidRPr="00ED7C3B" w:rsidR="00ED7C3B">
        <w:rPr>
          <w:rFonts w:eastAsia="Verdana" w:cs="Verdana"/>
        </w:rPr>
        <w:t xml:space="preserve">nderzoek laat </w:t>
      </w:r>
      <w:r w:rsidR="00ED7C3B">
        <w:rPr>
          <w:rFonts w:eastAsia="Verdana" w:cs="Verdana"/>
        </w:rPr>
        <w:t>namelijk zien</w:t>
      </w:r>
      <w:r w:rsidRPr="00ED7C3B" w:rsidR="00ED7C3B">
        <w:rPr>
          <w:rFonts w:eastAsia="Verdana" w:cs="Verdana"/>
        </w:rPr>
        <w:t xml:space="preserve"> dat er ruimte is om de deeltijdfactor te vergroten – mits organisaties actief het gesprek voeren en ruimte bieden in roosters, </w:t>
      </w:r>
      <w:r w:rsidR="00622165">
        <w:rPr>
          <w:rFonts w:eastAsia="Verdana" w:cs="Verdana"/>
        </w:rPr>
        <w:t>werk</w:t>
      </w:r>
      <w:r w:rsidRPr="00ED7C3B" w:rsidR="00ED7C3B">
        <w:rPr>
          <w:rFonts w:eastAsia="Verdana" w:cs="Verdana"/>
        </w:rPr>
        <w:t>cultuur en regelingen</w:t>
      </w:r>
      <w:r>
        <w:rPr>
          <w:rStyle w:val="Voetnootmarkering"/>
          <w:rFonts w:eastAsia="Verdana" w:cs="Verdana"/>
        </w:rPr>
        <w:footnoteReference w:id="17"/>
      </w:r>
      <w:r w:rsidR="00ED7C3B">
        <w:rPr>
          <w:rFonts w:eastAsia="Verdana" w:cs="Verdana"/>
        </w:rPr>
        <w:t>. De</w:t>
      </w:r>
      <w:r>
        <w:rPr>
          <w:rFonts w:eastAsia="Verdana" w:cs="Verdana"/>
        </w:rPr>
        <w:t xml:space="preserve"> afgelopen jaren is via intensieve verandertrajecten in de praktijk veel kennis verzameld op dit vlak. De belangrijkste inzichten en concrete handvatten zijn beschikbaar via groterecontractenindezorg.nl. </w:t>
      </w:r>
    </w:p>
    <w:p w:rsidR="00E35788" w:rsidP="006D59D6" w:rsidRDefault="00E35788" w14:paraId="7BCDF3F3" w14:textId="77777777">
      <w:pPr>
        <w:suppressAutoHyphens/>
        <w:spacing w:line="276" w:lineRule="auto"/>
        <w:rPr>
          <w:rFonts w:eastAsia="Verdana" w:cs="Verdana"/>
        </w:rPr>
      </w:pPr>
    </w:p>
    <w:p w:rsidRPr="00FF72E1" w:rsidR="00E35788" w:rsidP="006D59D6" w:rsidRDefault="00082ACE" w14:paraId="2714B6BA" w14:textId="77777777">
      <w:pPr>
        <w:pBdr>
          <w:top w:val="single" w:color="auto" w:sz="4" w:space="1"/>
          <w:left w:val="single" w:color="auto" w:sz="4" w:space="4"/>
          <w:bottom w:val="single" w:color="auto" w:sz="4" w:space="1"/>
          <w:right w:val="single" w:color="auto" w:sz="4" w:space="4"/>
        </w:pBdr>
        <w:suppressAutoHyphens/>
        <w:spacing w:line="276" w:lineRule="auto"/>
        <w:rPr>
          <w:rFonts w:eastAsia="Verdana" w:cs="Verdana"/>
          <w:u w:val="single"/>
        </w:rPr>
      </w:pPr>
      <w:bookmarkStart w:name="_Hlk229568866" w:id="8"/>
      <w:r w:rsidRPr="00FF72E1">
        <w:rPr>
          <w:rFonts w:eastAsia="Verdana" w:cs="Verdana"/>
          <w:u w:val="single"/>
        </w:rPr>
        <w:t xml:space="preserve">Box </w:t>
      </w:r>
      <w:r w:rsidRPr="00FF72E1" w:rsidR="009A79F7">
        <w:rPr>
          <w:rFonts w:eastAsia="Verdana" w:cs="Verdana"/>
          <w:u w:val="single"/>
        </w:rPr>
        <w:t>2</w:t>
      </w:r>
      <w:r w:rsidRPr="00FF72E1" w:rsidR="00FF72E1">
        <w:rPr>
          <w:rFonts w:eastAsia="Verdana" w:cs="Verdana"/>
          <w:u w:val="single"/>
        </w:rPr>
        <w:t xml:space="preserve"> Meer uren werken in de praktijk</w:t>
      </w:r>
    </w:p>
    <w:p w:rsidR="00310CBA" w:rsidP="006D59D6" w:rsidRDefault="00082ACE" w14:paraId="60B2C460" w14:textId="77777777">
      <w:pPr>
        <w:pStyle w:val="Lijstopsomteken"/>
        <w:numPr>
          <w:ilvl w:val="0"/>
          <w:numId w:val="0"/>
        </w:numPr>
        <w:pBdr>
          <w:top w:val="single" w:color="auto" w:sz="4" w:space="1"/>
          <w:left w:val="single" w:color="auto" w:sz="4" w:space="4"/>
          <w:bottom w:val="single" w:color="auto" w:sz="4" w:space="1"/>
          <w:right w:val="single" w:color="auto" w:sz="4" w:space="4"/>
        </w:pBdr>
        <w:suppressAutoHyphens/>
      </w:pPr>
      <w:r>
        <w:t xml:space="preserve">Het Potentieel Pakken is vanuit het landelijke programma Contractuitbreiding in de Zorg </w:t>
      </w:r>
      <w:r w:rsidRPr="00914033">
        <w:t xml:space="preserve">actief met medewerkers en leidinggevenden aan de slag </w:t>
      </w:r>
      <w:r>
        <w:t>ge</w:t>
      </w:r>
      <w:r w:rsidRPr="00914033">
        <w:t>gaan</w:t>
      </w:r>
      <w:r>
        <w:t xml:space="preserve"> van 2021-2024. Organisaties realiseerden gemiddeld 9% contractuitbreiding: 4,7 uur per week extra per medewerker. Daarnaast hadden deze trajecten positieve neveneffecten op het gebied van betrokkenheid, behoud en verzuim. </w:t>
      </w:r>
    </w:p>
    <w:p w:rsidRPr="00752280" w:rsidR="00E35788" w:rsidP="006D59D6" w:rsidRDefault="00082ACE" w14:paraId="452489AA" w14:textId="77777777">
      <w:pPr>
        <w:pStyle w:val="Lijstopsomteken"/>
        <w:numPr>
          <w:ilvl w:val="0"/>
          <w:numId w:val="0"/>
        </w:numPr>
        <w:pBdr>
          <w:top w:val="single" w:color="auto" w:sz="4" w:space="1"/>
          <w:left w:val="single" w:color="auto" w:sz="4" w:space="4"/>
          <w:bottom w:val="single" w:color="auto" w:sz="4" w:space="1"/>
          <w:right w:val="single" w:color="auto" w:sz="4" w:space="4"/>
        </w:pBdr>
        <w:suppressAutoHyphens/>
      </w:pPr>
      <w:r>
        <w:t>Een specifiek voorbeeld is ouderenzorgorganisastie Aafje waar 20% van de actief betrokken medewerkers contracturen heeft uitgebreid met 6,8 uur per week. Dit leverde Aafje een groei op van 6,6 fte</w:t>
      </w:r>
      <w:r>
        <w:rPr>
          <w:rStyle w:val="Voetnootmarkering"/>
        </w:rPr>
        <w:footnoteReference w:id="18"/>
      </w:r>
      <w:r>
        <w:t>.</w:t>
      </w:r>
    </w:p>
    <w:bookmarkEnd w:id="8"/>
    <w:p w:rsidR="00E35788" w:rsidP="006D59D6" w:rsidRDefault="00E35788" w14:paraId="25C22317" w14:textId="77777777">
      <w:pPr>
        <w:suppressAutoHyphens/>
        <w:spacing w:line="276" w:lineRule="auto"/>
        <w:rPr>
          <w:rFonts w:eastAsia="Verdana" w:cs="Verdana"/>
        </w:rPr>
      </w:pPr>
    </w:p>
    <w:p w:rsidR="00845EA0" w:rsidP="006D59D6" w:rsidRDefault="00082ACE" w14:paraId="23C8E526" w14:textId="77777777">
      <w:pPr>
        <w:suppressAutoHyphens/>
        <w:spacing w:line="276" w:lineRule="auto"/>
        <w:rPr>
          <w:rFonts w:eastAsia="Verdana" w:cs="Verdana"/>
          <w:color w:val="auto"/>
        </w:rPr>
      </w:pPr>
      <w:r>
        <w:rPr>
          <w:rFonts w:eastAsia="Verdana" w:cs="Verdana"/>
        </w:rPr>
        <w:t xml:space="preserve">In aanvulling hierop </w:t>
      </w:r>
      <w:r w:rsidR="007430E5">
        <w:rPr>
          <w:rFonts w:eastAsia="Verdana" w:cs="Verdana"/>
        </w:rPr>
        <w:t xml:space="preserve">volg ik met belangstelling de initiatieven en pilots die </w:t>
      </w:r>
      <w:r>
        <w:rPr>
          <w:rFonts w:eastAsia="Verdana" w:cs="Verdana"/>
        </w:rPr>
        <w:t xml:space="preserve">momenteel door </w:t>
      </w:r>
      <w:r w:rsidR="0020734E">
        <w:rPr>
          <w:rFonts w:eastAsia="Verdana" w:cs="Verdana"/>
        </w:rPr>
        <w:t xml:space="preserve">mijn collega’s van </w:t>
      </w:r>
      <w:r w:rsidR="007430E5">
        <w:rPr>
          <w:rFonts w:eastAsia="Verdana" w:cs="Verdana"/>
        </w:rPr>
        <w:t xml:space="preserve">de </w:t>
      </w:r>
      <w:r w:rsidRPr="49A4F9FE" w:rsidR="49A4F9FE">
        <w:rPr>
          <w:rFonts w:eastAsia="Verdana" w:cs="Verdana"/>
        </w:rPr>
        <w:t>ministerie</w:t>
      </w:r>
      <w:r w:rsidR="007430E5">
        <w:rPr>
          <w:rFonts w:eastAsia="Verdana" w:cs="Verdana"/>
        </w:rPr>
        <w:t>s</w:t>
      </w:r>
      <w:r w:rsidRPr="49A4F9FE" w:rsidR="49A4F9FE">
        <w:rPr>
          <w:rFonts w:eastAsia="Verdana" w:cs="Verdana"/>
        </w:rPr>
        <w:t xml:space="preserve"> van SZW</w:t>
      </w:r>
      <w:r w:rsidR="007430E5">
        <w:rPr>
          <w:rFonts w:eastAsia="Verdana" w:cs="Verdana"/>
        </w:rPr>
        <w:t xml:space="preserve"> en OCW worden uitgevoerd. Het ministerie van SZW </w:t>
      </w:r>
      <w:r w:rsidR="00D52146">
        <w:rPr>
          <w:rFonts w:eastAsia="Verdana" w:cs="Verdana"/>
        </w:rPr>
        <w:t>gaat een aantal</w:t>
      </w:r>
      <w:r w:rsidR="007430E5">
        <w:rPr>
          <w:rFonts w:eastAsia="Verdana" w:cs="Verdana"/>
        </w:rPr>
        <w:t xml:space="preserve"> </w:t>
      </w:r>
      <w:r w:rsidRPr="49A4F9FE" w:rsidR="49A4F9FE">
        <w:rPr>
          <w:rFonts w:eastAsia="Verdana" w:cs="Verdana"/>
        </w:rPr>
        <w:t xml:space="preserve">maatregelen </w:t>
      </w:r>
      <w:r w:rsidR="00D52146">
        <w:rPr>
          <w:rFonts w:eastAsia="Verdana" w:cs="Verdana"/>
        </w:rPr>
        <w:t>onderzoeken: het</w:t>
      </w:r>
      <w:r w:rsidRPr="49A4F9FE" w:rsidR="49A4F9FE">
        <w:rPr>
          <w:rFonts w:eastAsia="Verdana" w:cs="Verdana"/>
        </w:rPr>
        <w:t xml:space="preserve"> meerurenvoordeel, </w:t>
      </w:r>
      <w:r w:rsidR="00D52146">
        <w:rPr>
          <w:rFonts w:eastAsia="Verdana" w:cs="Verdana"/>
        </w:rPr>
        <w:t xml:space="preserve">de </w:t>
      </w:r>
      <w:r w:rsidRPr="49A4F9FE" w:rsidR="49A4F9FE">
        <w:rPr>
          <w:rFonts w:eastAsia="Verdana" w:cs="Verdana"/>
        </w:rPr>
        <w:t xml:space="preserve">voltijdsbonus en </w:t>
      </w:r>
      <w:r w:rsidR="00D52146">
        <w:rPr>
          <w:rFonts w:eastAsia="Verdana" w:cs="Verdana"/>
        </w:rPr>
        <w:t xml:space="preserve">de </w:t>
      </w:r>
      <w:r w:rsidRPr="49A4F9FE" w:rsidR="49A4F9FE">
        <w:rPr>
          <w:rFonts w:eastAsia="Verdana" w:cs="Verdana"/>
        </w:rPr>
        <w:t xml:space="preserve">arbeidskorting per uur. </w:t>
      </w:r>
      <w:r w:rsidRPr="49A4F9FE" w:rsidR="49A4F9FE">
        <w:rPr>
          <w:rFonts w:eastAsia="Verdana" w:cs="Verdana"/>
          <w:color w:val="000000" w:themeColor="text1"/>
        </w:rPr>
        <w:t xml:space="preserve">Daarnaast </w:t>
      </w:r>
      <w:r w:rsidRPr="49A4F9FE" w:rsidR="49A4F9FE">
        <w:rPr>
          <w:rFonts w:eastAsia="Verdana" w:cs="Verdana"/>
          <w:color w:val="000000" w:themeColor="text1"/>
        </w:rPr>
        <w:lastRenderedPageBreak/>
        <w:t xml:space="preserve">coördineert het ministerie van SZW in samenwerking met Universiteit Utrecht </w:t>
      </w:r>
      <w:r w:rsidR="007430E5">
        <w:rPr>
          <w:rFonts w:eastAsia="Verdana" w:cs="Verdana"/>
          <w:color w:val="000000" w:themeColor="text1"/>
        </w:rPr>
        <w:t>het</w:t>
      </w:r>
      <w:r w:rsidRPr="49A4F9FE" w:rsidR="49A4F9FE">
        <w:rPr>
          <w:rFonts w:eastAsia="Verdana" w:cs="Verdana"/>
          <w:color w:val="000000" w:themeColor="text1"/>
        </w:rPr>
        <w:t xml:space="preserve"> N</w:t>
      </w:r>
      <w:r w:rsidR="003E2ADD">
        <w:rPr>
          <w:rFonts w:eastAsia="Verdana" w:cs="Verdana"/>
          <w:color w:val="000000" w:themeColor="text1"/>
        </w:rPr>
        <w:t>ational Groeifonds</w:t>
      </w:r>
      <w:r w:rsidRPr="49A4F9FE" w:rsidR="49A4F9FE">
        <w:rPr>
          <w:rFonts w:eastAsia="Verdana" w:cs="Verdana"/>
          <w:color w:val="000000" w:themeColor="text1"/>
        </w:rPr>
        <w:t>-pro</w:t>
      </w:r>
      <w:r w:rsidR="00D6559C">
        <w:rPr>
          <w:rFonts w:eastAsia="Verdana" w:cs="Verdana"/>
          <w:color w:val="000000" w:themeColor="text1"/>
        </w:rPr>
        <w:t>gramma</w:t>
      </w:r>
      <w:r w:rsidRPr="49A4F9FE" w:rsidR="49A4F9FE">
        <w:rPr>
          <w:rFonts w:eastAsia="Verdana" w:cs="Verdana"/>
          <w:color w:val="000000" w:themeColor="text1"/>
        </w:rPr>
        <w:t xml:space="preserve"> </w:t>
      </w:r>
      <w:r w:rsidRPr="00920F08" w:rsidR="49A4F9FE">
        <w:rPr>
          <w:rFonts w:eastAsia="Verdana" w:cs="Verdana"/>
          <w:i/>
          <w:iCs/>
          <w:color w:val="000000" w:themeColor="text1"/>
        </w:rPr>
        <w:t>Meer uren werkt</w:t>
      </w:r>
      <w:r w:rsidRPr="49A4F9FE" w:rsidR="49A4F9FE">
        <w:rPr>
          <w:rFonts w:eastAsia="Verdana" w:cs="Verdana"/>
          <w:color w:val="000000" w:themeColor="text1"/>
        </w:rPr>
        <w:t xml:space="preserve">, waarbij </w:t>
      </w:r>
      <w:r w:rsidR="00D6559C">
        <w:rPr>
          <w:rFonts w:eastAsia="Verdana" w:cs="Verdana"/>
          <w:color w:val="000000" w:themeColor="text1"/>
        </w:rPr>
        <w:t>verschillende</w:t>
      </w:r>
      <w:r w:rsidRPr="49A4F9FE" w:rsidR="49A4F9FE">
        <w:rPr>
          <w:rFonts w:eastAsia="Verdana" w:cs="Verdana"/>
          <w:color w:val="000000" w:themeColor="text1"/>
        </w:rPr>
        <w:t xml:space="preserve"> interventies ten aanzien van meer uren werken op de werkvloer worden uitgevoerd en tegelijkertijd onderzocht op effect. Dit gebeurt met werkgevers en deeltijdwerkers</w:t>
      </w:r>
      <w:r w:rsidR="00920F08">
        <w:rPr>
          <w:rFonts w:eastAsia="Verdana" w:cs="Verdana"/>
          <w:color w:val="000000" w:themeColor="text1"/>
        </w:rPr>
        <w:t>, onder meer</w:t>
      </w:r>
      <w:r w:rsidRPr="49A4F9FE" w:rsidR="49A4F9FE">
        <w:rPr>
          <w:rFonts w:eastAsia="Verdana" w:cs="Verdana"/>
          <w:color w:val="000000" w:themeColor="text1"/>
        </w:rPr>
        <w:t xml:space="preserve"> in zorg en welzijn. </w:t>
      </w:r>
      <w:r w:rsidRPr="008B1888" w:rsidR="008B1888">
        <w:rPr>
          <w:rFonts w:eastAsia="Verdana" w:cs="Verdana"/>
          <w:color w:val="000000" w:themeColor="text1"/>
        </w:rPr>
        <w:t xml:space="preserve">De start en </w:t>
      </w:r>
      <w:r w:rsidR="005A6238">
        <w:rPr>
          <w:rFonts w:eastAsia="Verdana" w:cs="Verdana"/>
          <w:color w:val="000000" w:themeColor="text1"/>
        </w:rPr>
        <w:t xml:space="preserve">voorbereidingen </w:t>
      </w:r>
      <w:r w:rsidRPr="008B1888" w:rsidR="008B1888">
        <w:rPr>
          <w:rFonts w:eastAsia="Verdana" w:cs="Verdana"/>
          <w:color w:val="000000" w:themeColor="text1"/>
        </w:rPr>
        <w:t xml:space="preserve">voor </w:t>
      </w:r>
      <w:r w:rsidR="00D6559C">
        <w:rPr>
          <w:rFonts w:eastAsia="Verdana" w:cs="Verdana"/>
          <w:color w:val="000000" w:themeColor="text1"/>
        </w:rPr>
        <w:t>de</w:t>
      </w:r>
      <w:r w:rsidR="005A6238">
        <w:rPr>
          <w:rFonts w:eastAsia="Verdana" w:cs="Verdana"/>
          <w:color w:val="000000" w:themeColor="text1"/>
        </w:rPr>
        <w:t xml:space="preserve"> pilots</w:t>
      </w:r>
      <w:r w:rsidRPr="008B1888" w:rsidR="008B1888">
        <w:rPr>
          <w:rFonts w:eastAsia="Verdana" w:cs="Verdana"/>
          <w:color w:val="000000" w:themeColor="text1"/>
        </w:rPr>
        <w:t xml:space="preserve"> wa</w:t>
      </w:r>
      <w:r w:rsidR="008B1888">
        <w:rPr>
          <w:rFonts w:eastAsia="Verdana" w:cs="Verdana"/>
          <w:color w:val="000000" w:themeColor="text1"/>
        </w:rPr>
        <w:t>ren</w:t>
      </w:r>
      <w:r w:rsidRPr="008B1888" w:rsidR="008B1888">
        <w:rPr>
          <w:rFonts w:eastAsia="Verdana" w:cs="Verdana"/>
          <w:color w:val="000000" w:themeColor="text1"/>
        </w:rPr>
        <w:t xml:space="preserve"> in het najaar 202</w:t>
      </w:r>
      <w:r w:rsidR="008B1888">
        <w:rPr>
          <w:rFonts w:eastAsia="Verdana" w:cs="Verdana"/>
          <w:color w:val="000000" w:themeColor="text1"/>
        </w:rPr>
        <w:t>5</w:t>
      </w:r>
      <w:r w:rsidR="00D6559C">
        <w:rPr>
          <w:rFonts w:eastAsia="Verdana" w:cs="Verdana"/>
          <w:color w:val="000000" w:themeColor="text1"/>
        </w:rPr>
        <w:t xml:space="preserve">. </w:t>
      </w:r>
      <w:r w:rsidR="005A6238">
        <w:rPr>
          <w:rFonts w:eastAsia="Verdana" w:cs="Verdana"/>
          <w:color w:val="000000" w:themeColor="text1"/>
        </w:rPr>
        <w:t>De e</w:t>
      </w:r>
      <w:r w:rsidR="00D6559C">
        <w:rPr>
          <w:rFonts w:eastAsia="Verdana" w:cs="Verdana"/>
          <w:color w:val="000000" w:themeColor="text1"/>
        </w:rPr>
        <w:t>erste uitkomsten vanuit het onderzoek van Universiteit Utrecht op de interventies die nu in de pilotprojecten worden toegepast komen in de eerste helft van 2027 beschikbaar.</w:t>
      </w:r>
      <w:r w:rsidRPr="49A4F9FE" w:rsidR="49A4F9FE">
        <w:rPr>
          <w:rFonts w:eastAsia="Verdana" w:cs="Verdana"/>
          <w:color w:val="000000" w:themeColor="text1"/>
        </w:rPr>
        <w:t xml:space="preserve"> </w:t>
      </w:r>
      <w:r w:rsidR="007430E5">
        <w:rPr>
          <w:rFonts w:eastAsia="Verdana" w:cs="Verdana"/>
        </w:rPr>
        <w:t>Vanuit het</w:t>
      </w:r>
      <w:r w:rsidRPr="49A4F9FE" w:rsidR="49A4F9FE">
        <w:rPr>
          <w:rFonts w:eastAsia="Verdana" w:cs="Verdana"/>
        </w:rPr>
        <w:t xml:space="preserve"> ministerie van OCW </w:t>
      </w:r>
      <w:r w:rsidR="007430E5">
        <w:rPr>
          <w:rFonts w:eastAsia="Verdana" w:cs="Verdana"/>
        </w:rPr>
        <w:t xml:space="preserve">wordt </w:t>
      </w:r>
      <w:r w:rsidRPr="49A4F9FE" w:rsidR="49A4F9FE">
        <w:rPr>
          <w:rFonts w:eastAsia="Verdana" w:cs="Verdana"/>
        </w:rPr>
        <w:t>momenteel met de pilot ‘</w:t>
      </w:r>
      <w:r w:rsidRPr="0087034D" w:rsidR="49A4F9FE">
        <w:rPr>
          <w:rFonts w:eastAsia="Verdana" w:cs="Verdana"/>
          <w:i/>
          <w:iCs/>
        </w:rPr>
        <w:t>Meerurenmaatwerk</w:t>
      </w:r>
      <w:r w:rsidRPr="49A4F9FE" w:rsidR="49A4F9FE">
        <w:rPr>
          <w:rFonts w:eastAsia="Verdana" w:cs="Verdana"/>
        </w:rPr>
        <w:t>’</w:t>
      </w:r>
      <w:r w:rsidR="007430E5">
        <w:rPr>
          <w:rFonts w:eastAsia="Verdana" w:cs="Verdana"/>
        </w:rPr>
        <w:t xml:space="preserve"> </w:t>
      </w:r>
      <w:r w:rsidR="00CC0A97">
        <w:rPr>
          <w:rFonts w:eastAsia="Verdana" w:cs="Verdana"/>
        </w:rPr>
        <w:t xml:space="preserve">voor het verminderen van het lerarentekort </w:t>
      </w:r>
      <w:r w:rsidR="007430E5">
        <w:rPr>
          <w:rFonts w:eastAsia="Verdana" w:cs="Verdana"/>
        </w:rPr>
        <w:t>onderzocht</w:t>
      </w:r>
      <w:r w:rsidRPr="49A4F9FE" w:rsidR="49A4F9FE">
        <w:rPr>
          <w:rFonts w:eastAsia="Verdana" w:cs="Verdana"/>
        </w:rPr>
        <w:t xml:space="preserve"> hoe potentie voor meer uren werken benut kan worden door het aanbieden van keuzeopties zoals geld, verlof of roostering.</w:t>
      </w:r>
      <w:r w:rsidR="007430E5">
        <w:rPr>
          <w:rFonts w:eastAsia="Verdana" w:cs="Verdana"/>
        </w:rPr>
        <w:t xml:space="preserve"> </w:t>
      </w:r>
      <w:r w:rsidRPr="005A6238" w:rsidR="005A6238">
        <w:rPr>
          <w:rFonts w:eastAsia="Verdana" w:cs="Verdana"/>
        </w:rPr>
        <w:t>De Tweede Kamer ontvangt in het najaar van 2027 een brief over de tussentijdse resultaten van de</w:t>
      </w:r>
      <w:r w:rsidR="005A6238">
        <w:rPr>
          <w:rFonts w:eastAsia="Verdana" w:cs="Verdana"/>
        </w:rPr>
        <w:t>ze OCW-</w:t>
      </w:r>
      <w:r w:rsidRPr="005A6238" w:rsidR="005A6238">
        <w:rPr>
          <w:rFonts w:eastAsia="Verdana" w:cs="Verdana"/>
        </w:rPr>
        <w:t>pilot Meerurenmaatwerk</w:t>
      </w:r>
      <w:r>
        <w:rPr>
          <w:rStyle w:val="Voetnootmarkering"/>
          <w:rFonts w:eastAsia="Verdana" w:cs="Verdana"/>
        </w:rPr>
        <w:footnoteReference w:id="19"/>
      </w:r>
      <w:r w:rsidR="005A6238">
        <w:rPr>
          <w:rFonts w:eastAsia="Verdana" w:cs="Verdana"/>
        </w:rPr>
        <w:t>.</w:t>
      </w:r>
      <w:r w:rsidR="007430E5">
        <w:rPr>
          <w:rFonts w:eastAsia="Verdana" w:cs="Verdana"/>
        </w:rPr>
        <w:t xml:space="preserve"> </w:t>
      </w:r>
      <w:r w:rsidRPr="49A4F9FE" w:rsidR="49A4F9FE">
        <w:rPr>
          <w:rFonts w:eastAsia="Verdana" w:cs="Verdana"/>
        </w:rPr>
        <w:t xml:space="preserve">Ik zal </w:t>
      </w:r>
      <w:r w:rsidRPr="49A4F9FE" w:rsidR="49A4F9FE">
        <w:rPr>
          <w:rFonts w:eastAsia="Verdana" w:cs="Verdana"/>
          <w:color w:val="auto"/>
        </w:rPr>
        <w:t>werkgevers en werknemers in zorg en welzijn informeren over de handvatten die uit deze trajecten voortkomen om meer uren werken te stimuleren</w:t>
      </w:r>
      <w:r w:rsidRPr="00BE0865" w:rsidR="00BE0865">
        <w:rPr>
          <w:rFonts w:eastAsia="Verdana" w:cs="Verdana"/>
          <w:color w:val="auto"/>
        </w:rPr>
        <w:t>.</w:t>
      </w:r>
    </w:p>
    <w:p w:rsidR="00845EA0" w:rsidP="006D59D6" w:rsidRDefault="00845EA0" w14:paraId="6D0BBAB1" w14:textId="77777777">
      <w:pPr>
        <w:suppressAutoHyphens/>
        <w:spacing w:line="276" w:lineRule="auto"/>
        <w:rPr>
          <w:rFonts w:eastAsia="Verdana" w:cs="Verdana"/>
          <w:color w:val="auto"/>
        </w:rPr>
      </w:pPr>
    </w:p>
    <w:p w:rsidRPr="003C5CCF" w:rsidR="7FF9E926" w:rsidP="006D59D6" w:rsidRDefault="00082ACE" w14:paraId="76061AF9" w14:textId="77777777">
      <w:pPr>
        <w:suppressAutoHyphens/>
        <w:spacing w:line="276" w:lineRule="auto"/>
        <w:rPr>
          <w:rFonts w:eastAsia="Verdana" w:cs="Verdana"/>
          <w:i/>
          <w:color w:val="FF0000"/>
          <w:highlight w:val="yellow"/>
        </w:rPr>
      </w:pPr>
      <w:r>
        <w:rPr>
          <w:rFonts w:eastAsia="Verdana" w:cs="Verdana"/>
          <w:i/>
          <w:iCs/>
        </w:rPr>
        <w:t xml:space="preserve">2. </w:t>
      </w:r>
      <w:r w:rsidRPr="74FBFE66" w:rsidR="49A4F9FE">
        <w:rPr>
          <w:rFonts w:eastAsia="Verdana" w:cs="Verdana"/>
          <w:i/>
          <w:iCs/>
        </w:rPr>
        <w:t>Nieuw arbeids</w:t>
      </w:r>
      <w:r w:rsidR="00BE0865">
        <w:rPr>
          <w:rFonts w:eastAsia="Verdana" w:cs="Verdana"/>
          <w:i/>
          <w:iCs/>
        </w:rPr>
        <w:t>markt</w:t>
      </w:r>
      <w:r w:rsidRPr="74FBFE66" w:rsidR="49A4F9FE">
        <w:rPr>
          <w:rFonts w:eastAsia="Verdana" w:cs="Verdana"/>
          <w:i/>
          <w:iCs/>
        </w:rPr>
        <w:t>potentieel aan</w:t>
      </w:r>
      <w:r w:rsidR="009031B6">
        <w:rPr>
          <w:rFonts w:eastAsia="Verdana" w:cs="Verdana"/>
          <w:i/>
          <w:iCs/>
        </w:rPr>
        <w:t>spreken</w:t>
      </w:r>
    </w:p>
    <w:p w:rsidRPr="003C5CCF" w:rsidR="7FF9E926" w:rsidP="006D59D6" w:rsidRDefault="00082ACE" w14:paraId="6345BA44" w14:textId="77777777">
      <w:pPr>
        <w:suppressAutoHyphens/>
        <w:spacing w:line="276" w:lineRule="auto"/>
        <w:rPr>
          <w:rFonts w:eastAsia="Verdana" w:cs="Verdana"/>
          <w:i/>
        </w:rPr>
      </w:pPr>
      <w:r w:rsidRPr="49A4F9FE">
        <w:rPr>
          <w:rFonts w:eastAsia="Verdana" w:cs="Verdana"/>
        </w:rPr>
        <w:t>Naast het optimaal benutten van het beschikbare arbeidspotentieel van mensen die een betaalde baan hebben in zorg en welzijn, zie ik ook potentieel daarbuiten wat aa</w:t>
      </w:r>
      <w:r w:rsidR="009031B6">
        <w:rPr>
          <w:rFonts w:eastAsia="Verdana" w:cs="Verdana"/>
        </w:rPr>
        <w:t>ngesproken</w:t>
      </w:r>
      <w:r w:rsidRPr="49A4F9FE">
        <w:rPr>
          <w:rFonts w:eastAsia="Verdana" w:cs="Verdana"/>
        </w:rPr>
        <w:t xml:space="preserve"> kan worden. Het gaat </w:t>
      </w:r>
      <w:r w:rsidR="00BE0865">
        <w:rPr>
          <w:rFonts w:eastAsia="Verdana" w:cs="Verdana"/>
        </w:rPr>
        <w:t xml:space="preserve">bijvoorbeeld </w:t>
      </w:r>
      <w:r w:rsidRPr="49A4F9FE">
        <w:rPr>
          <w:rFonts w:eastAsia="Verdana" w:cs="Verdana"/>
        </w:rPr>
        <w:t xml:space="preserve">om mensen die op vrijwillige basis zorgtaken op zich nemen, mensen die – al dan niet daartoe aangezet door hun werkgever- vrijwilligerswerk in de zorg (willen) doen, mensen die in een beroep werken waar (bijvoorbeeld door AI) de werkgelegenheid daalt, mensen met een afstand tot de arbeidsmarkt, waaronder ook </w:t>
      </w:r>
      <w:r w:rsidR="00BE0865">
        <w:rPr>
          <w:rFonts w:eastAsia="Verdana" w:cs="Verdana"/>
        </w:rPr>
        <w:t xml:space="preserve">buitenslands gediplomeerden, </w:t>
      </w:r>
      <w:r w:rsidRPr="49A4F9FE">
        <w:rPr>
          <w:rFonts w:eastAsia="Verdana" w:cs="Verdana"/>
        </w:rPr>
        <w:t xml:space="preserve">statushouders en zij-instromers die een carrièreswitch willen maken. </w:t>
      </w:r>
      <w:r w:rsidR="00C44E02">
        <w:rPr>
          <w:rFonts w:eastAsia="Verdana" w:cs="Verdana"/>
        </w:rPr>
        <w:t xml:space="preserve">Om de instroom in de sector op peil te houden is het essentieel dat </w:t>
      </w:r>
      <w:r w:rsidR="002C44EC">
        <w:rPr>
          <w:rFonts w:eastAsia="Verdana" w:cs="Verdana"/>
        </w:rPr>
        <w:t xml:space="preserve">we toewerken naar een </w:t>
      </w:r>
      <w:r w:rsidRPr="002C44EC" w:rsidR="002C44EC">
        <w:rPr>
          <w:rFonts w:eastAsia="Verdana" w:cs="Verdana"/>
        </w:rPr>
        <w:t xml:space="preserve">arbeidsmarkt waarin </w:t>
      </w:r>
      <w:r w:rsidR="002C44EC">
        <w:rPr>
          <w:rFonts w:eastAsia="Verdana" w:cs="Verdana"/>
        </w:rPr>
        <w:t xml:space="preserve">deze groepen </w:t>
      </w:r>
      <w:r w:rsidRPr="002C44EC" w:rsidR="002C44EC">
        <w:rPr>
          <w:rFonts w:eastAsia="Verdana" w:cs="Verdana"/>
        </w:rPr>
        <w:t>kunnen leren en bijdragen op basis van wat zij kunnen en willen</w:t>
      </w:r>
      <w:r w:rsidR="002C44EC">
        <w:rPr>
          <w:rFonts w:eastAsia="Verdana" w:cs="Verdana"/>
        </w:rPr>
        <w:t>.</w:t>
      </w:r>
    </w:p>
    <w:p w:rsidR="7FF9E926" w:rsidP="006D59D6" w:rsidRDefault="7FF9E926" w14:paraId="0507ADA1" w14:textId="77777777">
      <w:pPr>
        <w:suppressAutoHyphens/>
        <w:spacing w:line="276" w:lineRule="auto"/>
        <w:rPr>
          <w:rFonts w:eastAsia="Verdana" w:cs="Verdana"/>
        </w:rPr>
      </w:pPr>
    </w:p>
    <w:p w:rsidR="00545068" w:rsidP="006D59D6" w:rsidRDefault="00082ACE" w14:paraId="129CB4AF" w14:textId="77777777">
      <w:pPr>
        <w:suppressAutoHyphens/>
        <w:spacing w:line="276" w:lineRule="auto"/>
        <w:rPr>
          <w:rFonts w:eastAsia="Verdana" w:cs="Verdana"/>
        </w:rPr>
      </w:pPr>
      <w:r>
        <w:rPr>
          <w:rFonts w:eastAsia="Verdana" w:cs="Verdana"/>
        </w:rPr>
        <w:t>H</w:t>
      </w:r>
      <w:r w:rsidRPr="49A4F9FE">
        <w:rPr>
          <w:rFonts w:eastAsia="Verdana" w:cs="Verdana"/>
        </w:rPr>
        <w:t>et potentieel van deze doelgroepen daadwerkelijk benutten</w:t>
      </w:r>
      <w:r>
        <w:rPr>
          <w:rFonts w:eastAsia="Verdana" w:cs="Verdana"/>
        </w:rPr>
        <w:t xml:space="preserve"> </w:t>
      </w:r>
      <w:r w:rsidRPr="49A4F9FE" w:rsidR="49A4F9FE">
        <w:rPr>
          <w:rFonts w:eastAsia="Verdana" w:cs="Verdana"/>
        </w:rPr>
        <w:t xml:space="preserve">vraagt </w:t>
      </w:r>
      <w:r w:rsidR="002C44EC">
        <w:rPr>
          <w:rFonts w:eastAsia="Verdana" w:cs="Verdana"/>
        </w:rPr>
        <w:t xml:space="preserve">dus </w:t>
      </w:r>
      <w:r w:rsidRPr="49A4F9FE" w:rsidR="49A4F9FE">
        <w:rPr>
          <w:rFonts w:eastAsia="Verdana" w:cs="Verdana"/>
        </w:rPr>
        <w:t>anders kijken naar wat mensen kunnen, mogen en willen</w:t>
      </w:r>
      <w:r>
        <w:rPr>
          <w:rFonts w:eastAsia="Verdana" w:cs="Verdana"/>
        </w:rPr>
        <w:t xml:space="preserve"> in zorg en welzijn</w:t>
      </w:r>
      <w:r w:rsidRPr="49A4F9FE" w:rsidR="49A4F9FE">
        <w:rPr>
          <w:rFonts w:eastAsia="Verdana" w:cs="Verdana"/>
        </w:rPr>
        <w:t xml:space="preserve">. Voor elk van deze doelgroepen is wat anders nodig waar het gaat om werven, opleiden, begeleiden, samenwerken met huidig personeel en afspraken met </w:t>
      </w:r>
      <w:r w:rsidR="005622B3">
        <w:rPr>
          <w:rFonts w:eastAsia="Verdana" w:cs="Verdana"/>
        </w:rPr>
        <w:t xml:space="preserve">stakeholders </w:t>
      </w:r>
      <w:r w:rsidRPr="49A4F9FE" w:rsidR="49A4F9FE">
        <w:rPr>
          <w:rFonts w:eastAsia="Verdana" w:cs="Verdana"/>
        </w:rPr>
        <w:t xml:space="preserve">binnen of buiten </w:t>
      </w:r>
      <w:r>
        <w:rPr>
          <w:rFonts w:eastAsia="Verdana" w:cs="Verdana"/>
        </w:rPr>
        <w:t xml:space="preserve">de </w:t>
      </w:r>
      <w:r w:rsidRPr="49A4F9FE" w:rsidR="49A4F9FE">
        <w:rPr>
          <w:rFonts w:eastAsia="Verdana" w:cs="Verdana"/>
        </w:rPr>
        <w:t xml:space="preserve">zorg. Een belangrijke randvoorwaarde is </w:t>
      </w:r>
      <w:r>
        <w:rPr>
          <w:rFonts w:eastAsia="Verdana" w:cs="Verdana"/>
        </w:rPr>
        <w:t xml:space="preserve">dat we sneller toewerken naar een skillsgerichte arbeidsmarkt </w:t>
      </w:r>
      <w:r w:rsidR="00052105">
        <w:rPr>
          <w:rFonts w:eastAsia="Verdana" w:cs="Verdana"/>
        </w:rPr>
        <w:t xml:space="preserve">waarbij de </w:t>
      </w:r>
      <w:r w:rsidRPr="49A4F9FE" w:rsidR="00052105">
        <w:rPr>
          <w:rFonts w:eastAsia="Verdana" w:cs="Verdana"/>
        </w:rPr>
        <w:t>focus</w:t>
      </w:r>
      <w:r w:rsidR="00052105">
        <w:rPr>
          <w:rFonts w:eastAsia="Verdana" w:cs="Verdana"/>
        </w:rPr>
        <w:t xml:space="preserve"> ligt</w:t>
      </w:r>
      <w:r w:rsidRPr="49A4F9FE" w:rsidR="00052105">
        <w:rPr>
          <w:rFonts w:eastAsia="Verdana" w:cs="Verdana"/>
        </w:rPr>
        <w:t xml:space="preserve"> op anders kijken naar de </w:t>
      </w:r>
      <w:r w:rsidR="00D15E74">
        <w:rPr>
          <w:rFonts w:eastAsia="Verdana" w:cs="Verdana"/>
        </w:rPr>
        <w:t>samenstelling van teams</w:t>
      </w:r>
      <w:r w:rsidRPr="49A4F9FE" w:rsidR="00052105">
        <w:rPr>
          <w:rFonts w:eastAsia="Verdana" w:cs="Verdana"/>
        </w:rPr>
        <w:t xml:space="preserve"> en (diploma)vereisten</w:t>
      </w:r>
      <w:r w:rsidR="00052105">
        <w:rPr>
          <w:rFonts w:eastAsia="Verdana" w:cs="Verdana"/>
        </w:rPr>
        <w:t xml:space="preserve"> in zorg en welzijn</w:t>
      </w:r>
      <w:r w:rsidRPr="49A4F9FE" w:rsidR="00052105">
        <w:rPr>
          <w:rFonts w:eastAsia="Verdana" w:cs="Verdana"/>
        </w:rPr>
        <w:t xml:space="preserve">. </w:t>
      </w:r>
      <w:r w:rsidR="00FD202C">
        <w:rPr>
          <w:rFonts w:eastAsia="Verdana" w:cs="Verdana"/>
        </w:rPr>
        <w:t xml:space="preserve">Voor wat betreft dit laatste heeft </w:t>
      </w:r>
      <w:r w:rsidR="00350D2E">
        <w:rPr>
          <w:rFonts w:eastAsia="Verdana" w:cs="Verdana"/>
        </w:rPr>
        <w:t xml:space="preserve">de voormalig minister van VWS </w:t>
      </w:r>
      <w:r w:rsidR="00FD202C">
        <w:rPr>
          <w:rFonts w:eastAsia="Verdana" w:cs="Verdana"/>
        </w:rPr>
        <w:t>op</w:t>
      </w:r>
      <w:r w:rsidR="00F97F38">
        <w:rPr>
          <w:rFonts w:eastAsia="Verdana" w:cs="Verdana"/>
        </w:rPr>
        <w:t xml:space="preserve"> </w:t>
      </w:r>
      <w:r w:rsidR="00FD202C">
        <w:rPr>
          <w:rFonts w:eastAsia="Verdana" w:cs="Verdana"/>
        </w:rPr>
        <w:t xml:space="preserve">13 februari jl. </w:t>
      </w:r>
      <w:r w:rsidR="00F97F38">
        <w:rPr>
          <w:rFonts w:eastAsia="Verdana" w:cs="Verdana"/>
        </w:rPr>
        <w:t xml:space="preserve">de Kamer </w:t>
      </w:r>
      <w:r w:rsidR="00FD202C">
        <w:rPr>
          <w:rFonts w:eastAsia="Verdana" w:cs="Verdana"/>
        </w:rPr>
        <w:t>geïnformeerd over de dringende oproep</w:t>
      </w:r>
      <w:r w:rsidR="00EE7AE2">
        <w:rPr>
          <w:rFonts w:eastAsia="Verdana" w:cs="Verdana"/>
        </w:rPr>
        <w:t xml:space="preserve"> die is</w:t>
      </w:r>
      <w:r w:rsidR="00FD202C">
        <w:rPr>
          <w:rFonts w:eastAsia="Verdana" w:cs="Verdana"/>
        </w:rPr>
        <w:t xml:space="preserve"> gedaan aan stakeholders</w:t>
      </w:r>
      <w:r w:rsidR="00CC0A97">
        <w:rPr>
          <w:rFonts w:eastAsia="Verdana" w:cs="Verdana"/>
        </w:rPr>
        <w:t xml:space="preserve"> in zorg en welzijn</w:t>
      </w:r>
      <w:r w:rsidR="00FD202C">
        <w:rPr>
          <w:rFonts w:eastAsia="Verdana" w:cs="Verdana"/>
        </w:rPr>
        <w:t xml:space="preserve"> om </w:t>
      </w:r>
      <w:r w:rsidRPr="00FD202C" w:rsidR="00FD202C">
        <w:rPr>
          <w:rFonts w:eastAsia="Verdana" w:cs="Verdana"/>
        </w:rPr>
        <w:t>geen gebruik te maken van EVC-certificaten</w:t>
      </w:r>
      <w:r>
        <w:rPr>
          <w:rStyle w:val="Voetnootmarkering"/>
          <w:rFonts w:eastAsia="Verdana" w:cs="Verdana"/>
        </w:rPr>
        <w:footnoteReference w:id="20"/>
      </w:r>
      <w:r w:rsidR="00FD202C">
        <w:rPr>
          <w:rFonts w:eastAsia="Verdana" w:cs="Verdana"/>
        </w:rPr>
        <w:t xml:space="preserve">. </w:t>
      </w:r>
      <w:r>
        <w:rPr>
          <w:rFonts w:eastAsia="Verdana" w:cs="Verdana"/>
        </w:rPr>
        <w:t xml:space="preserve">Ik onderschrijf deze oproep en blijf de komende periode met vertegenwoordigers van werkgevers en onderwijs in gesprek hoe zij tot een fraudebestendig systeem kunnen komen </w:t>
      </w:r>
      <w:r w:rsidRPr="009A5751">
        <w:rPr>
          <w:rFonts w:eastAsia="Verdana" w:cs="Verdana"/>
        </w:rPr>
        <w:t xml:space="preserve">waarin praktijkervaring, vakmanschap en vaardigheden zichtbaar en betrouwbaar erkend worden, in aanvulling op diploma’s. </w:t>
      </w:r>
      <w:r>
        <w:rPr>
          <w:rFonts w:eastAsia="Verdana" w:cs="Verdana"/>
        </w:rPr>
        <w:t xml:space="preserve">De beoordeling van bekwaamheid is en blijft de verantwoordelijkheid van werkgevers. </w:t>
      </w:r>
    </w:p>
    <w:p w:rsidR="00F97F38" w:rsidP="006D59D6" w:rsidRDefault="00F97F38" w14:paraId="20CC6415" w14:textId="77777777">
      <w:pPr>
        <w:suppressAutoHyphens/>
        <w:spacing w:line="276" w:lineRule="auto"/>
        <w:rPr>
          <w:rFonts w:eastAsia="Verdana" w:cs="Verdana"/>
        </w:rPr>
      </w:pPr>
    </w:p>
    <w:p w:rsidR="004D2234" w:rsidP="006D59D6" w:rsidRDefault="00082ACE" w14:paraId="5C28508B" w14:textId="77777777">
      <w:pPr>
        <w:suppressAutoHyphens/>
        <w:spacing w:line="276" w:lineRule="auto"/>
        <w:rPr>
          <w:rFonts w:eastAsia="Verdana" w:cs="Verdana"/>
        </w:rPr>
      </w:pPr>
      <w:bookmarkStart w:name="_Hlk229990222" w:id="9"/>
      <w:r>
        <w:rPr>
          <w:rFonts w:eastAsia="Verdana" w:cs="Verdana"/>
        </w:rPr>
        <w:t xml:space="preserve">Ik zie dat de beweging naar een skillsgerichte arbeidsmarkt op verschillende plekken in de sector al is ingezet. </w:t>
      </w:r>
      <w:r w:rsidR="000B0226">
        <w:rPr>
          <w:rFonts w:eastAsia="Verdana" w:cs="Verdana"/>
        </w:rPr>
        <w:t xml:space="preserve">In de regio zijn veelbelovende initiatieven ontstaan </w:t>
      </w:r>
      <w:r w:rsidRPr="000B0226" w:rsidR="000B0226">
        <w:rPr>
          <w:rFonts w:eastAsia="Verdana" w:cs="Verdana"/>
        </w:rPr>
        <w:t xml:space="preserve">zoals praktijkleren, gezamenlijk opleiden en nieuwe vormen van inzet en </w:t>
      </w:r>
      <w:r w:rsidRPr="000B0226" w:rsidR="000B0226">
        <w:rPr>
          <w:rFonts w:eastAsia="Verdana" w:cs="Verdana"/>
        </w:rPr>
        <w:lastRenderedPageBreak/>
        <w:t>ontwikkeling</w:t>
      </w:r>
      <w:r w:rsidR="00545068">
        <w:rPr>
          <w:rFonts w:eastAsia="Verdana" w:cs="Verdana"/>
        </w:rPr>
        <w:t>.</w:t>
      </w:r>
      <w:r w:rsidR="000B0226">
        <w:rPr>
          <w:rFonts w:eastAsia="Verdana" w:cs="Verdana"/>
        </w:rPr>
        <w:t xml:space="preserve"> </w:t>
      </w:r>
      <w:r w:rsidR="00545068">
        <w:rPr>
          <w:rFonts w:eastAsia="Verdana" w:cs="Verdana"/>
        </w:rPr>
        <w:t>Het ministerie van VWS heeft daarnaast de afgelopen jaren</w:t>
      </w:r>
      <w:r w:rsidR="00857DFE">
        <w:rPr>
          <w:rFonts w:eastAsia="Verdana" w:cs="Verdana"/>
        </w:rPr>
        <w:t xml:space="preserve"> voor een aantal </w:t>
      </w:r>
      <w:r w:rsidR="00E54129">
        <w:rPr>
          <w:rFonts w:eastAsia="Verdana" w:cs="Verdana"/>
        </w:rPr>
        <w:t xml:space="preserve">specifieke </w:t>
      </w:r>
      <w:r w:rsidR="00857DFE">
        <w:rPr>
          <w:rFonts w:eastAsia="Verdana" w:cs="Verdana"/>
        </w:rPr>
        <w:t xml:space="preserve">doelgroepen concreet </w:t>
      </w:r>
      <w:r w:rsidR="00E54129">
        <w:rPr>
          <w:rFonts w:eastAsia="Verdana" w:cs="Verdana"/>
        </w:rPr>
        <w:t>gemaakt welke mogelijkheden er zijn om hen in te zetten, bijvoorbeeld in het geval van buitenslands gediplomeerden (zie ook hierna bij overige onderwerpen), voor opdrachtverlening via de wet BIG en om de wettelijke ruimte te gebruiken om zorgverleners, mantelzorgers en vrijwilligers samen te laten werken</w:t>
      </w:r>
      <w:r>
        <w:rPr>
          <w:rStyle w:val="Voetnootmarkering"/>
          <w:rFonts w:eastAsia="Verdana" w:cs="Verdana"/>
        </w:rPr>
        <w:footnoteReference w:id="21"/>
      </w:r>
      <w:r w:rsidR="00E54129">
        <w:rPr>
          <w:rFonts w:eastAsia="Verdana" w:cs="Verdana"/>
        </w:rPr>
        <w:t xml:space="preserve">. </w:t>
      </w:r>
      <w:r>
        <w:rPr>
          <w:rFonts w:eastAsia="Verdana" w:cs="Verdana"/>
        </w:rPr>
        <w:t xml:space="preserve">De komende kabinetsperiode wil ik deze beweging naar een skillsgerichte arbeidsmarkt in zorg en welzijn verder brengen. </w:t>
      </w:r>
      <w:r w:rsidRPr="00E03C45" w:rsidR="001C2151">
        <w:rPr>
          <w:rFonts w:eastAsia="Verdana" w:cs="Verdana"/>
        </w:rPr>
        <w:t>Daartoe verken ik op dit moment met regionale werkgeversorganisaties en andere veldpartijen, met betrokkenheid van SZW en OCW, wat er nodig is om de skillsgerichte arbeidsmarkt te versterken.</w:t>
      </w:r>
      <w:r w:rsidRPr="0009577D" w:rsidR="001C2151">
        <w:rPr>
          <w:rFonts w:eastAsia="Verdana" w:cs="Verdana"/>
        </w:rPr>
        <w:t xml:space="preserve"> </w:t>
      </w:r>
      <w:r w:rsidRPr="0009577D" w:rsidR="0009577D">
        <w:rPr>
          <w:rFonts w:eastAsia="Verdana" w:cs="Verdana"/>
        </w:rPr>
        <w:t>Daarnaast wil ik inzichtelijk maken wat er voor welke doelgroepen nodig is voor toeleiding richting zorg en welzijn. De uitkomsten hiervan deel ik dit najaar met de Kamer.</w:t>
      </w:r>
    </w:p>
    <w:bookmarkEnd w:id="9"/>
    <w:p w:rsidR="49A4F9FE" w:rsidP="006D59D6" w:rsidRDefault="49A4F9FE" w14:paraId="11A6D950" w14:textId="77777777">
      <w:pPr>
        <w:suppressAutoHyphens/>
        <w:spacing w:line="276" w:lineRule="auto"/>
      </w:pPr>
    </w:p>
    <w:p w:rsidRPr="003C5CCF" w:rsidR="5EE933F9" w:rsidP="006D59D6" w:rsidRDefault="00082ACE" w14:paraId="48EB8C5B" w14:textId="77777777">
      <w:pPr>
        <w:suppressAutoHyphens/>
        <w:spacing w:line="276" w:lineRule="auto"/>
        <w:rPr>
          <w:b/>
          <w:i/>
          <w:color w:val="000000" w:themeColor="text1"/>
        </w:rPr>
      </w:pPr>
      <w:bookmarkStart w:name="_Hlk229056265" w:id="10"/>
      <w:r w:rsidRPr="74FBFE66">
        <w:rPr>
          <w:rFonts w:eastAsia="Verdana" w:cs="Verdana"/>
          <w:b/>
          <w:bCs/>
          <w:i/>
          <w:iCs/>
        </w:rPr>
        <w:t>3.</w:t>
      </w:r>
      <w:r w:rsidR="00E54129">
        <w:rPr>
          <w:rFonts w:eastAsia="Verdana" w:cs="Verdana"/>
          <w:b/>
          <w:bCs/>
          <w:i/>
          <w:iCs/>
        </w:rPr>
        <w:t xml:space="preserve"> </w:t>
      </w:r>
      <w:r w:rsidRPr="74FBFE66">
        <w:rPr>
          <w:rFonts w:eastAsia="Verdana" w:cs="Verdana"/>
          <w:b/>
          <w:bCs/>
          <w:i/>
          <w:iCs/>
        </w:rPr>
        <w:t>Behoud van personeel</w:t>
      </w:r>
    </w:p>
    <w:p w:rsidR="00856AB1" w:rsidP="006D59D6" w:rsidRDefault="00082ACE" w14:paraId="0F74650A" w14:textId="77777777">
      <w:pPr>
        <w:suppressAutoHyphens/>
        <w:spacing w:line="276" w:lineRule="auto"/>
      </w:pPr>
      <w:r>
        <w:t>De afgelopen jaren is</w:t>
      </w:r>
      <w:r w:rsidR="00166927">
        <w:t xml:space="preserve"> met diverse programma’s</w:t>
      </w:r>
      <w:r>
        <w:rPr>
          <w:rStyle w:val="Voetnootmarkering"/>
        </w:rPr>
        <w:footnoteReference w:id="22"/>
      </w:r>
      <w:r>
        <w:t xml:space="preserve"> f</w:t>
      </w:r>
      <w:r w:rsidR="008963DC">
        <w:t>ors</w:t>
      </w:r>
      <w:r w:rsidR="00744296">
        <w:t xml:space="preserve"> geïnvesteerd in </w:t>
      </w:r>
      <w:r w:rsidR="00442A80">
        <w:t xml:space="preserve">projecten gericht op </w:t>
      </w:r>
      <w:r w:rsidR="00744296">
        <w:t xml:space="preserve">het </w:t>
      </w:r>
      <w:r w:rsidR="00442A80">
        <w:t>behoud van medewerkers voor de sector</w:t>
      </w:r>
      <w:r w:rsidR="00823FB5">
        <w:t xml:space="preserve">, </w:t>
      </w:r>
      <w:r w:rsidR="00D334A0">
        <w:t>o</w:t>
      </w:r>
      <w:r w:rsidRPr="00823FB5" w:rsidR="00D334A0">
        <w:t xml:space="preserve">nder </w:t>
      </w:r>
      <w:r w:rsidR="00D334A0">
        <w:t xml:space="preserve">meer </w:t>
      </w:r>
      <w:r w:rsidRPr="00823FB5" w:rsidR="00D334A0">
        <w:t>via de meerjarige subsidie SectorplanPlus</w:t>
      </w:r>
      <w:r w:rsidR="00D334A0">
        <w:t>. Hiermee konden</w:t>
      </w:r>
      <w:r w:rsidRPr="00823FB5" w:rsidR="00D334A0">
        <w:t xml:space="preserve"> werkgevers in zorg en welzijn tussen 2017 en 2025 subsidie aanvragen voor verschillende opleidingsactiviteiten die bijdragen aan het stimuleren van de instroom en het behoud van medewerkers.</w:t>
      </w:r>
      <w:r w:rsidR="00D334A0">
        <w:t xml:space="preserve"> Uit de voortgangsrapportage van eind 2025 blijkt dat met de subsidie voor de periode 2024-2025 ruim 262.000 medewerkers in zorg en welzijn een training hebben gevolgd die bijdraagt aan het behoud van deze medewerkers</w:t>
      </w:r>
      <w:r>
        <w:rPr>
          <w:rStyle w:val="Voetnootmarkering"/>
        </w:rPr>
        <w:footnoteReference w:id="23"/>
      </w:r>
      <w:r w:rsidR="00D334A0">
        <w:t xml:space="preserve">. </w:t>
      </w:r>
      <w:bookmarkEnd w:id="10"/>
      <w:r w:rsidR="00823FB5">
        <w:t xml:space="preserve">Daarnaast is </w:t>
      </w:r>
      <w:r w:rsidR="0039033A">
        <w:t xml:space="preserve">met diverse projectsubsidies geïnvesteerd </w:t>
      </w:r>
      <w:r w:rsidR="00442A80">
        <w:t xml:space="preserve">in het </w:t>
      </w:r>
      <w:r w:rsidR="00744296">
        <w:t xml:space="preserve">vergaren van kennis en </w:t>
      </w:r>
      <w:r>
        <w:t>inzichten</w:t>
      </w:r>
      <w:r w:rsidR="00744296">
        <w:t xml:space="preserve"> over wat </w:t>
      </w:r>
      <w:r>
        <w:t xml:space="preserve">in de praktijk van zorg en welzijn </w:t>
      </w:r>
      <w:r w:rsidR="00744296">
        <w:t xml:space="preserve">werkt </w:t>
      </w:r>
      <w:r>
        <w:t xml:space="preserve">voor het bevorderen van werkplezier en het behoud van </w:t>
      </w:r>
      <w:r w:rsidR="00744296">
        <w:t>personeel</w:t>
      </w:r>
      <w:r>
        <w:t xml:space="preserve">. Ook zijn er </w:t>
      </w:r>
      <w:r w:rsidR="004B5D81">
        <w:t xml:space="preserve">concrete </w:t>
      </w:r>
      <w:r>
        <w:t xml:space="preserve">handreikingen, tools en methodieken ontwikkeld om deze inzichten gericht toe te passen binnen organisaties. </w:t>
      </w:r>
    </w:p>
    <w:p w:rsidR="00856AB1" w:rsidP="006D59D6" w:rsidRDefault="00856AB1" w14:paraId="7F54EC46" w14:textId="77777777">
      <w:pPr>
        <w:suppressAutoHyphens/>
        <w:spacing w:line="276" w:lineRule="auto"/>
      </w:pPr>
    </w:p>
    <w:p w:rsidR="00D079E1" w:rsidP="006D59D6" w:rsidRDefault="00082ACE" w14:paraId="77F929BE" w14:textId="77777777">
      <w:pPr>
        <w:suppressAutoHyphens/>
        <w:spacing w:line="276" w:lineRule="auto"/>
      </w:pPr>
      <w:r>
        <w:t xml:space="preserve">Het is </w:t>
      </w:r>
      <w:r w:rsidR="00166927">
        <w:t xml:space="preserve">nu </w:t>
      </w:r>
      <w:r>
        <w:t>aan werkgevers in zorg en welzijn om hier hun voordeel mee te doen en hun personeel aan zich te blijven binden</w:t>
      </w:r>
      <w:r w:rsidR="004B5D81">
        <w:t xml:space="preserve">, </w:t>
      </w:r>
      <w:r w:rsidR="00BA5099">
        <w:t xml:space="preserve">te </w:t>
      </w:r>
      <w:r>
        <w:t>boeien</w:t>
      </w:r>
      <w:r w:rsidR="004B5D81">
        <w:t xml:space="preserve"> en </w:t>
      </w:r>
      <w:r w:rsidR="00BA5099">
        <w:t xml:space="preserve">te </w:t>
      </w:r>
      <w:r w:rsidR="004B5D81">
        <w:t>behouden</w:t>
      </w:r>
      <w:r>
        <w:t>.</w:t>
      </w:r>
      <w:r w:rsidR="004B5D81">
        <w:t xml:space="preserve"> </w:t>
      </w:r>
      <w:r w:rsidR="00264B94">
        <w:t>Het bevorderen van werkplezier is hie</w:t>
      </w:r>
      <w:r w:rsidR="00666C2C">
        <w:t xml:space="preserve">rbij een cruciaal aangrijpingspunt. </w:t>
      </w:r>
      <w:r w:rsidRPr="00666C2C" w:rsidR="00666C2C">
        <w:t xml:space="preserve">Uit cijfers van het CBS </w:t>
      </w:r>
      <w:r w:rsidR="00CC3CED">
        <w:t xml:space="preserve">over het vierde kwartaal van 2025 </w:t>
      </w:r>
      <w:r w:rsidRPr="00666C2C" w:rsidR="00666C2C">
        <w:t>blijkt dat bijna 80% van de medewerkers in zorg en welzijn aangeeft tevreden of zeer tevreden te zijn met het werk. Bijna 9 op de 10 mensen vindt het werk dat zij doen erg zinvol en driekwart geeft aan dat er een prettige sfeer is in het team</w:t>
      </w:r>
      <w:r>
        <w:rPr>
          <w:rStyle w:val="Voetnootmarkering"/>
        </w:rPr>
        <w:footnoteReference w:id="24"/>
      </w:r>
      <w:r w:rsidRPr="00666C2C" w:rsidR="00666C2C">
        <w:t>.</w:t>
      </w:r>
      <w:r w:rsidR="00666C2C">
        <w:t xml:space="preserve"> </w:t>
      </w:r>
      <w:r w:rsidR="0086402C">
        <w:t>D</w:t>
      </w:r>
      <w:r w:rsidR="00A51E82">
        <w:t>eze cijfers geven aan dat een groot deel van de mensen hun werk met veel plezier doet. Dat zijn</w:t>
      </w:r>
      <w:r w:rsidR="0086402C">
        <w:t xml:space="preserve"> mooie resultaten die we </w:t>
      </w:r>
      <w:r w:rsidR="00B72098">
        <w:t>moeten waarborgen en uitbouwen</w:t>
      </w:r>
      <w:r w:rsidR="0086402C">
        <w:t xml:space="preserve">. </w:t>
      </w:r>
      <w:r w:rsidR="00D334A0">
        <w:t>De komende periode blijf ik</w:t>
      </w:r>
      <w:r w:rsidR="00B72098">
        <w:t xml:space="preserve"> daartoe</w:t>
      </w:r>
      <w:r w:rsidR="00D334A0">
        <w:t xml:space="preserve"> de beschikbare kennis, inzichten, tools, methodieken en handreikingen </w:t>
      </w:r>
      <w:r w:rsidR="00A51E82">
        <w:t xml:space="preserve">over onderwerpen die bijdragen aan het werkplezier </w:t>
      </w:r>
      <w:r w:rsidR="00D334A0">
        <w:t>bij werkgevers onder de aandacht brengen.</w:t>
      </w:r>
      <w:r w:rsidR="004B5D81">
        <w:t xml:space="preserve"> Hieronder zet ik per onderwerp uiteen wat er beschikbaar is, wat dit tot nu toe heeft opgeleverd en hoe ik hier</w:t>
      </w:r>
      <w:r w:rsidR="00320303">
        <w:t xml:space="preserve"> de komende periode </w:t>
      </w:r>
      <w:r w:rsidR="004B5D81">
        <w:t xml:space="preserve">mee verder wil </w:t>
      </w:r>
      <w:r w:rsidR="00320303">
        <w:t xml:space="preserve">gaan. </w:t>
      </w:r>
    </w:p>
    <w:p w:rsidR="00E54129" w:rsidP="006D59D6" w:rsidRDefault="00E54129" w14:paraId="2CC36904" w14:textId="77777777">
      <w:pPr>
        <w:suppressAutoHyphens/>
        <w:spacing w:line="276" w:lineRule="auto"/>
        <w:rPr>
          <w:i/>
          <w:iCs/>
        </w:rPr>
      </w:pPr>
    </w:p>
    <w:p w:rsidR="006D59D6" w:rsidP="006D59D6" w:rsidRDefault="006D59D6" w14:paraId="552B9271" w14:textId="77777777">
      <w:pPr>
        <w:suppressAutoHyphens/>
        <w:spacing w:line="276" w:lineRule="auto"/>
        <w:rPr>
          <w:i/>
          <w:iCs/>
        </w:rPr>
      </w:pPr>
    </w:p>
    <w:p w:rsidR="006D59D6" w:rsidP="006D59D6" w:rsidRDefault="006D59D6" w14:paraId="5C117F92" w14:textId="77777777">
      <w:pPr>
        <w:suppressAutoHyphens/>
        <w:spacing w:line="276" w:lineRule="auto"/>
        <w:rPr>
          <w:i/>
          <w:iCs/>
        </w:rPr>
      </w:pPr>
    </w:p>
    <w:p w:rsidRPr="003C5CCF" w:rsidR="00D334A0" w:rsidP="006D59D6" w:rsidRDefault="00082ACE" w14:paraId="5FA09631" w14:textId="77777777">
      <w:pPr>
        <w:suppressAutoHyphens/>
        <w:spacing w:line="276" w:lineRule="auto"/>
        <w:rPr>
          <w:rFonts w:eastAsia="Verdana" w:cs="Verdana"/>
          <w:i/>
          <w:color w:val="auto"/>
        </w:rPr>
      </w:pPr>
      <w:bookmarkStart w:name="_Hlk229041464" w:id="11"/>
      <w:r w:rsidRPr="0007333F">
        <w:rPr>
          <w:rFonts w:eastAsia="Verdana" w:cs="Verdana"/>
          <w:i/>
          <w:iCs/>
          <w:color w:val="auto"/>
        </w:rPr>
        <w:lastRenderedPageBreak/>
        <w:t>Professionele autonomie en zeggenschap</w:t>
      </w:r>
    </w:p>
    <w:p w:rsidRPr="0007333F" w:rsidR="00D334A0" w:rsidP="006D59D6" w:rsidRDefault="00082ACE" w14:paraId="2EAECA8A" w14:textId="77777777">
      <w:pPr>
        <w:suppressAutoHyphens/>
        <w:spacing w:line="276" w:lineRule="auto"/>
        <w:rPr>
          <w:rFonts w:eastAsia="Verdana" w:cs="Verdana"/>
          <w:color w:val="auto"/>
        </w:rPr>
      </w:pPr>
      <w:r w:rsidRPr="0007333F">
        <w:rPr>
          <w:rFonts w:eastAsia="Verdana" w:cs="Verdana"/>
          <w:color w:val="auto"/>
        </w:rPr>
        <w:t xml:space="preserve">Zeggenschap draagt bij aan goede zorg en ondersteuning, werkplezier en behoud van medewerkers. Het versterken van zeggenschap en dit structureel borgen is primair de verantwoordelijkheid van werkgevers in zorg en welzijn. Met tijdelijke ondersteuning vanuit het ministerie van VWS aan werkgevers én door het inbedden van zeggenschap in beleid op landelijk niveau, werkt dit kabinet samen met branche- en beroepsverenigingen aan een sector waarin zeggenschap de norm is en blijft. </w:t>
      </w:r>
    </w:p>
    <w:p w:rsidRPr="0007333F" w:rsidR="00D334A0" w:rsidP="006D59D6" w:rsidRDefault="00D334A0" w14:paraId="029CE9D3" w14:textId="77777777">
      <w:pPr>
        <w:suppressAutoHyphens/>
        <w:spacing w:line="276" w:lineRule="auto"/>
        <w:rPr>
          <w:rFonts w:eastAsia="Verdana" w:cs="Verdana"/>
          <w:color w:val="auto"/>
        </w:rPr>
      </w:pPr>
    </w:p>
    <w:p w:rsidRPr="0007333F" w:rsidR="00D334A0" w:rsidP="006D59D6" w:rsidRDefault="00082ACE" w14:paraId="58C30763" w14:textId="77777777">
      <w:pPr>
        <w:suppressAutoHyphens/>
        <w:spacing w:line="276" w:lineRule="auto"/>
        <w:rPr>
          <w:rFonts w:eastAsia="Verdana" w:cs="Verdana"/>
          <w:color w:val="auto"/>
        </w:rPr>
      </w:pPr>
      <w:r w:rsidRPr="0007333F">
        <w:rPr>
          <w:rFonts w:eastAsia="Verdana" w:cs="Verdana"/>
          <w:color w:val="auto"/>
        </w:rPr>
        <w:t xml:space="preserve">Eén van de manieren waarop dat de afgelopen jaren is gedaan, is via de subsidieregeling Veerkracht en Zeggenschap (2022-2026). Sinds de start van de regeling zijn, verspreid over drie subsidierondes, in totaal 316 subsidies toegekend aan organisaties uit alle branches in zorg en welzijn. De laatste gesubsidieerde actieplannen zijn in april 2025 gestart en worden medio 2026 afgerond. Daarmee leveren de actieplannen ook in de komende periode waardevolle inzichten op voor de sector. </w:t>
      </w:r>
    </w:p>
    <w:p w:rsidRPr="0007333F" w:rsidR="00D334A0" w:rsidP="006D59D6" w:rsidRDefault="00D334A0" w14:paraId="4CFF4299" w14:textId="77777777">
      <w:pPr>
        <w:suppressAutoHyphens/>
        <w:spacing w:line="276" w:lineRule="auto"/>
        <w:rPr>
          <w:rFonts w:eastAsia="Verdana" w:cs="Verdana"/>
          <w:color w:val="auto"/>
        </w:rPr>
      </w:pPr>
    </w:p>
    <w:p w:rsidRPr="00FF72E1" w:rsidR="00D334A0" w:rsidP="006D59D6" w:rsidRDefault="00082ACE" w14:paraId="77AACC0F" w14:textId="77777777">
      <w:pPr>
        <w:pBdr>
          <w:top w:val="single" w:color="auto" w:sz="4" w:space="1"/>
          <w:left w:val="single" w:color="auto" w:sz="4" w:space="4"/>
          <w:bottom w:val="single" w:color="auto" w:sz="4" w:space="1"/>
          <w:right w:val="single" w:color="auto" w:sz="4" w:space="4"/>
        </w:pBdr>
        <w:suppressAutoHyphens/>
        <w:spacing w:line="276" w:lineRule="auto"/>
        <w:rPr>
          <w:rFonts w:eastAsia="Verdana" w:cs="Verdana"/>
          <w:color w:val="auto"/>
          <w:u w:val="single"/>
        </w:rPr>
      </w:pPr>
      <w:r w:rsidRPr="00FF72E1">
        <w:rPr>
          <w:rFonts w:eastAsia="Verdana" w:cs="Verdana"/>
          <w:color w:val="auto"/>
          <w:u w:val="single"/>
        </w:rPr>
        <w:t xml:space="preserve">Box </w:t>
      </w:r>
      <w:r w:rsidRPr="00FF72E1" w:rsidR="00FF72E1">
        <w:rPr>
          <w:rFonts w:eastAsia="Verdana" w:cs="Verdana"/>
          <w:color w:val="auto"/>
          <w:u w:val="single"/>
        </w:rPr>
        <w:t>3 Zeggenschap in de praktijk</w:t>
      </w:r>
      <w:r w:rsidRPr="00FF72E1">
        <w:rPr>
          <w:rFonts w:eastAsia="Verdana" w:cs="Verdana"/>
          <w:color w:val="auto"/>
          <w:u w:val="single"/>
        </w:rPr>
        <w:t xml:space="preserve"> </w:t>
      </w:r>
    </w:p>
    <w:p w:rsidRPr="0007333F" w:rsidR="00D334A0" w:rsidP="006D59D6" w:rsidRDefault="00082ACE" w14:paraId="6E634B8A" w14:textId="77777777">
      <w:pPr>
        <w:pBdr>
          <w:top w:val="single" w:color="auto" w:sz="4" w:space="1"/>
          <w:left w:val="single" w:color="auto" w:sz="4" w:space="4"/>
          <w:bottom w:val="single" w:color="auto" w:sz="4" w:space="1"/>
          <w:right w:val="single" w:color="auto" w:sz="4" w:space="4"/>
        </w:pBdr>
        <w:suppressAutoHyphens/>
        <w:spacing w:line="276" w:lineRule="auto"/>
        <w:rPr>
          <w:rFonts w:eastAsia="Verdana" w:cs="Verdana"/>
          <w:color w:val="auto"/>
        </w:rPr>
      </w:pPr>
      <w:r w:rsidRPr="0007333F">
        <w:rPr>
          <w:rFonts w:eastAsia="Verdana" w:cs="Verdana"/>
          <w:color w:val="auto"/>
        </w:rPr>
        <w:t>Slingeland Ziekenhuis heeft de zeggenschap van verpleegkundigen aanzienlijk versterkt door een structuurwijziging in de verpleegkundige staf, waardoor hun invloed op besluitvorming en de inrichting van het werk toenam</w:t>
      </w:r>
      <w:r>
        <w:rPr>
          <w:rStyle w:val="Voetnootmarkering"/>
          <w:rFonts w:eastAsia="Verdana" w:cs="Verdana"/>
          <w:color w:val="auto"/>
        </w:rPr>
        <w:footnoteReference w:id="25"/>
      </w:r>
      <w:r w:rsidRPr="0007333F">
        <w:rPr>
          <w:rFonts w:eastAsia="Verdana" w:cs="Verdana"/>
          <w:color w:val="auto"/>
        </w:rPr>
        <w:t>. Door deze gerichte aanpak kregen verpleegkundigen meer ruimte om hun professionele expertise in te zetten en mee te beslissen over zaken die hun werk direct raken. Deze investering in zeggenschap leidde tot een daling van de vertrekintentie met 60% in één jaar en meer werkplezier. Het laat zien dat het actief versterken van zeggenschap niet alleen de betrokkenheid vergroot, maar ook direct bijdraagt aan het behoud van verpleegkundigen en een aantrekkelijkere werkomgeving.</w:t>
      </w:r>
    </w:p>
    <w:p w:rsidRPr="0007333F" w:rsidR="00D334A0" w:rsidP="006D59D6" w:rsidRDefault="00D334A0" w14:paraId="7255E324" w14:textId="77777777">
      <w:pPr>
        <w:suppressAutoHyphens/>
        <w:spacing w:line="276" w:lineRule="auto"/>
        <w:rPr>
          <w:rFonts w:eastAsia="Verdana" w:cs="Verdana"/>
          <w:color w:val="auto"/>
        </w:rPr>
      </w:pPr>
    </w:p>
    <w:p w:rsidRPr="0007333F" w:rsidR="00D334A0" w:rsidP="006D59D6" w:rsidRDefault="00082ACE" w14:paraId="63F7DF93" w14:textId="77777777">
      <w:pPr>
        <w:suppressAutoHyphens/>
        <w:spacing w:line="276" w:lineRule="auto"/>
        <w:rPr>
          <w:rFonts w:eastAsia="Verdana" w:cs="Verdana"/>
          <w:color w:val="auto"/>
        </w:rPr>
      </w:pPr>
      <w:r w:rsidRPr="0007333F">
        <w:rPr>
          <w:rFonts w:eastAsia="Verdana" w:cs="Verdana"/>
          <w:color w:val="auto"/>
        </w:rPr>
        <w:t>In het AZWA is afgesproken dat partijen gezamenlijk blijven werken aan de verdere versterking van zeggenschap, ieder vanuit de eigen verantwoordelijkheid en rol</w:t>
      </w:r>
      <w:r>
        <w:rPr>
          <w:rStyle w:val="Voetnootmarkering"/>
          <w:rFonts w:eastAsia="Verdana" w:cs="Verdana"/>
          <w:color w:val="auto"/>
        </w:rPr>
        <w:footnoteReference w:id="26"/>
      </w:r>
      <w:r w:rsidRPr="0007333F">
        <w:rPr>
          <w:rFonts w:eastAsia="Verdana" w:cs="Verdana"/>
          <w:color w:val="auto"/>
        </w:rPr>
        <w:t>. In de brief van 26 januari 2026 is uw Kamer geïnformeerd over de wijze waarop het ministerie van VWS deze transitie naar meer zeggenschap, zoals bedoeld in het AZWA, tijdelijk ondersteunt</w:t>
      </w:r>
      <w:r>
        <w:rPr>
          <w:rStyle w:val="Voetnootmarkering"/>
          <w:rFonts w:eastAsia="Verdana" w:cs="Verdana"/>
          <w:color w:val="auto"/>
        </w:rPr>
        <w:footnoteReference w:id="27"/>
      </w:r>
      <w:r w:rsidRPr="0007333F">
        <w:rPr>
          <w:rFonts w:eastAsia="Verdana" w:cs="Verdana"/>
          <w:color w:val="auto"/>
        </w:rPr>
        <w:t xml:space="preserve">. Daarin is ook het rapport met de resultaten van de Landelijke Monitor Zeggenschap 2025 meegezonden, waaruit blijkt dat er een duidelijke positieve vooruitgang te zien is op zeggenschap. De formele </w:t>
      </w:r>
      <w:r w:rsidRPr="0007333F">
        <w:rPr>
          <w:rFonts w:eastAsia="Verdana" w:cs="Verdana"/>
          <w:color w:val="auto"/>
        </w:rPr>
        <w:t>zeggenschap is toegenomen waarbij steeds meer organisaties overstappen naar Shared Governance. Ook de ervaren zeggenschap stijgt op alle thema’s, met name op de support die professionals ervaren van management en bestuur bij het nemen van zeggenschap (+4,7%) en bij zeggenschap over  personeelsbeleid en professionele ontwikkeling (+5,0%). Deze verbeteringen hangen samen met een daling in vertrekintentie (van 22,1% in 2023 naar 18,9% in 2025) en een stijging in werktevredenheid (gemiddeld 7,2) en het aanbevel</w:t>
      </w:r>
      <w:r w:rsidRPr="0007333F">
        <w:rPr>
          <w:rFonts w:eastAsia="Verdana" w:cs="Verdana"/>
          <w:color w:val="auto"/>
        </w:rPr>
        <w:t>en van de werkgever, wat aantoont dat meer zeggenschap bijdraagt aan aantrekkelijker werkgeverschap.</w:t>
      </w:r>
    </w:p>
    <w:p w:rsidRPr="0007333F" w:rsidR="00D334A0" w:rsidP="006D59D6" w:rsidRDefault="00D334A0" w14:paraId="37490237" w14:textId="77777777">
      <w:pPr>
        <w:suppressAutoHyphens/>
        <w:spacing w:line="276" w:lineRule="auto"/>
        <w:rPr>
          <w:rFonts w:eastAsia="Verdana" w:cs="Verdana"/>
          <w:color w:val="auto"/>
        </w:rPr>
      </w:pPr>
    </w:p>
    <w:p w:rsidRPr="00911B35" w:rsidR="00D334A0" w:rsidP="006D59D6" w:rsidRDefault="00082ACE" w14:paraId="06E6BC78" w14:textId="77777777">
      <w:pPr>
        <w:suppressAutoHyphens/>
        <w:spacing w:line="276" w:lineRule="auto"/>
        <w:rPr>
          <w:rFonts w:eastAsia="Verdana" w:cs="Verdana"/>
          <w:color w:val="auto"/>
        </w:rPr>
      </w:pPr>
      <w:r w:rsidRPr="0007333F">
        <w:rPr>
          <w:rFonts w:eastAsia="Verdana" w:cs="Verdana"/>
          <w:color w:val="auto"/>
        </w:rPr>
        <w:lastRenderedPageBreak/>
        <w:t>Begin volgend jaar zal ik uw Kamer nader informeren over de laatste stand van zaken op het gebied van zeggenschap. Dit gaat onder meer over de eindevaluatie van de subsidieregeling Veerkracht en Zeggenschap en de vierde meting van de monitor Zeggenschap die dan zijn opgeleverd.</w:t>
      </w:r>
    </w:p>
    <w:bookmarkEnd w:id="11"/>
    <w:p w:rsidR="00F7440B" w:rsidP="006D59D6" w:rsidRDefault="00F7440B" w14:paraId="5CD8FBD1" w14:textId="77777777">
      <w:pPr>
        <w:suppressAutoHyphens/>
        <w:spacing w:line="276" w:lineRule="auto"/>
        <w:rPr>
          <w:i/>
          <w:iCs/>
        </w:rPr>
      </w:pPr>
    </w:p>
    <w:p w:rsidRPr="003C5CCF" w:rsidR="38EF0E11" w:rsidP="006D59D6" w:rsidRDefault="00082ACE" w14:paraId="0B4171EC" w14:textId="77777777">
      <w:pPr>
        <w:suppressAutoHyphens/>
        <w:spacing w:line="276" w:lineRule="auto"/>
        <w:rPr>
          <w:i/>
        </w:rPr>
      </w:pPr>
      <w:r w:rsidRPr="74FBFE66">
        <w:rPr>
          <w:i/>
          <w:iCs/>
        </w:rPr>
        <w:t>Gezond en veilig werken</w:t>
      </w:r>
      <w:r w:rsidRPr="7FF9E926">
        <w:rPr>
          <w:b/>
          <w:bCs/>
        </w:rPr>
        <w:t xml:space="preserve"> </w:t>
      </w:r>
    </w:p>
    <w:p w:rsidR="38EF0E11" w:rsidP="006D59D6" w:rsidRDefault="00082ACE" w14:paraId="68BC1AE9" w14:textId="77777777">
      <w:pPr>
        <w:suppressAutoHyphens/>
        <w:spacing w:line="276" w:lineRule="auto"/>
      </w:pPr>
      <w:r w:rsidRPr="7FF9E926">
        <w:t xml:space="preserve">Voor het behoud van werknemers is een gezonde en veilige werkomgeving van </w:t>
      </w:r>
      <w:r w:rsidR="0087034D">
        <w:t xml:space="preserve">groot </w:t>
      </w:r>
      <w:r w:rsidRPr="7FF9E926">
        <w:t xml:space="preserve">belang. De primaire verantwoordelijkheid ligt </w:t>
      </w:r>
      <w:r w:rsidR="00BA5099">
        <w:t xml:space="preserve">ook hier </w:t>
      </w:r>
      <w:r w:rsidRPr="7FF9E926">
        <w:t xml:space="preserve">bij werkgevers. </w:t>
      </w:r>
      <w:r w:rsidR="00D334A0">
        <w:t xml:space="preserve">De afgelopen jaren zijn </w:t>
      </w:r>
      <w:r w:rsidR="0087034D">
        <w:t>via</w:t>
      </w:r>
      <w:r w:rsidR="00D334A0">
        <w:t xml:space="preserve"> een subsidie aan de initiatiefnemers van</w:t>
      </w:r>
      <w:r w:rsidR="0087034D">
        <w:t xml:space="preserve"> het </w:t>
      </w:r>
      <w:r w:rsidRPr="00CD2BD4" w:rsidR="0087034D">
        <w:rPr>
          <w:i/>
          <w:iCs/>
        </w:rPr>
        <w:t>P</w:t>
      </w:r>
      <w:r w:rsidRPr="00CD2BD4">
        <w:rPr>
          <w:i/>
          <w:iCs/>
        </w:rPr>
        <w:t>reventieplan Zorg en welzijn</w:t>
      </w:r>
      <w:r w:rsidR="00D334A0">
        <w:t xml:space="preserve"> kennis, inzichten en handelingsperspectieven verzameld voor het verminderen van werkgerelateerd verzuim en ongewenst verloop binnen zorg- en welzijnsorganisaties</w:t>
      </w:r>
      <w:r w:rsidR="00D334A0">
        <w:rPr>
          <w:rStyle w:val="Voetnootmarkering"/>
        </w:rPr>
        <w:t xml:space="preserve"> </w:t>
      </w:r>
      <w:r>
        <w:rPr>
          <w:rStyle w:val="Voetnootmarkering"/>
        </w:rPr>
        <w:footnoteReference w:id="28"/>
      </w:r>
      <w:r w:rsidRPr="7FF9E926">
        <w:t>. De bevindingen en de</w:t>
      </w:r>
      <w:r w:rsidR="00D334A0">
        <w:t xml:space="preserve"> data-gedreven</w:t>
      </w:r>
      <w:r w:rsidRPr="7FF9E926">
        <w:t xml:space="preserve"> aanpak van het preventieplan worden nu zo breed mogelijk verspreid binnen de sector, onder andere door presentaties bij </w:t>
      </w:r>
      <w:r w:rsidR="0087034D">
        <w:t>branche- en beroeps</w:t>
      </w:r>
      <w:r w:rsidRPr="7FF9E926">
        <w:t>organisaties en door regionale bijeenkomsten voor bestuurders van zorg</w:t>
      </w:r>
      <w:r w:rsidR="0087034D">
        <w:t>- en welzijns</w:t>
      </w:r>
      <w:r w:rsidRPr="7FF9E926">
        <w:t xml:space="preserve">organisaties. </w:t>
      </w:r>
    </w:p>
    <w:p w:rsidR="00354202" w:rsidP="006D59D6" w:rsidRDefault="00354202" w14:paraId="136154FB" w14:textId="77777777">
      <w:pPr>
        <w:suppressAutoHyphens/>
        <w:spacing w:line="276" w:lineRule="auto"/>
      </w:pPr>
    </w:p>
    <w:p w:rsidR="00354202" w:rsidP="006D59D6" w:rsidRDefault="00082ACE" w14:paraId="1805F016" w14:textId="77777777">
      <w:pPr>
        <w:suppressAutoHyphens/>
        <w:spacing w:line="276" w:lineRule="auto"/>
      </w:pPr>
      <w:r w:rsidRPr="00CB373B">
        <w:t xml:space="preserve">Het </w:t>
      </w:r>
      <w:r w:rsidR="00264B94">
        <w:t>P</w:t>
      </w:r>
      <w:r w:rsidRPr="00CB373B">
        <w:t>reventieplan is inmiddels door ruim 280 organisaties binnen zorg en welzijn opgevraagd en gedownload</w:t>
      </w:r>
      <w:r>
        <w:t xml:space="preserve">. </w:t>
      </w:r>
      <w:r w:rsidRPr="000A510F">
        <w:t xml:space="preserve">Naast de 18 deelnemende </w:t>
      </w:r>
      <w:r>
        <w:t>(pilot)</w:t>
      </w:r>
      <w:r w:rsidRPr="000A510F">
        <w:t xml:space="preserve">organisaties </w:t>
      </w:r>
      <w:r>
        <w:t xml:space="preserve">hebben </w:t>
      </w:r>
      <w:r w:rsidRPr="000A510F">
        <w:t xml:space="preserve">32 organisaties contact </w:t>
      </w:r>
      <w:r>
        <w:t xml:space="preserve">met de initiatiefnemers van het Preventieplan </w:t>
      </w:r>
      <w:r w:rsidRPr="000A510F">
        <w:t xml:space="preserve">om te verkennen hoe zij met de aanpak aan de slag kunnen of onderdelen daarvan kunnen toepassen. Daarvan zijn </w:t>
      </w:r>
      <w:r>
        <w:t>vier</w:t>
      </w:r>
      <w:r w:rsidRPr="000A510F">
        <w:t xml:space="preserve"> organisaties inmiddels concreet aan de slag</w:t>
      </w:r>
      <w:r>
        <w:t xml:space="preserve">. </w:t>
      </w:r>
    </w:p>
    <w:p w:rsidR="00354202" w:rsidP="006D59D6" w:rsidRDefault="00354202" w14:paraId="36D839BC" w14:textId="77777777">
      <w:pPr>
        <w:suppressAutoHyphens/>
        <w:spacing w:line="276" w:lineRule="auto"/>
      </w:pPr>
    </w:p>
    <w:p w:rsidRPr="00FF72E1" w:rsidR="00A91D96" w:rsidP="006D59D6" w:rsidRDefault="00082ACE" w14:paraId="202BAE8D" w14:textId="77777777">
      <w:pPr>
        <w:pBdr>
          <w:top w:val="single" w:color="auto" w:sz="4" w:space="1"/>
          <w:left w:val="single" w:color="auto" w:sz="4" w:space="4"/>
          <w:bottom w:val="single" w:color="auto" w:sz="4" w:space="1"/>
          <w:right w:val="single" w:color="auto" w:sz="4" w:space="4"/>
        </w:pBdr>
        <w:suppressAutoHyphens/>
        <w:spacing w:line="276" w:lineRule="auto"/>
        <w:rPr>
          <w:rFonts w:eastAsia="Verdana" w:cs="Verdana"/>
          <w:color w:val="auto"/>
          <w:u w:val="single"/>
        </w:rPr>
      </w:pPr>
      <w:r w:rsidRPr="00FF72E1">
        <w:rPr>
          <w:rFonts w:eastAsia="Verdana" w:cs="Verdana"/>
          <w:color w:val="auto"/>
          <w:u w:val="single"/>
        </w:rPr>
        <w:t xml:space="preserve">Box </w:t>
      </w:r>
      <w:r w:rsidRPr="00FF72E1" w:rsidR="00FF72E1">
        <w:rPr>
          <w:rFonts w:eastAsia="Verdana" w:cs="Verdana"/>
          <w:color w:val="auto"/>
          <w:u w:val="single"/>
        </w:rPr>
        <w:t>4 Verminderen van verzuim in de praktijk</w:t>
      </w:r>
    </w:p>
    <w:p w:rsidR="00354202" w:rsidP="006D59D6" w:rsidRDefault="00082ACE" w14:paraId="46D4151D" w14:textId="77777777">
      <w:pPr>
        <w:pBdr>
          <w:top w:val="single" w:color="auto" w:sz="4" w:space="1"/>
          <w:left w:val="single" w:color="auto" w:sz="4" w:space="4"/>
          <w:bottom w:val="single" w:color="auto" w:sz="4" w:space="1"/>
          <w:right w:val="single" w:color="auto" w:sz="4" w:space="4"/>
        </w:pBdr>
        <w:suppressAutoHyphens/>
        <w:spacing w:line="276" w:lineRule="auto"/>
      </w:pPr>
      <w:r w:rsidRPr="00CA2A90">
        <w:rPr>
          <w:rFonts w:eastAsia="Verdana" w:cs="Verdana"/>
          <w:color w:val="auto"/>
        </w:rPr>
        <w:t>GGZ N</w:t>
      </w:r>
      <w:r>
        <w:rPr>
          <w:rFonts w:eastAsia="Verdana" w:cs="Verdana"/>
          <w:color w:val="auto"/>
        </w:rPr>
        <w:t>oord-Holland-Noord</w:t>
      </w:r>
      <w:r w:rsidRPr="00CA2A90">
        <w:rPr>
          <w:rFonts w:eastAsia="Verdana" w:cs="Verdana"/>
          <w:color w:val="auto"/>
        </w:rPr>
        <w:t xml:space="preserve">, </w:t>
      </w:r>
      <w:r w:rsidR="00A91D96">
        <w:rPr>
          <w:rFonts w:eastAsia="Verdana" w:cs="Verdana"/>
          <w:color w:val="auto"/>
        </w:rPr>
        <w:t>éé</w:t>
      </w:r>
      <w:r w:rsidRPr="00CA2A90">
        <w:rPr>
          <w:rFonts w:eastAsia="Verdana" w:cs="Verdana"/>
          <w:color w:val="auto"/>
        </w:rPr>
        <w:t>n van de piloto</w:t>
      </w:r>
      <w:r>
        <w:rPr>
          <w:rFonts w:eastAsia="Verdana" w:cs="Verdana"/>
          <w:color w:val="auto"/>
        </w:rPr>
        <w:t>r</w:t>
      </w:r>
      <w:r w:rsidRPr="00CA2A90">
        <w:rPr>
          <w:rFonts w:eastAsia="Verdana" w:cs="Verdana"/>
          <w:color w:val="auto"/>
        </w:rPr>
        <w:t xml:space="preserve">ganisaties die deelnam aan het </w:t>
      </w:r>
      <w:r w:rsidR="00A91D96">
        <w:rPr>
          <w:rFonts w:eastAsia="Verdana" w:cs="Verdana"/>
          <w:color w:val="auto"/>
        </w:rPr>
        <w:t>P</w:t>
      </w:r>
      <w:r w:rsidRPr="00CA2A90">
        <w:rPr>
          <w:rFonts w:eastAsia="Verdana" w:cs="Verdana"/>
          <w:color w:val="auto"/>
        </w:rPr>
        <w:t>reventieplan</w:t>
      </w:r>
      <w:r>
        <w:rPr>
          <w:rFonts w:eastAsia="Verdana" w:cs="Verdana"/>
          <w:color w:val="auto"/>
        </w:rPr>
        <w:t>,</w:t>
      </w:r>
      <w:r w:rsidRPr="00CA2A90">
        <w:rPr>
          <w:rFonts w:eastAsia="Verdana" w:cs="Verdana"/>
          <w:color w:val="auto"/>
        </w:rPr>
        <w:t xml:space="preserve"> </w:t>
      </w:r>
      <w:r>
        <w:rPr>
          <w:rFonts w:eastAsia="Verdana" w:cs="Verdana"/>
          <w:color w:val="auto"/>
        </w:rPr>
        <w:t xml:space="preserve">wordt in juni </w:t>
      </w:r>
      <w:r w:rsidRPr="00CA2A90">
        <w:rPr>
          <w:rFonts w:eastAsia="Verdana" w:cs="Verdana"/>
          <w:color w:val="auto"/>
        </w:rPr>
        <w:t>benoemd tot koploper van het Actie</w:t>
      </w:r>
      <w:r w:rsidR="00A91D96">
        <w:rPr>
          <w:rFonts w:eastAsia="Verdana" w:cs="Verdana"/>
          <w:color w:val="auto"/>
        </w:rPr>
        <w:t xml:space="preserve"> </w:t>
      </w:r>
      <w:r w:rsidRPr="00CA2A90">
        <w:rPr>
          <w:rFonts w:eastAsia="Verdana" w:cs="Verdana"/>
          <w:color w:val="auto"/>
        </w:rPr>
        <w:t>Leer</w:t>
      </w:r>
      <w:r w:rsidR="00A91D96">
        <w:rPr>
          <w:rFonts w:eastAsia="Verdana" w:cs="Verdana"/>
          <w:color w:val="auto"/>
        </w:rPr>
        <w:t xml:space="preserve"> </w:t>
      </w:r>
      <w:r w:rsidRPr="00CA2A90">
        <w:rPr>
          <w:rFonts w:eastAsia="Verdana" w:cs="Verdana"/>
          <w:color w:val="auto"/>
        </w:rPr>
        <w:t xml:space="preserve">Netwerk. Bij </w:t>
      </w:r>
      <w:r w:rsidR="00A91D96">
        <w:rPr>
          <w:rFonts w:eastAsia="Verdana" w:cs="Verdana"/>
          <w:color w:val="auto"/>
        </w:rPr>
        <w:t>deze organisatie</w:t>
      </w:r>
      <w:r w:rsidRPr="00CA2A90">
        <w:rPr>
          <w:rFonts w:eastAsia="Verdana" w:cs="Verdana"/>
          <w:color w:val="auto"/>
        </w:rPr>
        <w:t xml:space="preserve"> liep het verzuim na de coronaperiode steeds verder op. </w:t>
      </w:r>
      <w:r w:rsidR="00A91D96">
        <w:rPr>
          <w:rFonts w:eastAsia="Verdana" w:cs="Verdana"/>
          <w:color w:val="auto"/>
        </w:rPr>
        <w:t xml:space="preserve">Dit hebben ze </w:t>
      </w:r>
      <w:r w:rsidRPr="00CA2A90">
        <w:rPr>
          <w:rFonts w:eastAsia="Verdana" w:cs="Verdana"/>
          <w:color w:val="auto"/>
        </w:rPr>
        <w:t>weten te keren door verzuim als organisatievraagstuk aan te pakken. Met gebruik van eenduidige data, getrainde leidinggevenden en een focus op inzetbaarheid zette het ziekteverzuim een daling in. Minder (langdurig) verzuim betekent niet alleen lagere kosten, maar ook meer inzetbare capaciteit, minder druk op roosters en meer continuïteit voor cliënten.</w:t>
      </w:r>
      <w:r>
        <w:rPr>
          <w:rFonts w:eastAsia="Verdana" w:cs="Verdana"/>
          <w:color w:val="auto"/>
        </w:rPr>
        <w:t xml:space="preserve"> </w:t>
      </w:r>
    </w:p>
    <w:p w:rsidR="38EF0E11" w:rsidP="006D59D6" w:rsidRDefault="38EF0E11" w14:paraId="513AD4B9" w14:textId="77777777">
      <w:pPr>
        <w:suppressAutoHyphens/>
        <w:spacing w:line="276" w:lineRule="auto"/>
        <w:ind w:left="360"/>
      </w:pPr>
    </w:p>
    <w:p w:rsidR="00320303" w:rsidP="006D59D6" w:rsidRDefault="00082ACE" w14:paraId="58FF9938" w14:textId="77777777">
      <w:pPr>
        <w:suppressAutoHyphens/>
        <w:spacing w:line="276" w:lineRule="auto"/>
        <w:rPr>
          <w:rFonts w:eastAsia="Verdana" w:cs="Verdana"/>
          <w:color w:val="auto"/>
        </w:rPr>
      </w:pPr>
      <w:r w:rsidRPr="7FF9E926">
        <w:t>Als het gaat om een gezonde en veilige werkomgeving vraagt agressie tegen zorgmedewerkers om specifieke aandacht. Ook</w:t>
      </w:r>
      <w:r w:rsidR="00D334A0">
        <w:t xml:space="preserve"> dit onderwerp wil ik bij</w:t>
      </w:r>
      <w:r w:rsidRPr="7FF9E926">
        <w:t xml:space="preserve"> werkgevers</w:t>
      </w:r>
      <w:r w:rsidR="0087034D">
        <w:t xml:space="preserve"> </w:t>
      </w:r>
      <w:r w:rsidRPr="7FF9E926" w:rsidR="00D334A0">
        <w:t>o</w:t>
      </w:r>
      <w:r w:rsidR="00D334A0">
        <w:t xml:space="preserve">nder de aandacht houden en de juiste tools en methodieken aanreiken zodat zij dit </w:t>
      </w:r>
      <w:r w:rsidR="0087034D">
        <w:t xml:space="preserve">stevig aan </w:t>
      </w:r>
      <w:r w:rsidR="00D334A0">
        <w:t>kunnen</w:t>
      </w:r>
      <w:r w:rsidR="0087034D">
        <w:t xml:space="preserve"> pakken en de juiste maatregelen treffen binnen hun organisatie</w:t>
      </w:r>
      <w:r w:rsidRPr="7FF9E926">
        <w:t xml:space="preserve">. </w:t>
      </w:r>
      <w:r w:rsidR="00B85BD2">
        <w:t xml:space="preserve">De campagne </w:t>
      </w:r>
      <w:r w:rsidR="00F7440B">
        <w:t>‘</w:t>
      </w:r>
      <w:r w:rsidRPr="008F20DC" w:rsidR="00F7440B">
        <w:rPr>
          <w:i/>
          <w:iCs/>
        </w:rPr>
        <w:t>Blijf jezelf, tel even tot 11</w:t>
      </w:r>
      <w:r w:rsidR="00F7440B">
        <w:t>’</w:t>
      </w:r>
      <w:r w:rsidR="00B85BD2">
        <w:t xml:space="preserve"> was vorig jaar actief</w:t>
      </w:r>
      <w:r w:rsidR="006D5008">
        <w:t xml:space="preserve"> en bestond </w:t>
      </w:r>
      <w:r w:rsidR="006313EE">
        <w:t>uit</w:t>
      </w:r>
      <w:r w:rsidR="006D5008">
        <w:t xml:space="preserve"> </w:t>
      </w:r>
      <w:r w:rsidR="006313EE">
        <w:t>online</w:t>
      </w:r>
      <w:r w:rsidR="006D5008">
        <w:t xml:space="preserve"> radiocommercial</w:t>
      </w:r>
      <w:r w:rsidR="006313EE">
        <w:t>s,</w:t>
      </w:r>
      <w:r w:rsidR="006D5008">
        <w:t xml:space="preserve"> online video’s </w:t>
      </w:r>
      <w:r w:rsidR="006313EE">
        <w:t>en</w:t>
      </w:r>
      <w:r w:rsidR="006D5008">
        <w:t xml:space="preserve"> een toolkit </w:t>
      </w:r>
      <w:r w:rsidR="00FE1842">
        <w:t xml:space="preserve">met campagnematerialen </w:t>
      </w:r>
      <w:r w:rsidR="006D5008">
        <w:t xml:space="preserve">voor werkgevers. Zij konden tot eind mei 2026 de toolkit downloaden en </w:t>
      </w:r>
      <w:r w:rsidR="00BA5099">
        <w:t xml:space="preserve">kunnen </w:t>
      </w:r>
      <w:r w:rsidR="006D5008">
        <w:t xml:space="preserve">de materialen </w:t>
      </w:r>
      <w:r w:rsidR="00B85BD2">
        <w:t xml:space="preserve">tot 17 juni 2027 </w:t>
      </w:r>
      <w:r w:rsidRPr="00F7440B" w:rsidR="00F7440B">
        <w:t>rechtenvrij gebruiken op websites, social media, nieuwsbrieven, wachtkamerschermen en andere communicatiekanalen</w:t>
      </w:r>
      <w:r>
        <w:rPr>
          <w:rStyle w:val="Voetnootmarkering"/>
        </w:rPr>
        <w:footnoteReference w:id="29"/>
      </w:r>
      <w:r w:rsidRPr="00F7440B" w:rsidR="00F7440B">
        <w:t>.</w:t>
      </w:r>
      <w:r w:rsidR="00B85BD2">
        <w:t xml:space="preserve"> </w:t>
      </w:r>
      <w:r w:rsidRPr="001F5A89" w:rsidR="006313EE">
        <w:rPr>
          <w:rFonts w:eastAsia="Verdana" w:cs="Verdana"/>
          <w:color w:val="auto"/>
        </w:rPr>
        <w:t>Daarnaast is er een persbericht met bijbehorend onderzoek uitgestuurd met als doel om zo veel mogelijk aandacht voor de campagne en het onderwerp te genereren.</w:t>
      </w:r>
    </w:p>
    <w:p w:rsidR="006313EE" w:rsidP="006D59D6" w:rsidRDefault="006313EE" w14:paraId="60A5D547" w14:textId="77777777">
      <w:pPr>
        <w:suppressAutoHyphens/>
        <w:spacing w:line="276" w:lineRule="auto"/>
        <w:rPr>
          <w:rFonts w:eastAsia="Verdana" w:cs="Verdana"/>
          <w:color w:val="auto"/>
        </w:rPr>
      </w:pPr>
    </w:p>
    <w:p w:rsidRPr="001F5A89" w:rsidR="006313EE" w:rsidP="006D59D6" w:rsidRDefault="00082ACE" w14:paraId="54F40020" w14:textId="77777777">
      <w:pPr>
        <w:suppressAutoHyphens/>
        <w:spacing w:line="276" w:lineRule="auto"/>
        <w:rPr>
          <w:rFonts w:eastAsia="Verdana" w:cs="Verdana"/>
          <w:color w:val="auto"/>
        </w:rPr>
      </w:pPr>
      <w:r w:rsidRPr="00482350">
        <w:lastRenderedPageBreak/>
        <w:t xml:space="preserve">De toolkit is </w:t>
      </w:r>
      <w:r w:rsidRPr="001F5A89">
        <w:rPr>
          <w:rFonts w:eastAsia="Verdana" w:cs="Verdana"/>
          <w:color w:val="auto"/>
        </w:rPr>
        <w:t>vorig jaar 11.326 keer gedownload</w:t>
      </w:r>
      <w:r>
        <w:rPr>
          <w:rStyle w:val="Voetnootmarkering"/>
          <w:rFonts w:eastAsia="Verdana" w:cs="Verdana"/>
          <w:color w:val="auto"/>
        </w:rPr>
        <w:footnoteReference w:id="30"/>
      </w:r>
      <w:r w:rsidRPr="001F5A89">
        <w:rPr>
          <w:rFonts w:eastAsia="Verdana" w:cs="Verdana"/>
          <w:color w:val="auto"/>
        </w:rPr>
        <w:t xml:space="preserve">. </w:t>
      </w:r>
      <w:r w:rsidR="00CC1EA1">
        <w:rPr>
          <w:rFonts w:eastAsia="Verdana" w:cs="Verdana"/>
          <w:color w:val="auto"/>
        </w:rPr>
        <w:t>V</w:t>
      </w:r>
      <w:r w:rsidRPr="001F5A89">
        <w:rPr>
          <w:rFonts w:eastAsia="Verdana" w:cs="Verdana"/>
          <w:color w:val="auto"/>
        </w:rPr>
        <w:t>oor online video was het bereik 4,8 miljoen en voor online radio 4,2 miljoen</w:t>
      </w:r>
      <w:r>
        <w:rPr>
          <w:rStyle w:val="Voetnootmarkering"/>
          <w:rFonts w:eastAsia="Verdana" w:cs="Verdana"/>
          <w:color w:val="auto"/>
        </w:rPr>
        <w:footnoteReference w:id="31"/>
      </w:r>
      <w:r w:rsidRPr="001F5A89">
        <w:rPr>
          <w:rFonts w:eastAsia="Verdana" w:cs="Verdana"/>
          <w:color w:val="auto"/>
        </w:rPr>
        <w:t xml:space="preserve">. Daarnaast zijn ook op andere manieren mensen bereikt. Er is door diverse </w:t>
      </w:r>
      <w:r w:rsidRPr="001F5A89">
        <w:rPr>
          <w:rFonts w:eastAsia="Verdana" w:cs="Verdana"/>
          <w:color w:val="auto"/>
        </w:rPr>
        <w:t>radioprogramma’s aandacht geschonken aan de campagn</w:t>
      </w:r>
      <w:r>
        <w:rPr>
          <w:rFonts w:eastAsia="Verdana" w:cs="Verdana"/>
          <w:color w:val="auto"/>
        </w:rPr>
        <w:t>e en er zijn geprinte en online artikelen over verschenen</w:t>
      </w:r>
      <w:r w:rsidRPr="001F5A89">
        <w:rPr>
          <w:rFonts w:eastAsia="Verdana" w:cs="Verdana"/>
          <w:color w:val="auto"/>
        </w:rPr>
        <w:t>. Het PR</w:t>
      </w:r>
      <w:r>
        <w:rPr>
          <w:rFonts w:eastAsia="Verdana" w:cs="Verdana"/>
          <w:color w:val="auto"/>
        </w:rPr>
        <w:t>-</w:t>
      </w:r>
      <w:r w:rsidRPr="001F5A89">
        <w:rPr>
          <w:rFonts w:eastAsia="Verdana" w:cs="Verdana"/>
          <w:color w:val="auto"/>
        </w:rPr>
        <w:t>bureau dat betrokken was bij de campagne schat in dat via radio ongeveer 2,5 miljoen keer over de campagne is gehoord; dat er via het online bereik 3,8 miljoen keer iets is gezien over de campagne en via geprinte 3 miljoen keer</w:t>
      </w:r>
      <w:r>
        <w:rPr>
          <w:rStyle w:val="Voetnootmarkering"/>
          <w:rFonts w:eastAsia="Verdana" w:cs="Verdana"/>
          <w:color w:val="auto"/>
        </w:rPr>
        <w:footnoteReference w:id="32"/>
      </w:r>
      <w:r w:rsidR="00E66CB7">
        <w:rPr>
          <w:rFonts w:eastAsia="Verdana" w:cs="Verdana"/>
          <w:color w:val="auto"/>
        </w:rPr>
        <w:t>.</w:t>
      </w:r>
      <w:r w:rsidRPr="001F5A89">
        <w:rPr>
          <w:rFonts w:eastAsia="Verdana" w:cs="Verdana"/>
          <w:color w:val="auto"/>
        </w:rPr>
        <w:t xml:space="preserve"> </w:t>
      </w:r>
    </w:p>
    <w:p w:rsidR="00320303" w:rsidP="006D59D6" w:rsidRDefault="00320303" w14:paraId="2FB5A4B7" w14:textId="77777777">
      <w:pPr>
        <w:suppressAutoHyphens/>
        <w:spacing w:line="276" w:lineRule="auto"/>
      </w:pPr>
    </w:p>
    <w:p w:rsidR="00276098" w:rsidP="006D59D6" w:rsidRDefault="00082ACE" w14:paraId="667CD932" w14:textId="77777777">
      <w:pPr>
        <w:suppressAutoHyphens/>
        <w:spacing w:line="276" w:lineRule="auto"/>
      </w:pPr>
      <w:r>
        <w:t>N</w:t>
      </w:r>
      <w:r w:rsidR="00B85BD2">
        <w:t>aast</w:t>
      </w:r>
      <w:r w:rsidRPr="7FF9E926" w:rsidR="7FF9E926">
        <w:t xml:space="preserve"> </w:t>
      </w:r>
      <w:r>
        <w:t>de campagne is er een subsidie verstrekt aan</w:t>
      </w:r>
      <w:r w:rsidRPr="7FF9E926" w:rsidR="7FF9E926">
        <w:t xml:space="preserve"> de KNMG om een handelingskader op te stellen</w:t>
      </w:r>
      <w:r w:rsidR="00E54129">
        <w:t xml:space="preserve"> dat antwoord geeft op de vraag</w:t>
      </w:r>
      <w:r w:rsidRPr="7FF9E926" w:rsidR="7FF9E926">
        <w:t>: wat kunnen zorgverleners doen als zij te maken krijgen met agressie</w:t>
      </w:r>
      <w:r w:rsidR="00E54129">
        <w:t>?</w:t>
      </w:r>
      <w:r w:rsidRPr="7FF9E926" w:rsidR="7FF9E926">
        <w:t xml:space="preserve"> </w:t>
      </w:r>
      <w:r w:rsidR="00E54129">
        <w:t>Dit kader</w:t>
      </w:r>
      <w:r w:rsidRPr="7FF9E926" w:rsidR="7FF9E926">
        <w:t xml:space="preserve"> biedt ook </w:t>
      </w:r>
      <w:r w:rsidR="00E54129">
        <w:t xml:space="preserve">concrete </w:t>
      </w:r>
      <w:r w:rsidRPr="7FF9E926" w:rsidR="7FF9E926">
        <w:t xml:space="preserve">handvatten voor werkgevers. De KNMG </w:t>
      </w:r>
      <w:r w:rsidR="00E54129">
        <w:t xml:space="preserve">streeft ernaar het handelingskader </w:t>
      </w:r>
      <w:r w:rsidRPr="7FF9E926" w:rsidR="7FF9E926">
        <w:t xml:space="preserve">voor de zomer </w:t>
      </w:r>
      <w:r w:rsidR="00E54129">
        <w:t xml:space="preserve">te </w:t>
      </w:r>
      <w:r w:rsidRPr="7FF9E926" w:rsidR="7FF9E926">
        <w:t xml:space="preserve">publiceren. Ik </w:t>
      </w:r>
      <w:r>
        <w:t xml:space="preserve">zie het als mijn rol om ervoor te zorgen dat het vervolgens ook </w:t>
      </w:r>
      <w:r w:rsidRPr="7FF9E926" w:rsidR="7FF9E926">
        <w:t xml:space="preserve">zo breed mogelijk wordt verspreid binnen de sector. </w:t>
      </w:r>
    </w:p>
    <w:p w:rsidR="00276098" w:rsidP="006D59D6" w:rsidRDefault="00276098" w14:paraId="5EA52F66" w14:textId="77777777">
      <w:pPr>
        <w:suppressAutoHyphens/>
        <w:spacing w:line="276" w:lineRule="auto"/>
      </w:pPr>
    </w:p>
    <w:p w:rsidR="38EF0E11" w:rsidP="006D59D6" w:rsidRDefault="00082ACE" w14:paraId="02184CE7" w14:textId="77777777">
      <w:pPr>
        <w:suppressAutoHyphens/>
        <w:spacing w:line="276" w:lineRule="auto"/>
      </w:pPr>
      <w:r w:rsidRPr="7FF9E926">
        <w:t>Verder hoort bij de aanpak van agressie niet alleen preventie, opvang</w:t>
      </w:r>
      <w:r w:rsidR="00276098">
        <w:t xml:space="preserve">, nazorg en </w:t>
      </w:r>
      <w:r w:rsidRPr="7FF9E926">
        <w:t xml:space="preserve">reactie naar de dader maar ook het doen van aangifte. Ook daarin hebben werkgevers een rol. Om </w:t>
      </w:r>
      <w:r w:rsidR="0087034D">
        <w:t>hen</w:t>
      </w:r>
      <w:r w:rsidRPr="7FF9E926">
        <w:t xml:space="preserve"> te stimuleren aangifte te doen bij agressie tegen hun werknemers zijn er de afgelopen jaren regionale bijeenkomsten geweest over het doen van aangifte bij agressie. Op agressie tegen zorgverleners zijn de Eenduidige Landelijke Afspraken </w:t>
      </w:r>
      <w:r w:rsidR="00276098">
        <w:t xml:space="preserve">(ELA) </w:t>
      </w:r>
      <w:r w:rsidRPr="7FF9E926">
        <w:t>van toepassing. Dit is een set afspraken tussen de politie en het Openbaar Ministerie om te komen tot een eenduidige, effectieve en snelle afhandeling van agressie- en ge</w:t>
      </w:r>
      <w:r w:rsidRPr="7FF9E926">
        <w:t xml:space="preserve">weldszaken tegen mensen met een publieke taak. Op dit moment worden deze ELA herzien. Het streven van mijn collega van het ministerie van </w:t>
      </w:r>
      <w:r w:rsidR="00E66CB7">
        <w:t xml:space="preserve">JenV </w:t>
      </w:r>
      <w:r w:rsidRPr="7FF9E926">
        <w:t xml:space="preserve">is dat deze herziene ELA voor het zomerreces gereed is. Ik zal dat moment ook aangrijpen om de herziene ELA en </w:t>
      </w:r>
      <w:r w:rsidRPr="7FF9E926">
        <w:t>het doen van aangifte onder de aandacht van werkgevers in zorg en welzijn te brengen.</w:t>
      </w:r>
    </w:p>
    <w:p w:rsidR="38EF0E11" w:rsidP="006D59D6" w:rsidRDefault="38EF0E11" w14:paraId="794ADC28" w14:textId="77777777">
      <w:pPr>
        <w:suppressAutoHyphens/>
        <w:spacing w:line="276" w:lineRule="auto"/>
      </w:pPr>
    </w:p>
    <w:p w:rsidR="38EF0E11" w:rsidP="006D59D6" w:rsidRDefault="00082ACE" w14:paraId="47ECEB1C" w14:textId="77777777">
      <w:pPr>
        <w:suppressAutoHyphens/>
        <w:spacing w:line="276" w:lineRule="auto"/>
      </w:pPr>
      <w:r>
        <w:t xml:space="preserve">Ik vind </w:t>
      </w:r>
      <w:r w:rsidR="00276098">
        <w:t>het belangrijk om te noemen dat m</w:t>
      </w:r>
      <w:r w:rsidRPr="49A4F9FE" w:rsidR="49A4F9FE">
        <w:t>edewerkers in zorg en welzijn ook nog steeds discriminatie en seksueel grensoverschrijdend gedrag</w:t>
      </w:r>
      <w:r w:rsidR="00276098">
        <w:t xml:space="preserve"> ervaren</w:t>
      </w:r>
      <w:r w:rsidRPr="49A4F9FE" w:rsidR="49A4F9FE">
        <w:t xml:space="preserve">, zowel van collega’s en leidinggevenden als van </w:t>
      </w:r>
      <w:r w:rsidR="00276098">
        <w:t xml:space="preserve">patiënten of </w:t>
      </w:r>
      <w:r w:rsidRPr="49A4F9FE" w:rsidR="49A4F9FE">
        <w:t xml:space="preserve">cliënten en hun naasten. Ik ondersteun werkgevers bij hun verantwoordelijkheid om dit gedrag binnen hun eigen organisatie te voorkomen en aan te pakken. </w:t>
      </w:r>
      <w:r w:rsidR="00323EAF">
        <w:t>Tijdens</w:t>
      </w:r>
      <w:r w:rsidR="006C47AB">
        <w:t xml:space="preserve"> het kabinet Schoof</w:t>
      </w:r>
      <w:r w:rsidR="00323EAF">
        <w:t xml:space="preserve"> is</w:t>
      </w:r>
      <w:r w:rsidRPr="49A4F9FE" w:rsidR="49A4F9FE">
        <w:t xml:space="preserve"> opdracht gegeven </w:t>
      </w:r>
      <w:r w:rsidR="00377309">
        <w:t>voor</w:t>
      </w:r>
      <w:r w:rsidRPr="49A4F9FE" w:rsidR="49A4F9FE">
        <w:t xml:space="preserve"> een onderzoek naar tools, interventies en maatregelen die </w:t>
      </w:r>
      <w:r w:rsidR="00276098">
        <w:t xml:space="preserve">zij hiervoor </w:t>
      </w:r>
      <w:r w:rsidRPr="49A4F9FE" w:rsidR="49A4F9FE">
        <w:t>kunnen inzetten</w:t>
      </w:r>
      <w:r>
        <w:rPr>
          <w:rStyle w:val="Voetnootmarkering"/>
        </w:rPr>
        <w:footnoteReference w:id="33"/>
      </w:r>
      <w:r w:rsidRPr="49A4F9FE" w:rsidR="49A4F9FE">
        <w:t xml:space="preserve">. Naar aanleiding van dit onderzoeksrapport </w:t>
      </w:r>
      <w:r w:rsidR="00320303">
        <w:t xml:space="preserve">is </w:t>
      </w:r>
      <w:r w:rsidR="00276098">
        <w:t xml:space="preserve">een </w:t>
      </w:r>
      <w:r w:rsidRPr="49A4F9FE" w:rsidR="49A4F9FE">
        <w:t xml:space="preserve">praktisch handvat </w:t>
      </w:r>
      <w:r w:rsidR="00276098">
        <w:t xml:space="preserve">ontwikkeld </w:t>
      </w:r>
      <w:r w:rsidRPr="49A4F9FE" w:rsidR="49A4F9FE">
        <w:t xml:space="preserve">dat werkgevers en leidinggevenden in </w:t>
      </w:r>
      <w:r w:rsidR="00276098">
        <w:t xml:space="preserve">zorg en welzijn </w:t>
      </w:r>
      <w:r w:rsidRPr="49A4F9FE" w:rsidR="49A4F9FE">
        <w:t xml:space="preserve">ondersteunt bij het herkennen en bespreekbaar maken van discriminatie en bij het bevorderen van een sociaal veilige werkomgeving. </w:t>
      </w:r>
      <w:r w:rsidR="00276098">
        <w:t>Dit</w:t>
      </w:r>
      <w:r w:rsidRPr="49A4F9FE" w:rsidR="49A4F9FE">
        <w:t xml:space="preserve"> handvat is </w:t>
      </w:r>
      <w:r w:rsidR="00276098">
        <w:t xml:space="preserve">in </w:t>
      </w:r>
      <w:r w:rsidRPr="49A4F9FE" w:rsidR="49A4F9FE">
        <w:t>februari 2026 breed verspreid binnen de sector</w:t>
      </w:r>
      <w:r w:rsidR="00E66CB7">
        <w:t xml:space="preserve"> en heeft tot nu toe een online </w:t>
      </w:r>
      <w:r w:rsidR="00E66CB7">
        <w:lastRenderedPageBreak/>
        <w:t>weergave van 10.000 weergaves en is 400 keer gedownload</w:t>
      </w:r>
      <w:r w:rsidR="00320303">
        <w:t xml:space="preserve">. </w:t>
      </w:r>
      <w:r w:rsidRPr="0040647A" w:rsidR="00320303">
        <w:t>O</w:t>
      </w:r>
      <w:r w:rsidRPr="0040647A" w:rsidR="00E60FB0">
        <w:t xml:space="preserve">p </w:t>
      </w:r>
      <w:r w:rsidRPr="0040647A" w:rsidR="008D7163">
        <w:t>30 juni</w:t>
      </w:r>
      <w:r w:rsidRPr="0040647A" w:rsidR="006D5008">
        <w:t xml:space="preserve"> </w:t>
      </w:r>
      <w:r w:rsidRPr="0040647A" w:rsidR="00E60FB0">
        <w:t>a</w:t>
      </w:r>
      <w:r w:rsidRPr="0040647A" w:rsidR="00377309">
        <w:t>s</w:t>
      </w:r>
      <w:r w:rsidR="00377309">
        <w:t>.</w:t>
      </w:r>
      <w:r w:rsidR="00320303">
        <w:t xml:space="preserve"> </w:t>
      </w:r>
      <w:r w:rsidR="00377309">
        <w:t xml:space="preserve">organiseer ik daarnaast samen met Pharos </w:t>
      </w:r>
      <w:r w:rsidR="006D5008">
        <w:t xml:space="preserve">een webinar voor </w:t>
      </w:r>
      <w:r w:rsidR="006C47AB">
        <w:t>HR-</w:t>
      </w:r>
      <w:r w:rsidR="00377309">
        <w:t>medewerkers</w:t>
      </w:r>
      <w:r w:rsidR="006C47AB">
        <w:t>, beleidsadviseurs, vertrouwenspersonen en leidinggevenden in zorg en welzijn</w:t>
      </w:r>
      <w:r w:rsidR="00E60FB0">
        <w:t>.</w:t>
      </w:r>
    </w:p>
    <w:p w:rsidR="38EF0E11" w:rsidP="006D59D6" w:rsidRDefault="38EF0E11" w14:paraId="67047666" w14:textId="77777777">
      <w:pPr>
        <w:suppressAutoHyphens/>
        <w:spacing w:line="276" w:lineRule="auto"/>
        <w:rPr>
          <w:rFonts w:eastAsia="Verdana" w:cs="Verdana"/>
          <w:u w:val="single"/>
        </w:rPr>
      </w:pPr>
    </w:p>
    <w:p w:rsidRPr="003C5CCF" w:rsidR="38EF0E11" w:rsidP="006D59D6" w:rsidRDefault="00082ACE" w14:paraId="313F101B" w14:textId="77777777">
      <w:pPr>
        <w:suppressAutoHyphens/>
        <w:spacing w:line="276" w:lineRule="auto"/>
        <w:rPr>
          <w:rFonts w:eastAsia="Verdana" w:cs="Verdana"/>
          <w:i/>
        </w:rPr>
      </w:pPr>
      <w:r w:rsidRPr="74FBFE66">
        <w:rPr>
          <w:rFonts w:eastAsia="Verdana" w:cs="Verdana"/>
          <w:i/>
          <w:iCs/>
        </w:rPr>
        <w:t>Regionaal werkgeverschap en inzet van zzp’ers</w:t>
      </w:r>
    </w:p>
    <w:p w:rsidR="00A91D96" w:rsidP="006D59D6" w:rsidRDefault="00082ACE" w14:paraId="5B59A89C" w14:textId="77777777">
      <w:pPr>
        <w:suppressAutoHyphens/>
        <w:spacing w:line="276" w:lineRule="auto"/>
        <w:rPr>
          <w:rFonts w:eastAsia="Verdana" w:cs="Verdana"/>
        </w:rPr>
      </w:pPr>
      <w:r w:rsidRPr="7FF9E926">
        <w:rPr>
          <w:rFonts w:eastAsia="Verdana" w:cs="Verdana"/>
        </w:rPr>
        <w:t xml:space="preserve">Regionaal werkgeverschap is een samenwerking tussen </w:t>
      </w:r>
      <w:r>
        <w:rPr>
          <w:rFonts w:eastAsia="Verdana" w:cs="Verdana"/>
        </w:rPr>
        <w:t>twee</w:t>
      </w:r>
      <w:r w:rsidRPr="7FF9E926">
        <w:rPr>
          <w:rFonts w:eastAsia="Verdana" w:cs="Verdana"/>
        </w:rPr>
        <w:t xml:space="preserve"> of meer werkgevers in een regio waarbij werknemers in loondienst gelijktijdig of opeenvolgend kunnen werken bij meerdere werkgevers</w:t>
      </w:r>
      <w:r>
        <w:rPr>
          <w:rFonts w:eastAsia="Verdana" w:cs="Verdana"/>
        </w:rPr>
        <w:t xml:space="preserve"> in zorg en welzij</w:t>
      </w:r>
      <w:r w:rsidRPr="0043007B">
        <w:rPr>
          <w:rFonts w:eastAsia="Verdana" w:cs="Verdana"/>
        </w:rPr>
        <w:t>n.</w:t>
      </w:r>
      <w:r w:rsidRPr="7FF9E926">
        <w:rPr>
          <w:rFonts w:eastAsia="Verdana" w:cs="Verdana"/>
          <w:b/>
          <w:bCs/>
        </w:rPr>
        <w:t xml:space="preserve"> </w:t>
      </w:r>
      <w:r w:rsidRPr="49A4F9FE">
        <w:rPr>
          <w:rFonts w:eastAsia="Verdana" w:cs="Verdana"/>
        </w:rPr>
        <w:t xml:space="preserve">Een dergelijke vorm van loondienst zorgt ervoor dat werknemers meer eigen regie, afwisseling, loopbaanontwikkeling en grotere contracten kunnen krijgen. Tegelijkertijd biedt het werkgevers de kans om een groter arbeidspotentieel aan te spreken. </w:t>
      </w:r>
      <w:r>
        <w:rPr>
          <w:rFonts w:eastAsia="Verdana" w:cs="Verdana"/>
        </w:rPr>
        <w:t>Dit maakt de inrichting van regionaal werkgeverschap een aantrekkelijke manier om in te spelen op de personeelstek</w:t>
      </w:r>
      <w:r>
        <w:rPr>
          <w:rFonts w:eastAsia="Verdana" w:cs="Verdana"/>
        </w:rPr>
        <w:t>orten in de sector.</w:t>
      </w:r>
    </w:p>
    <w:p w:rsidR="00A91D96" w:rsidP="006D59D6" w:rsidRDefault="00A91D96" w14:paraId="19A6497B" w14:textId="77777777">
      <w:pPr>
        <w:suppressAutoHyphens/>
        <w:spacing w:line="276" w:lineRule="auto"/>
        <w:rPr>
          <w:rFonts w:eastAsia="Verdana" w:cs="Verdana"/>
        </w:rPr>
      </w:pPr>
    </w:p>
    <w:p w:rsidR="00A91D96" w:rsidP="006D59D6" w:rsidRDefault="00082ACE" w14:paraId="1B5DC13D" w14:textId="77777777">
      <w:pPr>
        <w:suppressAutoHyphens/>
        <w:spacing w:line="276" w:lineRule="auto"/>
        <w:rPr>
          <w:rFonts w:eastAsia="Verdana" w:cs="Verdana"/>
        </w:rPr>
      </w:pPr>
      <w:r w:rsidRPr="49A4F9FE">
        <w:rPr>
          <w:rFonts w:eastAsia="Verdana" w:cs="Verdana"/>
        </w:rPr>
        <w:t>Om implementeerbare werkvormen voor regionaal werkgeverschap te bepalen en makkelijk toegankelijk te maken voor opschaling</w:t>
      </w:r>
      <w:r w:rsidRPr="00031933">
        <w:rPr>
          <w:rFonts w:eastAsia="Verdana" w:cs="Verdana"/>
        </w:rPr>
        <w:t>, faciliteer en monitor</w:t>
      </w:r>
      <w:r w:rsidRPr="49A4F9FE">
        <w:rPr>
          <w:rFonts w:eastAsia="Verdana" w:cs="Verdana"/>
        </w:rPr>
        <w:t xml:space="preserve"> ik diverse pilots. </w:t>
      </w:r>
      <w:r w:rsidR="001B1C46">
        <w:rPr>
          <w:rFonts w:eastAsia="Verdana" w:cs="Verdana"/>
        </w:rPr>
        <w:t xml:space="preserve">Dit doe ik door </w:t>
      </w:r>
      <w:r w:rsidRPr="00D71D19">
        <w:rPr>
          <w:rFonts w:eastAsia="Verdana" w:cs="Verdana"/>
        </w:rPr>
        <w:t xml:space="preserve">partijen </w:t>
      </w:r>
      <w:r w:rsidR="00CA0194">
        <w:rPr>
          <w:rFonts w:eastAsia="Verdana" w:cs="Verdana"/>
        </w:rPr>
        <w:t xml:space="preserve">bij elkaar te brengen </w:t>
      </w:r>
      <w:r w:rsidRPr="00D71D19">
        <w:rPr>
          <w:rFonts w:eastAsia="Verdana" w:cs="Verdana"/>
        </w:rPr>
        <w:t>en geleerde lessen</w:t>
      </w:r>
      <w:r w:rsidR="00CA0194">
        <w:rPr>
          <w:rFonts w:eastAsia="Verdana" w:cs="Verdana"/>
        </w:rPr>
        <w:t xml:space="preserve"> breed te delen in de sector</w:t>
      </w:r>
      <w:r w:rsidRPr="00D71D19">
        <w:rPr>
          <w:rFonts w:eastAsia="Verdana" w:cs="Verdana"/>
        </w:rPr>
        <w:t>.</w:t>
      </w:r>
      <w:r>
        <w:rPr>
          <w:rFonts w:eastAsia="Verdana" w:cs="Verdana"/>
        </w:rPr>
        <w:t xml:space="preserve"> </w:t>
      </w:r>
      <w:r w:rsidR="001B1C46">
        <w:rPr>
          <w:rFonts w:eastAsia="Verdana" w:cs="Verdana"/>
        </w:rPr>
        <w:t xml:space="preserve">Samen met betrokken partijen zal ik de </w:t>
      </w:r>
      <w:r w:rsidRPr="00D71D19" w:rsidR="001B1C46">
        <w:rPr>
          <w:rFonts w:eastAsia="Verdana" w:cs="Verdana"/>
        </w:rPr>
        <w:t>diverse richtingen van regionaal werkgeverschap</w:t>
      </w:r>
      <w:r w:rsidR="00CA0194">
        <w:rPr>
          <w:rFonts w:eastAsia="Verdana" w:cs="Verdana"/>
        </w:rPr>
        <w:t xml:space="preserve"> blijven</w:t>
      </w:r>
      <w:r w:rsidRPr="00D71D19" w:rsidR="001B1C46">
        <w:rPr>
          <w:rFonts w:eastAsia="Verdana" w:cs="Verdana"/>
        </w:rPr>
        <w:t xml:space="preserve"> testen, knelpunten identificeren en handvatten opleveren voor implementatie.</w:t>
      </w:r>
      <w:r w:rsidR="001B1C46">
        <w:rPr>
          <w:rFonts w:eastAsia="Verdana" w:cs="Verdana"/>
        </w:rPr>
        <w:t xml:space="preserve"> Samen met</w:t>
      </w:r>
      <w:r w:rsidR="00C0126B">
        <w:rPr>
          <w:rFonts w:eastAsia="Verdana" w:cs="Verdana"/>
        </w:rPr>
        <w:t xml:space="preserve"> het </w:t>
      </w:r>
      <w:r w:rsidR="00751356">
        <w:rPr>
          <w:rFonts w:eastAsia="Verdana" w:cs="Verdana"/>
        </w:rPr>
        <w:t xml:space="preserve">landelijke </w:t>
      </w:r>
      <w:r w:rsidR="00C0126B">
        <w:rPr>
          <w:rFonts w:eastAsia="Verdana" w:cs="Verdana"/>
        </w:rPr>
        <w:t>samenwerkingsverband van werkgevers</w:t>
      </w:r>
      <w:r w:rsidR="00751356">
        <w:rPr>
          <w:rFonts w:eastAsia="Verdana" w:cs="Verdana"/>
        </w:rPr>
        <w:t xml:space="preserve"> in zorg en welzijn</w:t>
      </w:r>
      <w:r w:rsidR="00C0126B">
        <w:rPr>
          <w:rFonts w:eastAsia="Verdana" w:cs="Verdana"/>
        </w:rPr>
        <w:t xml:space="preserve"> in de regio,</w:t>
      </w:r>
      <w:r w:rsidR="001B1C46">
        <w:rPr>
          <w:rFonts w:eastAsia="Verdana" w:cs="Verdana"/>
        </w:rPr>
        <w:t xml:space="preserve"> RegioPlus</w:t>
      </w:r>
      <w:r w:rsidR="00C0126B">
        <w:rPr>
          <w:rFonts w:eastAsia="Verdana" w:cs="Verdana"/>
        </w:rPr>
        <w:t>,</w:t>
      </w:r>
      <w:r w:rsidR="001B1C46">
        <w:rPr>
          <w:rFonts w:eastAsia="Verdana" w:cs="Verdana"/>
        </w:rPr>
        <w:t xml:space="preserve"> </w:t>
      </w:r>
      <w:r w:rsidR="00CA0194">
        <w:rPr>
          <w:rFonts w:eastAsia="Verdana" w:cs="Verdana"/>
        </w:rPr>
        <w:t xml:space="preserve">zorg ik </w:t>
      </w:r>
      <w:r w:rsidR="001B1C46">
        <w:rPr>
          <w:rFonts w:eastAsia="Verdana" w:cs="Verdana"/>
        </w:rPr>
        <w:t xml:space="preserve">dat de geleerde lessen </w:t>
      </w:r>
      <w:r w:rsidRPr="49A4F9FE" w:rsidR="001B1C46">
        <w:rPr>
          <w:rFonts w:eastAsia="Verdana" w:cs="Verdana"/>
        </w:rPr>
        <w:t>in fases gedeeld worden via h</w:t>
      </w:r>
      <w:r w:rsidR="001B1C46">
        <w:rPr>
          <w:rFonts w:eastAsia="Verdana" w:cs="Verdana"/>
        </w:rPr>
        <w:t>un</w:t>
      </w:r>
      <w:r w:rsidRPr="49A4F9FE" w:rsidR="001B1C46">
        <w:rPr>
          <w:rFonts w:eastAsia="Verdana" w:cs="Verdana"/>
        </w:rPr>
        <w:t xml:space="preserve"> informatiepunt regionaal werkgeverschap</w:t>
      </w:r>
      <w:r>
        <w:rPr>
          <w:rStyle w:val="Voetnootmarkering"/>
          <w:rFonts w:eastAsia="Verdana" w:cs="Verdana"/>
        </w:rPr>
        <w:footnoteReference w:id="34"/>
      </w:r>
      <w:r w:rsidR="00CA0194">
        <w:rPr>
          <w:rFonts w:eastAsia="Verdana" w:cs="Verdana"/>
        </w:rPr>
        <w:t>.</w:t>
      </w:r>
    </w:p>
    <w:p w:rsidRPr="00C70269" w:rsidR="00A91D96" w:rsidP="006D59D6" w:rsidRDefault="00A91D96" w14:paraId="76CAF48F" w14:textId="77777777">
      <w:pPr>
        <w:suppressAutoHyphens/>
        <w:spacing w:line="276" w:lineRule="auto"/>
        <w:rPr>
          <w:rFonts w:eastAsia="Verdana" w:cs="Verdana"/>
          <w:color w:val="FF0000"/>
        </w:rPr>
      </w:pPr>
    </w:p>
    <w:p w:rsidRPr="00FF72E1" w:rsidR="00A91D96" w:rsidP="006D59D6" w:rsidRDefault="00082ACE" w14:paraId="63150304" w14:textId="77777777">
      <w:pPr>
        <w:pBdr>
          <w:top w:val="single" w:color="auto" w:sz="4" w:space="1"/>
          <w:left w:val="single" w:color="auto" w:sz="4" w:space="4"/>
          <w:bottom w:val="single" w:color="auto" w:sz="4" w:space="1"/>
          <w:right w:val="single" w:color="auto" w:sz="4" w:space="4"/>
        </w:pBdr>
        <w:suppressAutoHyphens/>
        <w:spacing w:line="276" w:lineRule="auto"/>
        <w:rPr>
          <w:rFonts w:eastAsia="Verdana" w:cs="Verdana"/>
          <w:color w:val="auto"/>
          <w:u w:val="single"/>
        </w:rPr>
      </w:pPr>
      <w:r w:rsidRPr="00FF72E1">
        <w:rPr>
          <w:rFonts w:eastAsia="Verdana" w:cs="Verdana"/>
          <w:color w:val="auto"/>
          <w:u w:val="single"/>
        </w:rPr>
        <w:t xml:space="preserve">Box </w:t>
      </w:r>
      <w:r w:rsidRPr="00FF72E1" w:rsidR="00FF72E1">
        <w:rPr>
          <w:rFonts w:eastAsia="Verdana" w:cs="Verdana"/>
          <w:color w:val="auto"/>
          <w:u w:val="single"/>
        </w:rPr>
        <w:t>5 Regionaal werkgeverschap in de praktijk</w:t>
      </w:r>
    </w:p>
    <w:p w:rsidRPr="00C70269" w:rsidR="00A91D96" w:rsidP="006D59D6" w:rsidRDefault="00082ACE" w14:paraId="38218E0A" w14:textId="77777777">
      <w:pPr>
        <w:pBdr>
          <w:top w:val="single" w:color="auto" w:sz="4" w:space="1"/>
          <w:left w:val="single" w:color="auto" w:sz="4" w:space="4"/>
          <w:bottom w:val="single" w:color="auto" w:sz="4" w:space="1"/>
          <w:right w:val="single" w:color="auto" w:sz="4" w:space="4"/>
        </w:pBdr>
        <w:suppressAutoHyphens/>
        <w:spacing w:line="276" w:lineRule="auto"/>
        <w:rPr>
          <w:rFonts w:eastAsia="Verdana" w:cs="Verdana"/>
          <w:color w:val="FF0000"/>
        </w:rPr>
      </w:pPr>
      <w:r>
        <w:rPr>
          <w:rFonts w:eastAsia="Verdana" w:cs="Verdana"/>
        </w:rPr>
        <w:t xml:space="preserve">Breed in het land lopen er </w:t>
      </w:r>
      <w:r w:rsidRPr="49A4F9FE">
        <w:rPr>
          <w:rFonts w:eastAsia="Verdana" w:cs="Verdana"/>
        </w:rPr>
        <w:t xml:space="preserve">al diverse mooie </w:t>
      </w:r>
      <w:r w:rsidRPr="49A4F9FE">
        <w:rPr>
          <w:rFonts w:eastAsia="Verdana" w:cs="Verdana"/>
        </w:rPr>
        <w:t>initiatieven</w:t>
      </w:r>
      <w:r>
        <w:rPr>
          <w:rFonts w:eastAsia="Verdana" w:cs="Verdana"/>
        </w:rPr>
        <w:t xml:space="preserve">. Bijvoorbeeld op het vlak van </w:t>
      </w:r>
      <w:r w:rsidRPr="00091FD2">
        <w:rPr>
          <w:rFonts w:eastAsia="Verdana" w:cs="Verdana"/>
        </w:rPr>
        <w:t>collegiale uitleen</w:t>
      </w:r>
      <w:r w:rsidRPr="49A4F9FE">
        <w:rPr>
          <w:rFonts w:eastAsia="Verdana" w:cs="Verdana"/>
        </w:rPr>
        <w:t xml:space="preserve">: professionals zijn in loondienst bij één organisatie </w:t>
      </w:r>
      <w:r>
        <w:rPr>
          <w:rFonts w:eastAsia="Verdana" w:cs="Verdana"/>
        </w:rPr>
        <w:t xml:space="preserve">in zorg en welzijn </w:t>
      </w:r>
      <w:r w:rsidRPr="49A4F9FE">
        <w:rPr>
          <w:rFonts w:eastAsia="Verdana" w:cs="Verdana"/>
        </w:rPr>
        <w:t xml:space="preserve">en kunnen vanuit daar ook ingezet worden bij andere organisaties. </w:t>
      </w:r>
      <w:r>
        <w:rPr>
          <w:rFonts w:eastAsia="Verdana" w:cs="Verdana"/>
        </w:rPr>
        <w:t xml:space="preserve">Voorbeelden hiervan zijn </w:t>
      </w:r>
      <w:r w:rsidRPr="00B05778">
        <w:t>de Workflow</w:t>
      </w:r>
      <w:r>
        <w:rPr>
          <w:rStyle w:val="Voetnootmarkering"/>
        </w:rPr>
        <w:footnoteReference w:id="35"/>
      </w:r>
      <w:r w:rsidR="008873F6">
        <w:t xml:space="preserve"> </w:t>
      </w:r>
      <w:r w:rsidRPr="00EE760E">
        <w:rPr>
          <w:color w:val="auto"/>
        </w:rPr>
        <w:t>(een samenwerking van Rotterdamse ziekenhuizen) en</w:t>
      </w:r>
      <w:r w:rsidRPr="00EE760E">
        <w:rPr>
          <w:color w:val="auto"/>
          <w:u w:val="single"/>
        </w:rPr>
        <w:t xml:space="preserve"> </w:t>
      </w:r>
      <w:r w:rsidRPr="008873F6">
        <w:t>B!NC</w:t>
      </w:r>
      <w:r>
        <w:rPr>
          <w:rStyle w:val="Voetnootmarkering"/>
        </w:rPr>
        <w:footnoteReference w:id="36"/>
      </w:r>
      <w:r w:rsidR="008873F6">
        <w:t xml:space="preserve"> </w:t>
      </w:r>
      <w:r w:rsidRPr="00EE760E">
        <w:rPr>
          <w:color w:val="auto"/>
        </w:rPr>
        <w:t>(een samenwerking van 10 zorgorganisaties in Midden- en West-Brabant, waarbij bijna 100 zorgprofessionals zijn aangesloten).</w:t>
      </w:r>
      <w:r>
        <w:t xml:space="preserve"> </w:t>
      </w:r>
      <w:r>
        <w:rPr>
          <w:rFonts w:eastAsia="Verdana" w:cs="Verdana"/>
        </w:rPr>
        <w:t xml:space="preserve">Een ander voorbeeld </w:t>
      </w:r>
      <w:r w:rsidRPr="49A4F9FE">
        <w:rPr>
          <w:rFonts w:eastAsia="Verdana" w:cs="Verdana"/>
        </w:rPr>
        <w:t xml:space="preserve">betreft </w:t>
      </w:r>
      <w:r w:rsidRPr="00B05778">
        <w:rPr>
          <w:rFonts w:eastAsia="Verdana" w:cs="Verdana"/>
        </w:rPr>
        <w:t>FLAIR</w:t>
      </w:r>
      <w:r>
        <w:rPr>
          <w:rStyle w:val="Voetnootmarkering"/>
          <w:rFonts w:eastAsia="Verdana" w:cs="Verdana"/>
        </w:rPr>
        <w:footnoteReference w:id="37"/>
      </w:r>
      <w:r>
        <w:rPr>
          <w:rFonts w:eastAsia="Verdana" w:cs="Verdana"/>
        </w:rPr>
        <w:t xml:space="preserve"> (</w:t>
      </w:r>
      <w:r w:rsidRPr="00091FD2">
        <w:rPr>
          <w:rFonts w:eastAsia="Verdana" w:cs="Verdana"/>
        </w:rPr>
        <w:t>regionaal werk</w:t>
      </w:r>
      <w:r w:rsidRPr="00091FD2">
        <w:rPr>
          <w:rFonts w:eastAsia="Verdana" w:cs="Verdana"/>
          <w:i/>
          <w:iCs/>
        </w:rPr>
        <w:t>nemer</w:t>
      </w:r>
      <w:r w:rsidRPr="00091FD2">
        <w:rPr>
          <w:rFonts w:eastAsia="Verdana" w:cs="Verdana"/>
        </w:rPr>
        <w:t>schap</w:t>
      </w:r>
      <w:r>
        <w:rPr>
          <w:rFonts w:eastAsia="Verdana" w:cs="Verdana"/>
        </w:rPr>
        <w:t>)</w:t>
      </w:r>
      <w:r w:rsidRPr="49A4F9FE">
        <w:rPr>
          <w:rFonts w:eastAsia="Verdana" w:cs="Verdana"/>
        </w:rPr>
        <w:t xml:space="preserve">. Bij </w:t>
      </w:r>
      <w:r>
        <w:rPr>
          <w:rFonts w:eastAsia="Verdana" w:cs="Verdana"/>
        </w:rPr>
        <w:t>FLAIR</w:t>
      </w:r>
      <w:r w:rsidRPr="49A4F9FE">
        <w:rPr>
          <w:rFonts w:eastAsia="Verdana" w:cs="Verdana"/>
        </w:rPr>
        <w:t xml:space="preserve"> hebben professionals een</w:t>
      </w:r>
      <w:r w:rsidRPr="000C61C6">
        <w:rPr>
          <w:rFonts w:eastAsia="Verdana" w:cs="Verdana"/>
        </w:rPr>
        <w:t xml:space="preserve"> regie-arbeidsovereenkomst </w:t>
      </w:r>
      <w:r w:rsidRPr="49A4F9FE">
        <w:rPr>
          <w:rFonts w:eastAsia="Verdana" w:cs="Verdana"/>
        </w:rPr>
        <w:t>bij meerdere werkgevers</w:t>
      </w:r>
      <w:r>
        <w:rPr>
          <w:rFonts w:eastAsia="Verdana" w:cs="Verdana"/>
        </w:rPr>
        <w:t xml:space="preserve"> binnen de sector</w:t>
      </w:r>
      <w:r w:rsidRPr="49A4F9FE">
        <w:rPr>
          <w:rFonts w:eastAsia="Verdana" w:cs="Verdana"/>
        </w:rPr>
        <w:t xml:space="preserve">. </w:t>
      </w:r>
      <w:r w:rsidRPr="000C61C6">
        <w:rPr>
          <w:rFonts w:eastAsia="Verdana" w:cs="Verdana"/>
        </w:rPr>
        <w:t>Werknemers kunnen hun uren flexibel over het jaar bij deze werkgevers inzetten via de centrale app van FLAIR.</w:t>
      </w:r>
      <w:r>
        <w:rPr>
          <w:rFonts w:eastAsia="Verdana" w:cs="Verdana"/>
        </w:rPr>
        <w:t xml:space="preserve"> </w:t>
      </w:r>
      <w:r w:rsidRPr="000C61C6">
        <w:rPr>
          <w:rFonts w:eastAsia="Verdana" w:cs="Verdana"/>
        </w:rPr>
        <w:t xml:space="preserve">Dit initiatief is </w:t>
      </w:r>
      <w:r>
        <w:rPr>
          <w:rFonts w:eastAsia="Verdana" w:cs="Verdana"/>
        </w:rPr>
        <w:t>in maart jl.</w:t>
      </w:r>
      <w:r w:rsidRPr="000C61C6">
        <w:rPr>
          <w:rFonts w:eastAsia="Verdana" w:cs="Verdana"/>
        </w:rPr>
        <w:t xml:space="preserve"> van start gegaan in Brabant en Utrecht.</w:t>
      </w:r>
      <w:r>
        <w:rPr>
          <w:rFonts w:eastAsia="Verdana" w:cs="Verdana"/>
        </w:rPr>
        <w:t xml:space="preserve"> Aan het einde van april 2026 hebben in Brabant en Utrecht 15 organisaties zich aangesloten bij FLAIR. Met ongeveer 25 andere organisaties lopen er gesprekken. De eerste regionaal werknemers zijn aangesteld en de verdere werving loopt voorspoedig. FLAIR verwacht in juli de eerste diensten te kunnen draaien.</w:t>
      </w:r>
    </w:p>
    <w:p w:rsidR="00A91D96" w:rsidP="006D59D6" w:rsidRDefault="00A91D96" w14:paraId="7A52EA73" w14:textId="77777777">
      <w:pPr>
        <w:suppressAutoHyphens/>
        <w:spacing w:line="276" w:lineRule="auto"/>
        <w:rPr>
          <w:rFonts w:eastAsia="Verdana" w:cs="Verdana"/>
          <w:color w:val="auto"/>
        </w:rPr>
      </w:pPr>
    </w:p>
    <w:p w:rsidR="00A91D96" w:rsidP="006D59D6" w:rsidRDefault="00082ACE" w14:paraId="59F92F4B" w14:textId="77777777">
      <w:pPr>
        <w:suppressAutoHyphens/>
        <w:spacing w:line="276" w:lineRule="auto"/>
      </w:pPr>
      <w:r>
        <w:rPr>
          <w:rFonts w:eastAsia="Verdana" w:cs="Verdana"/>
        </w:rPr>
        <w:t xml:space="preserve">Door deze vormen van </w:t>
      </w:r>
      <w:r w:rsidRPr="49A4F9FE">
        <w:rPr>
          <w:rFonts w:eastAsia="Verdana" w:cs="Verdana"/>
        </w:rPr>
        <w:t>regionaal werkgeverschap</w:t>
      </w:r>
      <w:r>
        <w:rPr>
          <w:rFonts w:eastAsia="Verdana" w:cs="Verdana"/>
        </w:rPr>
        <w:t xml:space="preserve"> actief </w:t>
      </w:r>
      <w:r w:rsidR="00264B94">
        <w:rPr>
          <w:rFonts w:eastAsia="Verdana" w:cs="Verdana"/>
        </w:rPr>
        <w:t xml:space="preserve">aan te moedigen </w:t>
      </w:r>
      <w:r>
        <w:rPr>
          <w:rFonts w:eastAsia="Verdana" w:cs="Verdana"/>
        </w:rPr>
        <w:t>en</w:t>
      </w:r>
      <w:r w:rsidR="00264B94">
        <w:rPr>
          <w:rFonts w:eastAsia="Verdana" w:cs="Verdana"/>
        </w:rPr>
        <w:t xml:space="preserve"> te</w:t>
      </w:r>
      <w:r>
        <w:rPr>
          <w:rFonts w:eastAsia="Verdana" w:cs="Verdana"/>
        </w:rPr>
        <w:t xml:space="preserve"> monitoren, </w:t>
      </w:r>
      <w:r w:rsidRPr="49A4F9FE">
        <w:rPr>
          <w:rFonts w:eastAsia="Verdana" w:cs="Verdana"/>
        </w:rPr>
        <w:t xml:space="preserve">draag ik bij aan de wens van </w:t>
      </w:r>
      <w:r>
        <w:rPr>
          <w:rFonts w:eastAsia="Verdana" w:cs="Verdana"/>
        </w:rPr>
        <w:t>di</w:t>
      </w:r>
      <w:r w:rsidRPr="49A4F9FE">
        <w:rPr>
          <w:rFonts w:eastAsia="Verdana" w:cs="Verdana"/>
        </w:rPr>
        <w:t>t kabinet om te stimuleren dat mensen in dienst blijven in (semi)publieke sectoren zoals zorg en onderwijs. Ten aanzien van de inzet van zzp’ers,</w:t>
      </w:r>
      <w:r w:rsidR="00264B94">
        <w:rPr>
          <w:rFonts w:eastAsia="Verdana" w:cs="Verdana"/>
        </w:rPr>
        <w:t xml:space="preserve"> zie ik dat de zorgsector zich heeft ingespannen om schijnzelfstandigheid terug te dringen. De komende tijd</w:t>
      </w:r>
      <w:r w:rsidRPr="49A4F9FE">
        <w:rPr>
          <w:rFonts w:eastAsia="Verdana" w:cs="Verdana"/>
        </w:rPr>
        <w:t xml:space="preserve"> zal ik actief meedenken bij </w:t>
      </w:r>
      <w:r w:rsidRPr="49A4F9FE">
        <w:rPr>
          <w:rFonts w:eastAsia="Verdana" w:cs="Verdana"/>
        </w:rPr>
        <w:lastRenderedPageBreak/>
        <w:t>de uitwerking van de Zelfstandigenwet</w:t>
      </w:r>
      <w:r w:rsidR="006B62BA">
        <w:rPr>
          <w:rFonts w:eastAsia="Verdana" w:cs="Verdana"/>
        </w:rPr>
        <w:t>,</w:t>
      </w:r>
      <w:r w:rsidR="002E6DDE">
        <w:rPr>
          <w:rFonts w:eastAsia="Verdana" w:cs="Verdana"/>
        </w:rPr>
        <w:t xml:space="preserve"> die valt onder de verantwoordelijkheid van de minister van Werk en Participatie,</w:t>
      </w:r>
      <w:r w:rsidR="006B62BA">
        <w:rPr>
          <w:rFonts w:eastAsia="Verdana" w:cs="Verdana"/>
        </w:rPr>
        <w:t xml:space="preserve"> </w:t>
      </w:r>
      <w:r w:rsidR="00264B94">
        <w:rPr>
          <w:rFonts w:eastAsia="Verdana" w:cs="Verdana"/>
        </w:rPr>
        <w:t>zodat de input uit de sector</w:t>
      </w:r>
      <w:r w:rsidR="006B62BA">
        <w:rPr>
          <w:rFonts w:eastAsia="Verdana" w:cs="Verdana"/>
        </w:rPr>
        <w:t xml:space="preserve"> zorg en welzijn</w:t>
      </w:r>
      <w:r w:rsidR="00264B94">
        <w:rPr>
          <w:rFonts w:eastAsia="Verdana" w:cs="Verdana"/>
        </w:rPr>
        <w:t xml:space="preserve"> daarbij zoveel mogelijk wordt meegenomen</w:t>
      </w:r>
      <w:r w:rsidRPr="49A4F9FE">
        <w:rPr>
          <w:rFonts w:eastAsia="Verdana" w:cs="Verdana"/>
        </w:rPr>
        <w:t xml:space="preserve">. </w:t>
      </w:r>
    </w:p>
    <w:p w:rsidR="38EF0E11" w:rsidP="006D59D6" w:rsidRDefault="38EF0E11" w14:paraId="47983147" w14:textId="77777777">
      <w:pPr>
        <w:suppressAutoHyphens/>
        <w:spacing w:line="276" w:lineRule="auto"/>
        <w:rPr>
          <w:rFonts w:eastAsia="Verdana" w:cs="Verdana"/>
          <w:u w:val="single"/>
        </w:rPr>
      </w:pPr>
    </w:p>
    <w:p w:rsidRPr="00320FF4" w:rsidR="38EF0E11" w:rsidP="006D59D6" w:rsidRDefault="00082ACE" w14:paraId="34A75340" w14:textId="77777777">
      <w:pPr>
        <w:suppressAutoHyphens/>
        <w:spacing w:line="276" w:lineRule="auto"/>
        <w:rPr>
          <w:rFonts w:eastAsia="Verdana" w:cs="Verdana"/>
          <w:b/>
          <w:bCs/>
          <w:color w:val="0E2740"/>
        </w:rPr>
      </w:pPr>
      <w:r w:rsidRPr="00320FF4">
        <w:rPr>
          <w:rFonts w:eastAsia="Verdana" w:cs="Verdana"/>
          <w:b/>
          <w:bCs/>
        </w:rPr>
        <w:t>Overige onderwerpen</w:t>
      </w:r>
      <w:r w:rsidRPr="00320FF4">
        <w:rPr>
          <w:rFonts w:eastAsia="Verdana" w:cs="Verdana"/>
        </w:rPr>
        <w:t xml:space="preserve"> </w:t>
      </w:r>
    </w:p>
    <w:p w:rsidR="4A1B8B42" w:rsidP="006D59D6" w:rsidRDefault="00082ACE" w14:paraId="12318BA7" w14:textId="77777777">
      <w:pPr>
        <w:suppressAutoHyphens/>
        <w:spacing w:line="276" w:lineRule="auto"/>
        <w:rPr>
          <w:rFonts w:eastAsia="Verdana" w:cs="Verdana"/>
        </w:rPr>
      </w:pPr>
      <w:r w:rsidRPr="7FF9E926">
        <w:rPr>
          <w:rFonts w:eastAsia="Verdana" w:cs="Verdana"/>
        </w:rPr>
        <w:t xml:space="preserve"> </w:t>
      </w:r>
    </w:p>
    <w:p w:rsidRPr="003C5CCF" w:rsidR="4A1B8B42" w:rsidP="006D59D6" w:rsidRDefault="00082ACE" w14:paraId="11C75180" w14:textId="77777777">
      <w:pPr>
        <w:suppressAutoHyphens/>
        <w:spacing w:line="276" w:lineRule="auto"/>
        <w:rPr>
          <w:rFonts w:eastAsia="Verdana" w:cs="Verdana"/>
          <w:i/>
          <w:color w:val="auto"/>
        </w:rPr>
      </w:pPr>
      <w:r>
        <w:rPr>
          <w:rFonts w:eastAsia="Verdana" w:cs="Verdana"/>
          <w:i/>
          <w:iCs/>
          <w:color w:val="auto"/>
        </w:rPr>
        <w:t>B</w:t>
      </w:r>
      <w:r w:rsidR="00091FD2">
        <w:rPr>
          <w:rFonts w:eastAsia="Verdana" w:cs="Verdana"/>
          <w:i/>
          <w:iCs/>
          <w:color w:val="auto"/>
        </w:rPr>
        <w:t>e</w:t>
      </w:r>
      <w:r w:rsidRPr="4F0D7052" w:rsidR="220AC512">
        <w:rPr>
          <w:rFonts w:eastAsia="Verdana" w:cs="Verdana"/>
          <w:i/>
          <w:iCs/>
          <w:color w:val="auto"/>
        </w:rPr>
        <w:t xml:space="preserve">leidsreactie op het </w:t>
      </w:r>
      <w:r w:rsidRPr="4F0D7052" w:rsidR="4B80FE90">
        <w:rPr>
          <w:rFonts w:eastAsia="Verdana" w:cs="Verdana"/>
          <w:i/>
          <w:iCs/>
          <w:color w:val="auto"/>
        </w:rPr>
        <w:t xml:space="preserve">signalement van het </w:t>
      </w:r>
      <w:r w:rsidR="00091FD2">
        <w:rPr>
          <w:rFonts w:eastAsia="Verdana" w:cs="Verdana"/>
          <w:i/>
          <w:iCs/>
          <w:color w:val="auto"/>
        </w:rPr>
        <w:t xml:space="preserve">CEG </w:t>
      </w:r>
      <w:r>
        <w:rPr>
          <w:rFonts w:eastAsia="Verdana" w:cs="Verdana"/>
          <w:i/>
          <w:iCs/>
          <w:color w:val="auto"/>
        </w:rPr>
        <w:t>‘</w:t>
      </w:r>
      <w:r w:rsidRPr="4F0D7052">
        <w:rPr>
          <w:rFonts w:eastAsia="Verdana" w:cs="Verdana"/>
          <w:i/>
          <w:iCs/>
          <w:color w:val="auto"/>
        </w:rPr>
        <w:t>Morele dilemma’s van zorgverleners</w:t>
      </w:r>
      <w:r>
        <w:rPr>
          <w:rFonts w:eastAsia="Verdana" w:cs="Verdana"/>
          <w:i/>
          <w:iCs/>
          <w:color w:val="auto"/>
        </w:rPr>
        <w:t>’</w:t>
      </w:r>
    </w:p>
    <w:p w:rsidR="7FF9E926" w:rsidP="006D59D6" w:rsidRDefault="00082ACE" w14:paraId="268E4816" w14:textId="77777777">
      <w:pPr>
        <w:suppressAutoHyphens/>
        <w:spacing w:line="276" w:lineRule="auto"/>
      </w:pPr>
      <w:r w:rsidRPr="00597870">
        <w:rPr>
          <w:rFonts w:eastAsia="Verdana" w:cs="Verdana"/>
        </w:rPr>
        <w:t xml:space="preserve">Op </w:t>
      </w:r>
      <w:r w:rsidRPr="00597870" w:rsidR="773AB231">
        <w:rPr>
          <w:rFonts w:eastAsia="Verdana" w:cs="Verdana"/>
        </w:rPr>
        <w:t xml:space="preserve">20 november 2025 </w:t>
      </w:r>
      <w:r w:rsidRPr="00597870">
        <w:rPr>
          <w:rFonts w:eastAsia="Verdana" w:cs="Verdana"/>
        </w:rPr>
        <w:t xml:space="preserve">is het rapport </w:t>
      </w:r>
      <w:r w:rsidRPr="00417F1A">
        <w:rPr>
          <w:rFonts w:eastAsia="Verdana" w:cs="Verdana"/>
          <w:i/>
          <w:iCs/>
        </w:rPr>
        <w:t xml:space="preserve">'Morele </w:t>
      </w:r>
      <w:r w:rsidRPr="00417F1A" w:rsidR="00417F1A">
        <w:rPr>
          <w:rFonts w:eastAsia="Verdana" w:cs="Verdana"/>
          <w:i/>
          <w:iCs/>
        </w:rPr>
        <w:t>dilemma’s</w:t>
      </w:r>
      <w:r w:rsidRPr="00417F1A">
        <w:rPr>
          <w:rFonts w:eastAsia="Verdana" w:cs="Verdana"/>
          <w:i/>
          <w:iCs/>
        </w:rPr>
        <w:t xml:space="preserve"> van zorgverleners</w:t>
      </w:r>
      <w:r w:rsidRPr="00597870">
        <w:rPr>
          <w:rFonts w:eastAsia="Verdana" w:cs="Verdana"/>
        </w:rPr>
        <w:t xml:space="preserve">' </w:t>
      </w:r>
      <w:r w:rsidR="00091FD2">
        <w:rPr>
          <w:rFonts w:eastAsia="Verdana" w:cs="Verdana"/>
        </w:rPr>
        <w:t xml:space="preserve">van het </w:t>
      </w:r>
      <w:r w:rsidRPr="00091FD2" w:rsidR="00091FD2">
        <w:rPr>
          <w:rFonts w:eastAsia="Verdana" w:cs="Verdana"/>
          <w:color w:val="auto"/>
        </w:rPr>
        <w:t>Centrum voor Ethiek en Gezondheid</w:t>
      </w:r>
      <w:r w:rsidR="00091FD2">
        <w:rPr>
          <w:rFonts w:eastAsia="Verdana" w:cs="Verdana"/>
        </w:rPr>
        <w:t xml:space="preserve"> (CEG) </w:t>
      </w:r>
      <w:r w:rsidRPr="00597870" w:rsidR="773AB231">
        <w:rPr>
          <w:rFonts w:eastAsia="Verdana" w:cs="Verdana"/>
        </w:rPr>
        <w:t>aangeboden aan</w:t>
      </w:r>
      <w:r w:rsidR="00417F1A">
        <w:rPr>
          <w:rFonts w:eastAsia="Verdana" w:cs="Verdana"/>
        </w:rPr>
        <w:t xml:space="preserve"> </w:t>
      </w:r>
      <w:r w:rsidR="00D73355">
        <w:rPr>
          <w:rFonts w:eastAsia="Verdana" w:cs="Verdana"/>
        </w:rPr>
        <w:t>de voormalig minister van VWS</w:t>
      </w:r>
      <w:r w:rsidRPr="00597870" w:rsidR="773AB231">
        <w:rPr>
          <w:rFonts w:eastAsia="Verdana" w:cs="Verdana"/>
        </w:rPr>
        <w:t xml:space="preserve">. Het rapport laat zien dat personeelstekorten in de zorg niet alleen leiden tot praktische knelpunten, maar ook tot morele druk op zorgverleners. </w:t>
      </w:r>
      <w:r w:rsidR="00417F1A">
        <w:rPr>
          <w:rFonts w:eastAsia="Verdana" w:cs="Verdana"/>
        </w:rPr>
        <w:t>P</w:t>
      </w:r>
      <w:r w:rsidRPr="00597870" w:rsidR="773AB231">
        <w:rPr>
          <w:rFonts w:eastAsia="Verdana" w:cs="Verdana"/>
        </w:rPr>
        <w:t xml:space="preserve">rofessionals komen in situaties terecht waarin zij weten wat goede zorg is, maar dit door tijdgebrek en schaarste niet altijd kunnen bieden. Dit leidt tot moeilijke keuzes, gevoelens van tekortschieten en overbelasting. Het CEG doet drie oproepen aan regering en parlement. Hieronder </w:t>
      </w:r>
      <w:r w:rsidR="00417F1A">
        <w:rPr>
          <w:rFonts w:eastAsia="Verdana" w:cs="Verdana"/>
        </w:rPr>
        <w:t xml:space="preserve">geef ik </w:t>
      </w:r>
      <w:r w:rsidRPr="00597870" w:rsidR="773AB231">
        <w:rPr>
          <w:rFonts w:eastAsia="Verdana" w:cs="Verdana"/>
        </w:rPr>
        <w:t>een reactie op elk van deze oproepen:</w:t>
      </w:r>
    </w:p>
    <w:p w:rsidRPr="00417F1A" w:rsidR="7FF9E926" w:rsidP="006D59D6" w:rsidRDefault="00082ACE" w14:paraId="3B702A64" w14:textId="77777777">
      <w:pPr>
        <w:suppressAutoHyphens/>
        <w:spacing w:line="276" w:lineRule="auto"/>
        <w:rPr>
          <w:u w:val="single"/>
        </w:rPr>
      </w:pPr>
      <w:r w:rsidRPr="00417F1A">
        <w:rPr>
          <w:rFonts w:eastAsia="Verdana" w:cs="Verdana"/>
          <w:u w:val="single"/>
        </w:rPr>
        <w:t>1. Neem verantwoordelijkheid voor structurele keuzes in de zorg</w:t>
      </w:r>
    </w:p>
    <w:p w:rsidR="7FF9E926" w:rsidP="006D59D6" w:rsidRDefault="00082ACE" w14:paraId="59171338" w14:textId="77777777">
      <w:pPr>
        <w:suppressAutoHyphens/>
        <w:spacing w:line="276" w:lineRule="auto"/>
      </w:pPr>
      <w:r w:rsidRPr="00597870">
        <w:rPr>
          <w:rFonts w:eastAsia="Verdana" w:cs="Verdana"/>
        </w:rPr>
        <w:t xml:space="preserve">In </w:t>
      </w:r>
      <w:r w:rsidR="00417F1A">
        <w:rPr>
          <w:rFonts w:eastAsia="Verdana" w:cs="Verdana"/>
        </w:rPr>
        <w:t xml:space="preserve">de zorgakkoorden </w:t>
      </w:r>
      <w:r w:rsidRPr="00597870">
        <w:rPr>
          <w:rFonts w:eastAsia="Verdana" w:cs="Verdana"/>
        </w:rPr>
        <w:t>zijn afspraken gemaakt</w:t>
      </w:r>
      <w:r w:rsidR="00417F1A">
        <w:rPr>
          <w:rFonts w:eastAsia="Verdana" w:cs="Verdana"/>
        </w:rPr>
        <w:t xml:space="preserve"> die zien op structurele keuzes</w:t>
      </w:r>
      <w:r w:rsidR="00253FFB">
        <w:rPr>
          <w:rFonts w:eastAsia="Verdana" w:cs="Verdana"/>
        </w:rPr>
        <w:t xml:space="preserve"> die de groei van de zorgvraag moeten afremmen en meer tijd en ruimte creëren voor de professional</w:t>
      </w:r>
      <w:r w:rsidRPr="00597870">
        <w:rPr>
          <w:rFonts w:eastAsia="Verdana" w:cs="Verdana"/>
        </w:rPr>
        <w:t xml:space="preserve">, </w:t>
      </w:r>
      <w:r w:rsidR="00253FFB">
        <w:rPr>
          <w:rFonts w:eastAsia="Verdana" w:cs="Verdana"/>
        </w:rPr>
        <w:t>onder meer door</w:t>
      </w:r>
      <w:r w:rsidRPr="00597870">
        <w:rPr>
          <w:rFonts w:eastAsia="Verdana" w:cs="Verdana"/>
        </w:rPr>
        <w:t xml:space="preserve"> het verminderen van</w:t>
      </w:r>
      <w:r w:rsidR="00417F1A">
        <w:rPr>
          <w:rFonts w:eastAsia="Verdana" w:cs="Verdana"/>
        </w:rPr>
        <w:t xml:space="preserve"> administratieve lasten</w:t>
      </w:r>
      <w:r w:rsidRPr="00597870">
        <w:rPr>
          <w:rFonts w:eastAsia="Verdana" w:cs="Verdana"/>
        </w:rPr>
        <w:t xml:space="preserve">, </w:t>
      </w:r>
      <w:r w:rsidR="00253FFB">
        <w:rPr>
          <w:rFonts w:eastAsia="Verdana" w:cs="Verdana"/>
        </w:rPr>
        <w:t xml:space="preserve">de inzet van technologie en slimme hulpmiddelen die professionals ondersteunen en </w:t>
      </w:r>
      <w:r w:rsidRPr="00597870">
        <w:rPr>
          <w:rFonts w:eastAsia="Verdana" w:cs="Verdana"/>
        </w:rPr>
        <w:t xml:space="preserve">het versterken van professionele </w:t>
      </w:r>
      <w:r w:rsidR="00417F1A">
        <w:rPr>
          <w:rFonts w:eastAsia="Verdana" w:cs="Verdana"/>
        </w:rPr>
        <w:t xml:space="preserve">autonomie en </w:t>
      </w:r>
      <w:r w:rsidRPr="00597870">
        <w:rPr>
          <w:rFonts w:eastAsia="Verdana" w:cs="Verdana"/>
        </w:rPr>
        <w:t>zeggenschap</w:t>
      </w:r>
      <w:r w:rsidR="00253FFB">
        <w:rPr>
          <w:rFonts w:eastAsia="Verdana" w:cs="Verdana"/>
        </w:rPr>
        <w:t xml:space="preserve">. </w:t>
      </w:r>
    </w:p>
    <w:p w:rsidRPr="00C53ED3" w:rsidR="7FF9E926" w:rsidP="006D59D6" w:rsidRDefault="00082ACE" w14:paraId="654943D4" w14:textId="77777777">
      <w:pPr>
        <w:suppressAutoHyphens/>
        <w:spacing w:line="276" w:lineRule="auto"/>
        <w:rPr>
          <w:u w:val="single"/>
        </w:rPr>
      </w:pPr>
      <w:r w:rsidRPr="00C53ED3">
        <w:rPr>
          <w:rFonts w:eastAsia="Verdana" w:cs="Verdana"/>
          <w:u w:val="single"/>
        </w:rPr>
        <w:t>2. Voer een grondig publiek debat over de toekomst van de zorg</w:t>
      </w:r>
    </w:p>
    <w:p w:rsidR="7FF9E926" w:rsidP="006D59D6" w:rsidRDefault="00082ACE" w14:paraId="46BBF8DA" w14:textId="77777777">
      <w:pPr>
        <w:suppressAutoHyphens/>
        <w:spacing w:line="276" w:lineRule="auto"/>
      </w:pPr>
      <w:r w:rsidRPr="00597870">
        <w:rPr>
          <w:rFonts w:eastAsia="Verdana" w:cs="Verdana"/>
        </w:rPr>
        <w:t xml:space="preserve">Ik </w:t>
      </w:r>
      <w:r w:rsidR="00253FFB">
        <w:rPr>
          <w:rFonts w:eastAsia="Verdana" w:cs="Verdana"/>
        </w:rPr>
        <w:t xml:space="preserve">onderschrijf de oproep </w:t>
      </w:r>
      <w:r w:rsidRPr="00597870">
        <w:rPr>
          <w:rFonts w:eastAsia="Verdana" w:cs="Verdana"/>
        </w:rPr>
        <w:t xml:space="preserve">dat we met elkaar moeten spreken over de toekomst van de zorg. </w:t>
      </w:r>
      <w:r w:rsidR="00FE1842">
        <w:rPr>
          <w:rFonts w:eastAsia="Verdana" w:cs="Verdana"/>
        </w:rPr>
        <w:t xml:space="preserve">Dit wordt momenteel via diverse initiatieven gedaan, bijvoorbeeld met </w:t>
      </w:r>
      <w:r w:rsidRPr="00FE1842" w:rsidR="00FE1842">
        <w:rPr>
          <w:rFonts w:eastAsia="Verdana" w:cs="Verdana"/>
        </w:rPr>
        <w:t>de aanpak ‘</w:t>
      </w:r>
      <w:r w:rsidRPr="000310E4" w:rsidR="00FE1842">
        <w:rPr>
          <w:rFonts w:eastAsia="Verdana" w:cs="Verdana"/>
          <w:i/>
          <w:iCs/>
        </w:rPr>
        <w:t>Aan tafel over zorg en gezondheid’</w:t>
      </w:r>
      <w:r w:rsidR="00FE1842">
        <w:rPr>
          <w:rFonts w:eastAsia="Verdana" w:cs="Verdana"/>
        </w:rPr>
        <w:t>. Dit initiatief rei</w:t>
      </w:r>
      <w:r w:rsidR="0043007B">
        <w:rPr>
          <w:rFonts w:eastAsia="Verdana" w:cs="Verdana"/>
        </w:rPr>
        <w:t xml:space="preserve">st door Nederland </w:t>
      </w:r>
      <w:r w:rsidRPr="00FE1842" w:rsidR="00FE1842">
        <w:rPr>
          <w:rFonts w:eastAsia="Verdana" w:cs="Verdana"/>
        </w:rPr>
        <w:t>om met inwoners en zorgprofessionals te praten over de toekomst van de zorg</w:t>
      </w:r>
      <w:r w:rsidR="0043007B">
        <w:rPr>
          <w:rFonts w:eastAsia="Verdana" w:cs="Verdana"/>
        </w:rPr>
        <w:t xml:space="preserve">, </w:t>
      </w:r>
      <w:r w:rsidRPr="00FE1842" w:rsidR="00FE1842">
        <w:rPr>
          <w:rFonts w:eastAsia="Verdana" w:cs="Verdana"/>
        </w:rPr>
        <w:t>vaak met concrete lokale voorbeelden en ervaringen</w:t>
      </w:r>
      <w:r w:rsidR="0043007B">
        <w:rPr>
          <w:rFonts w:eastAsia="Verdana" w:cs="Verdana"/>
        </w:rPr>
        <w:t>.</w:t>
      </w:r>
      <w:r w:rsidR="00FE1842">
        <w:rPr>
          <w:rFonts w:eastAsia="Verdana" w:cs="Verdana"/>
        </w:rPr>
        <w:t xml:space="preserve"> </w:t>
      </w:r>
      <w:r w:rsidR="0043007B">
        <w:rPr>
          <w:rFonts w:eastAsia="Verdana" w:cs="Verdana"/>
        </w:rPr>
        <w:t>Met d</w:t>
      </w:r>
      <w:r w:rsidRPr="00597870">
        <w:rPr>
          <w:rFonts w:eastAsia="Verdana" w:cs="Verdana"/>
        </w:rPr>
        <w:t>e campagne “</w:t>
      </w:r>
      <w:r w:rsidRPr="0043007B">
        <w:rPr>
          <w:rFonts w:eastAsia="Verdana" w:cs="Verdana"/>
          <w:i/>
          <w:iCs/>
        </w:rPr>
        <w:t>Praat vandaag over morgen</w:t>
      </w:r>
      <w:r w:rsidRPr="00597870">
        <w:rPr>
          <w:rFonts w:eastAsia="Verdana" w:cs="Verdana"/>
        </w:rPr>
        <w:t xml:space="preserve">” </w:t>
      </w:r>
      <w:r w:rsidR="0043007B">
        <w:rPr>
          <w:rFonts w:eastAsia="Verdana" w:cs="Verdana"/>
        </w:rPr>
        <w:t xml:space="preserve">wordt </w:t>
      </w:r>
      <w:r w:rsidRPr="00597870">
        <w:rPr>
          <w:rFonts w:eastAsia="Verdana" w:cs="Verdana"/>
        </w:rPr>
        <w:t>opgeroepen om met naasten te praten over wensen voor later op het gebied van zorg, wonen en fi</w:t>
      </w:r>
      <w:r w:rsidRPr="00597870">
        <w:rPr>
          <w:rFonts w:eastAsia="Verdana" w:cs="Verdana"/>
        </w:rPr>
        <w:t>t blijven. In deze campagne is ook aandacht voor het feit dat er</w:t>
      </w:r>
      <w:r w:rsidR="00253FFB">
        <w:rPr>
          <w:rFonts w:eastAsia="Verdana" w:cs="Verdana"/>
        </w:rPr>
        <w:t xml:space="preserve"> in de toekomst</w:t>
      </w:r>
      <w:r w:rsidRPr="00597870">
        <w:rPr>
          <w:rFonts w:eastAsia="Verdana" w:cs="Verdana"/>
        </w:rPr>
        <w:t xml:space="preserve"> waarschijnlijk meer zelfredzaamheid noodzakelijk is. Deze campagne draagt niet alleen bij aan het publieke debat, maar </w:t>
      </w:r>
      <w:r w:rsidR="00FB3D23">
        <w:rPr>
          <w:rFonts w:eastAsia="Verdana" w:cs="Verdana"/>
        </w:rPr>
        <w:t xml:space="preserve">brengt ook </w:t>
      </w:r>
      <w:r w:rsidRPr="00597870">
        <w:rPr>
          <w:rFonts w:eastAsia="Verdana" w:cs="Verdana"/>
        </w:rPr>
        <w:t>het gesprek</w:t>
      </w:r>
      <w:r w:rsidR="00FB3D23">
        <w:rPr>
          <w:rFonts w:eastAsia="Verdana" w:cs="Verdana"/>
        </w:rPr>
        <w:t xml:space="preserve"> op gang</w:t>
      </w:r>
      <w:r w:rsidRPr="00597870">
        <w:rPr>
          <w:rFonts w:eastAsia="Verdana" w:cs="Verdana"/>
        </w:rPr>
        <w:t xml:space="preserve"> tussen mensen op persoonlijk niveau. </w:t>
      </w:r>
    </w:p>
    <w:p w:rsidRPr="00C53ED3" w:rsidR="7FF9E926" w:rsidP="006D59D6" w:rsidRDefault="00082ACE" w14:paraId="34469F0F" w14:textId="77777777">
      <w:pPr>
        <w:suppressAutoHyphens/>
        <w:spacing w:line="276" w:lineRule="auto"/>
        <w:rPr>
          <w:u w:val="single"/>
        </w:rPr>
      </w:pPr>
      <w:r w:rsidRPr="00C53ED3">
        <w:rPr>
          <w:rFonts w:eastAsia="Verdana" w:cs="Verdana"/>
          <w:u w:val="single"/>
        </w:rPr>
        <w:t>3. Betrek zorgverleners als essentiële bron van wijsheid</w:t>
      </w:r>
    </w:p>
    <w:p w:rsidR="7FF9E926" w:rsidP="006D59D6" w:rsidRDefault="00082ACE" w14:paraId="1450D074" w14:textId="77777777">
      <w:pPr>
        <w:suppressAutoHyphens/>
        <w:spacing w:line="276" w:lineRule="auto"/>
      </w:pPr>
      <w:r w:rsidRPr="00597870">
        <w:rPr>
          <w:rFonts w:eastAsia="Verdana" w:cs="Verdana"/>
        </w:rPr>
        <w:t xml:space="preserve">Ik betrek medewerkers in zorg en welzijn actief bij beleid via de </w:t>
      </w:r>
      <w:r w:rsidR="00FB3D23">
        <w:rPr>
          <w:rFonts w:eastAsia="Verdana" w:cs="Verdana"/>
        </w:rPr>
        <w:t>VWS-</w:t>
      </w:r>
      <w:r w:rsidRPr="00597870">
        <w:rPr>
          <w:rFonts w:eastAsia="Verdana" w:cs="Verdana"/>
        </w:rPr>
        <w:t>klankbordgroep Zeggenschap</w:t>
      </w:r>
      <w:r w:rsidR="00253FFB">
        <w:rPr>
          <w:rFonts w:eastAsia="Verdana" w:cs="Verdana"/>
        </w:rPr>
        <w:t xml:space="preserve"> en </w:t>
      </w:r>
      <w:r w:rsidRPr="00597870">
        <w:rPr>
          <w:rFonts w:eastAsia="Verdana" w:cs="Verdana"/>
        </w:rPr>
        <w:t xml:space="preserve">de online community </w:t>
      </w:r>
      <w:r w:rsidRPr="00C53ED3">
        <w:rPr>
          <w:rFonts w:eastAsia="Verdana" w:cs="Verdana"/>
          <w:i/>
          <w:iCs/>
        </w:rPr>
        <w:t>Zorg en Welzijn Denkt Mee</w:t>
      </w:r>
      <w:r w:rsidRPr="00597870">
        <w:rPr>
          <w:rFonts w:eastAsia="Verdana" w:cs="Verdana"/>
        </w:rPr>
        <w:t xml:space="preserve">, </w:t>
      </w:r>
      <w:r w:rsidR="00FB3D23">
        <w:rPr>
          <w:rFonts w:eastAsia="Verdana" w:cs="Verdana"/>
        </w:rPr>
        <w:t xml:space="preserve">via </w:t>
      </w:r>
      <w:r w:rsidRPr="00597870">
        <w:rPr>
          <w:rFonts w:eastAsia="Verdana" w:cs="Verdana"/>
        </w:rPr>
        <w:t xml:space="preserve">het ervaringsdeskundigenpanel </w:t>
      </w:r>
      <w:r w:rsidRPr="00C53ED3">
        <w:rPr>
          <w:rFonts w:eastAsia="Verdana" w:cs="Verdana"/>
          <w:i/>
          <w:iCs/>
        </w:rPr>
        <w:t>Discriminatie en Gelijke Kansen</w:t>
      </w:r>
      <w:r w:rsidRPr="00597870">
        <w:rPr>
          <w:rFonts w:eastAsia="Verdana" w:cs="Verdana"/>
        </w:rPr>
        <w:t xml:space="preserve"> en </w:t>
      </w:r>
      <w:r w:rsidR="00FB3D23">
        <w:rPr>
          <w:rFonts w:eastAsia="Verdana" w:cs="Verdana"/>
        </w:rPr>
        <w:t xml:space="preserve">indirect </w:t>
      </w:r>
      <w:r w:rsidRPr="00597870">
        <w:rPr>
          <w:rFonts w:eastAsia="Verdana" w:cs="Verdana"/>
        </w:rPr>
        <w:t xml:space="preserve">via beroepsorganisaties die participeren in akkoorden zoals </w:t>
      </w:r>
      <w:r w:rsidR="0043007B">
        <w:rPr>
          <w:rFonts w:eastAsia="Verdana" w:cs="Verdana"/>
        </w:rPr>
        <w:t xml:space="preserve">het </w:t>
      </w:r>
      <w:r w:rsidRPr="00597870">
        <w:rPr>
          <w:rFonts w:eastAsia="Verdana" w:cs="Verdana"/>
        </w:rPr>
        <w:t>AZWA</w:t>
      </w:r>
      <w:r w:rsidR="0043007B">
        <w:rPr>
          <w:rFonts w:eastAsia="Verdana" w:cs="Verdana"/>
        </w:rPr>
        <w:t xml:space="preserve"> en het HLO</w:t>
      </w:r>
      <w:r w:rsidRPr="00597870">
        <w:rPr>
          <w:rFonts w:eastAsia="Verdana" w:cs="Verdana"/>
        </w:rPr>
        <w:t xml:space="preserve">. </w:t>
      </w:r>
      <w:r w:rsidR="00FB3D23">
        <w:rPr>
          <w:rFonts w:eastAsia="Verdana" w:cs="Verdana"/>
        </w:rPr>
        <w:t>De</w:t>
      </w:r>
      <w:r w:rsidRPr="00597870">
        <w:rPr>
          <w:rFonts w:eastAsia="Verdana" w:cs="Verdana"/>
        </w:rPr>
        <w:t xml:space="preserve"> Chief Nursing Officer </w:t>
      </w:r>
      <w:r w:rsidR="00FB3D23">
        <w:rPr>
          <w:rFonts w:eastAsia="Verdana" w:cs="Verdana"/>
        </w:rPr>
        <w:t xml:space="preserve">is </w:t>
      </w:r>
      <w:r w:rsidRPr="00597870">
        <w:rPr>
          <w:rFonts w:eastAsia="Verdana" w:cs="Verdana"/>
        </w:rPr>
        <w:t>als</w:t>
      </w:r>
      <w:r w:rsidR="00FB3D23">
        <w:rPr>
          <w:rFonts w:eastAsia="Verdana" w:cs="Verdana"/>
        </w:rPr>
        <w:t xml:space="preserve"> </w:t>
      </w:r>
      <w:r w:rsidRPr="00597870">
        <w:rPr>
          <w:rFonts w:eastAsia="Verdana" w:cs="Verdana"/>
        </w:rPr>
        <w:t>onafhankelijke externe adviseur</w:t>
      </w:r>
      <w:r w:rsidR="00FB3D23">
        <w:rPr>
          <w:rFonts w:eastAsia="Verdana" w:cs="Verdana"/>
        </w:rPr>
        <w:t xml:space="preserve"> betrokken door mij </w:t>
      </w:r>
      <w:r w:rsidRPr="00597870">
        <w:rPr>
          <w:rFonts w:eastAsia="Verdana" w:cs="Verdana"/>
        </w:rPr>
        <w:t xml:space="preserve">gevraagd en ongevraagd </w:t>
      </w:r>
      <w:r w:rsidR="00FB3D23">
        <w:rPr>
          <w:rFonts w:eastAsia="Verdana" w:cs="Verdana"/>
        </w:rPr>
        <w:t xml:space="preserve">advies te geven </w:t>
      </w:r>
      <w:r w:rsidRPr="00597870">
        <w:rPr>
          <w:rFonts w:eastAsia="Verdana" w:cs="Verdana"/>
        </w:rPr>
        <w:t xml:space="preserve">over allerlei thema’s die invloed hebben op het werk van helpenden, verzorgenden, verpleegkundigen en verpleegkundig specialisten. </w:t>
      </w:r>
    </w:p>
    <w:p w:rsidR="00FB3D23" w:rsidP="006D59D6" w:rsidRDefault="00FB3D23" w14:paraId="7B59A8FC" w14:textId="77777777">
      <w:pPr>
        <w:suppressAutoHyphens/>
        <w:spacing w:line="276" w:lineRule="auto"/>
        <w:rPr>
          <w:rFonts w:eastAsia="Verdana" w:cs="Verdana"/>
        </w:rPr>
      </w:pPr>
    </w:p>
    <w:p w:rsidR="006D59D6" w:rsidP="006D59D6" w:rsidRDefault="00082ACE" w14:paraId="2FF85DA2" w14:textId="77777777">
      <w:pPr>
        <w:suppressAutoHyphens/>
        <w:spacing w:line="276" w:lineRule="auto"/>
        <w:rPr>
          <w:rFonts w:eastAsia="Verdana" w:cs="Verdana"/>
        </w:rPr>
      </w:pPr>
      <w:r w:rsidRPr="00597870">
        <w:rPr>
          <w:rFonts w:eastAsia="Verdana" w:cs="Verdana"/>
        </w:rPr>
        <w:t>De inzichten uit het signalement van het CEG worden meegenomen bij verdere beleidsontwikkeling. Ik blijf daarnaast in gesprek met</w:t>
      </w:r>
      <w:r w:rsidR="00FB3D23">
        <w:rPr>
          <w:rFonts w:eastAsia="Verdana" w:cs="Verdana"/>
        </w:rPr>
        <w:t xml:space="preserve"> professionals in zorg en welzijn</w:t>
      </w:r>
      <w:r w:rsidRPr="00597870">
        <w:rPr>
          <w:rFonts w:eastAsia="Verdana" w:cs="Verdana"/>
        </w:rPr>
        <w:t xml:space="preserve">, werkgevers en andere betrokkenen om de positie van professionals te </w:t>
      </w:r>
    </w:p>
    <w:p w:rsidR="7FF9E926" w:rsidP="006D59D6" w:rsidRDefault="00082ACE" w14:paraId="39B4CA40" w14:textId="4CC4AB9C">
      <w:pPr>
        <w:suppressAutoHyphens/>
        <w:spacing w:line="276" w:lineRule="auto"/>
        <w:rPr>
          <w:rFonts w:eastAsia="Verdana" w:cs="Verdana"/>
        </w:rPr>
      </w:pPr>
      <w:r w:rsidRPr="00597870">
        <w:rPr>
          <w:rFonts w:eastAsia="Verdana" w:cs="Verdana"/>
        </w:rPr>
        <w:lastRenderedPageBreak/>
        <w:t>versterken en een zorgstelsel te ondersteunen waarin zij hun werk goed kunnen doen, met aandacht voor vakmanschap,</w:t>
      </w:r>
      <w:r w:rsidR="00D30938">
        <w:rPr>
          <w:rFonts w:eastAsia="Verdana" w:cs="Verdana"/>
        </w:rPr>
        <w:t xml:space="preserve"> de menselijke maat en</w:t>
      </w:r>
      <w:r w:rsidRPr="00597870">
        <w:rPr>
          <w:rFonts w:eastAsia="Verdana" w:cs="Verdana"/>
        </w:rPr>
        <w:t xml:space="preserve"> </w:t>
      </w:r>
      <w:r w:rsidR="00377309">
        <w:rPr>
          <w:rFonts w:eastAsia="Verdana" w:cs="Verdana"/>
        </w:rPr>
        <w:t>liefdevolle zorg</w:t>
      </w:r>
      <w:r w:rsidR="00D30938">
        <w:rPr>
          <w:rFonts w:eastAsia="Verdana" w:cs="Verdana"/>
        </w:rPr>
        <w:t xml:space="preserve"> en ondersteuning voor de patiënt</w:t>
      </w:r>
      <w:r w:rsidRPr="00597870">
        <w:rPr>
          <w:rFonts w:eastAsia="Verdana" w:cs="Verdana"/>
        </w:rPr>
        <w:t>.</w:t>
      </w:r>
    </w:p>
    <w:p w:rsidR="00857DFE" w:rsidP="006D59D6" w:rsidRDefault="00857DFE" w14:paraId="67BFD915" w14:textId="77777777">
      <w:pPr>
        <w:suppressAutoHyphens/>
        <w:spacing w:line="276" w:lineRule="auto"/>
        <w:rPr>
          <w:rFonts w:eastAsia="Verdana" w:cs="Verdana"/>
        </w:rPr>
      </w:pPr>
    </w:p>
    <w:p w:rsidRPr="003C5CCF" w:rsidR="00857DFE" w:rsidP="006D59D6" w:rsidRDefault="00082ACE" w14:paraId="45F7E0AE" w14:textId="77777777">
      <w:pPr>
        <w:suppressAutoHyphens/>
        <w:spacing w:line="276" w:lineRule="auto"/>
        <w:rPr>
          <w:rFonts w:eastAsia="Verdana" w:cs="Verdana"/>
          <w:i/>
        </w:rPr>
      </w:pPr>
      <w:r w:rsidRPr="00857DFE">
        <w:rPr>
          <w:rFonts w:eastAsia="Verdana" w:cs="Verdana"/>
          <w:i/>
          <w:iCs/>
        </w:rPr>
        <w:t>Inzet van buitenslands gediplomeerden</w:t>
      </w:r>
    </w:p>
    <w:p w:rsidR="00857DFE" w:rsidP="006D59D6" w:rsidRDefault="00082ACE" w14:paraId="51735C2F" w14:textId="77777777">
      <w:pPr>
        <w:suppressAutoHyphens/>
        <w:spacing w:line="276" w:lineRule="auto"/>
      </w:pPr>
      <w:r w:rsidRPr="006F2140">
        <w:rPr>
          <w:rFonts w:eastAsia="Verdana" w:cs="Verdana"/>
        </w:rPr>
        <w:t>Samen met het ministerie van SZW, branchepartijen en werkgevers zet ik mij in om b</w:t>
      </w:r>
      <w:r w:rsidRPr="49A4F9FE">
        <w:rPr>
          <w:rFonts w:eastAsia="Verdana" w:cs="Verdana"/>
        </w:rPr>
        <w:t>uiten</w:t>
      </w:r>
      <w:r w:rsidR="00FC0649">
        <w:rPr>
          <w:rFonts w:eastAsia="Verdana" w:cs="Verdana"/>
        </w:rPr>
        <w:t>s</w:t>
      </w:r>
      <w:r w:rsidRPr="49A4F9FE">
        <w:rPr>
          <w:rFonts w:eastAsia="Verdana" w:cs="Verdana"/>
        </w:rPr>
        <w:t>lands gediplomeerden</w:t>
      </w:r>
      <w:r>
        <w:rPr>
          <w:rStyle w:val="Voetnootmarkering"/>
          <w:rFonts w:eastAsia="Verdana" w:cs="Verdana"/>
        </w:rPr>
        <w:footnoteReference w:id="38"/>
      </w:r>
      <w:r w:rsidRPr="006F2140">
        <w:rPr>
          <w:rFonts w:eastAsia="Verdana" w:cs="Verdana"/>
        </w:rPr>
        <w:t>, waaronder statushouders en Oekraïense ontheemden die in de zorg willen werken</w:t>
      </w:r>
      <w:r w:rsidR="00FC0649">
        <w:rPr>
          <w:rFonts w:eastAsia="Verdana" w:cs="Verdana"/>
        </w:rPr>
        <w:t>,</w:t>
      </w:r>
      <w:r w:rsidRPr="006F2140">
        <w:rPr>
          <w:rFonts w:eastAsia="Verdana" w:cs="Verdana"/>
        </w:rPr>
        <w:t xml:space="preserve"> te faciliteren</w:t>
      </w:r>
      <w:r w:rsidRPr="00E53AEE" w:rsidR="3593EBBC">
        <w:rPr>
          <w:rFonts w:eastAsia="Verdana" w:cs="Verdana"/>
          <w:color w:val="FF0000"/>
        </w:rPr>
        <w:t xml:space="preserve"> </w:t>
      </w:r>
      <w:r w:rsidRPr="00E53AEE" w:rsidR="3593EBBC">
        <w:rPr>
          <w:rFonts w:eastAsia="Verdana" w:cs="Verdana"/>
          <w:color w:val="auto"/>
        </w:rPr>
        <w:t>mits de patiëntveiligheid en de kwaliteit van zorg gewaarborgd blijven</w:t>
      </w:r>
      <w:r w:rsidRPr="00E53AEE" w:rsidR="4F9AAE18">
        <w:rPr>
          <w:rFonts w:eastAsia="Verdana" w:cs="Verdana"/>
          <w:color w:val="auto"/>
        </w:rPr>
        <w:t>.</w:t>
      </w:r>
      <w:r w:rsidRPr="00E53AEE" w:rsidR="00FC0649">
        <w:rPr>
          <w:rFonts w:eastAsia="Verdana" w:cs="Verdana"/>
          <w:color w:val="auto"/>
        </w:rPr>
        <w:t xml:space="preserve"> </w:t>
      </w:r>
      <w:r w:rsidRPr="00E53AEE">
        <w:rPr>
          <w:rFonts w:eastAsia="Verdana" w:cs="Verdana"/>
          <w:color w:val="auto"/>
        </w:rPr>
        <w:t>In navolgi</w:t>
      </w:r>
      <w:r w:rsidRPr="49A4F9FE">
        <w:rPr>
          <w:rFonts w:eastAsia="Verdana" w:cs="Verdana"/>
        </w:rPr>
        <w:t xml:space="preserve">ng van </w:t>
      </w:r>
      <w:r w:rsidR="00FC0649">
        <w:rPr>
          <w:rFonts w:eastAsia="Verdana" w:cs="Verdana"/>
        </w:rPr>
        <w:t>eerdere</w:t>
      </w:r>
      <w:r w:rsidRPr="49A4F9FE">
        <w:rPr>
          <w:rFonts w:eastAsia="Verdana" w:cs="Verdana"/>
        </w:rPr>
        <w:t xml:space="preserve"> brieven aan uw Kamer</w:t>
      </w:r>
      <w:r>
        <w:rPr>
          <w:rStyle w:val="Voetnootmarkering"/>
          <w:rFonts w:eastAsia="Verdana" w:cs="Verdana"/>
        </w:rPr>
        <w:footnoteReference w:id="39"/>
      </w:r>
      <w:r>
        <w:rPr>
          <w:rStyle w:val="Voetnootmarkering"/>
          <w:rFonts w:eastAsia="Verdana" w:cs="Verdana"/>
        </w:rPr>
        <w:footnoteReference w:id="40"/>
      </w:r>
      <w:r w:rsidRPr="006F2140">
        <w:rPr>
          <w:rFonts w:eastAsia="Verdana" w:cs="Verdana"/>
        </w:rPr>
        <w:t>,</w:t>
      </w:r>
      <w:r w:rsidRPr="49A4F9FE">
        <w:rPr>
          <w:rFonts w:eastAsia="Verdana" w:cs="Verdana"/>
        </w:rPr>
        <w:t xml:space="preserve"> informeer ik u </w:t>
      </w:r>
      <w:r w:rsidR="00FB3D23">
        <w:rPr>
          <w:rFonts w:eastAsia="Verdana" w:cs="Verdana"/>
        </w:rPr>
        <w:t xml:space="preserve">hierbij </w:t>
      </w:r>
      <w:r w:rsidRPr="49A4F9FE">
        <w:rPr>
          <w:rFonts w:eastAsia="Verdana" w:cs="Verdana"/>
        </w:rPr>
        <w:t>over de verkenning naar de mogelijkheden om de kosten en de wachttijd van de beroepsinhoudelijke toets (BI-toets) voor artsen met een diploma van buiten de Europese Economische Ruimte (EER) te verlagen</w:t>
      </w:r>
      <w:r w:rsidRPr="00E53AEE">
        <w:rPr>
          <w:rFonts w:eastAsia="Verdana" w:cs="Verdana"/>
          <w:color w:val="auto"/>
        </w:rPr>
        <w:t xml:space="preserve">. </w:t>
      </w:r>
      <w:r w:rsidRPr="00E53AEE" w:rsidR="00B5432D">
        <w:rPr>
          <w:rFonts w:eastAsia="Verdana" w:cs="Verdana"/>
          <w:color w:val="auto"/>
        </w:rPr>
        <w:t>De</w:t>
      </w:r>
      <w:r w:rsidRPr="00E53AEE">
        <w:rPr>
          <w:rFonts w:eastAsia="Verdana" w:cs="Verdana"/>
          <w:color w:val="auto"/>
        </w:rPr>
        <w:t xml:space="preserve"> </w:t>
      </w:r>
      <w:r w:rsidRPr="00E53AEE" w:rsidR="1A1042D8">
        <w:rPr>
          <w:rFonts w:eastAsia="Verdana" w:cs="Verdana"/>
          <w:color w:val="auto"/>
        </w:rPr>
        <w:t>Commissie Buitenslands Gediplomeerden Volksgezondheid (CBGV)</w:t>
      </w:r>
      <w:r w:rsidRPr="00E53AEE">
        <w:rPr>
          <w:rFonts w:eastAsia="Verdana" w:cs="Verdana"/>
          <w:color w:val="auto"/>
        </w:rPr>
        <w:t xml:space="preserve"> h</w:t>
      </w:r>
      <w:r w:rsidRPr="49A4F9FE">
        <w:rPr>
          <w:rFonts w:eastAsia="Verdana" w:cs="Verdana"/>
        </w:rPr>
        <w:t xml:space="preserve">eeft afgelopen periode onderzocht of de BI-toets, als waarderend assessment, met behoud van kwaliteit en patiëntveiligheid kan worden gestroomlijnd. De BI-toets voor artsen bestond </w:t>
      </w:r>
      <w:r w:rsidRPr="00E53AEE">
        <w:rPr>
          <w:rFonts w:eastAsia="Verdana" w:cs="Verdana"/>
          <w:color w:val="auto"/>
        </w:rPr>
        <w:t xml:space="preserve">uit </w:t>
      </w:r>
      <w:r w:rsidRPr="00E53AEE" w:rsidR="1A1042D8">
        <w:rPr>
          <w:rFonts w:eastAsia="Verdana" w:cs="Verdana"/>
          <w:color w:val="auto"/>
        </w:rPr>
        <w:t>drie</w:t>
      </w:r>
      <w:r w:rsidRPr="00E53AEE">
        <w:rPr>
          <w:rFonts w:eastAsia="Verdana" w:cs="Verdana"/>
          <w:color w:val="auto"/>
        </w:rPr>
        <w:t xml:space="preserve"> onderdelen, zoals de deeltoet</w:t>
      </w:r>
      <w:r w:rsidRPr="00E53AEE">
        <w:rPr>
          <w:rFonts w:eastAsia="Verdana" w:cs="Verdana"/>
          <w:color w:val="auto"/>
        </w:rPr>
        <w:t>s klinische vaardigheden (DKV), de interuniversitaire VoortgangsToets Geneeskunde (iVTG) en de deeltoets klinische kennis (DKK). Omdat de beoordeling van de vakbekwaamheid, net als bij studenten die de studie Geneeskunde in Nederland volgen, voldoende is geborgd met de iVTG, is de DKK op advies van de CBGV per 1 maart 2026 losgelaten. De iVTG is sinds 2022 een digitale en adaptieve toets en geeft goed inzicht in het niveau van de individuele deelnemer. Deze wijziging maakt het tevens mogelijk om per 1 maart</w:t>
      </w:r>
      <w:r w:rsidRPr="00E53AEE">
        <w:rPr>
          <w:rFonts w:eastAsia="Verdana" w:cs="Verdana"/>
          <w:color w:val="auto"/>
        </w:rPr>
        <w:t xml:space="preserve"> 2027 de totale kostprijs, en daarmee ook de eigen bijdrage, voor de </w:t>
      </w:r>
      <w:r w:rsidRPr="00E53AEE" w:rsidR="1A1042D8">
        <w:rPr>
          <w:rFonts w:eastAsia="Verdana" w:cs="Verdana"/>
          <w:color w:val="auto"/>
        </w:rPr>
        <w:t>BIG-</w:t>
      </w:r>
      <w:r w:rsidRPr="49A4F9FE">
        <w:rPr>
          <w:rFonts w:eastAsia="Verdana" w:cs="Verdana"/>
        </w:rPr>
        <w:t xml:space="preserve">erkenningsprocedure voor buitenlands gediplomeerde artsen te verlagen. </w:t>
      </w:r>
    </w:p>
    <w:p w:rsidR="00857DFE" w:rsidP="006D59D6" w:rsidRDefault="00857DFE" w14:paraId="51A46345" w14:textId="77777777">
      <w:pPr>
        <w:suppressAutoHyphens/>
        <w:spacing w:line="276" w:lineRule="auto"/>
        <w:rPr>
          <w:rFonts w:eastAsia="Verdana" w:cs="Verdana"/>
        </w:rPr>
      </w:pPr>
    </w:p>
    <w:p w:rsidR="00857DFE" w:rsidP="006D59D6" w:rsidRDefault="00082ACE" w14:paraId="2A8132FF" w14:textId="77777777">
      <w:pPr>
        <w:suppressAutoHyphens/>
        <w:spacing w:line="276" w:lineRule="auto"/>
      </w:pPr>
      <w:r w:rsidRPr="49A4F9FE">
        <w:rPr>
          <w:rFonts w:eastAsia="Verdana" w:cs="Verdana"/>
        </w:rPr>
        <w:t xml:space="preserve">Voor wat betreft de wachttijden van de BI-toets ben ik blij u te kunnen melden dat de toetscapaciteit voor de BI-toets voor artsen nog in 2026 met 26 extra plaatsen wordt uitgebreid tot 98 toetsplekken. Deze uitbreiding is gerealiseerd met de gelden die eenmalig zijn vrijgekomen door het loslaten van </w:t>
      </w:r>
      <w:r w:rsidRPr="00E53AEE">
        <w:rPr>
          <w:rFonts w:eastAsia="Verdana" w:cs="Verdana"/>
          <w:color w:val="auto"/>
        </w:rPr>
        <w:t xml:space="preserve">de </w:t>
      </w:r>
      <w:r w:rsidRPr="00E53AEE" w:rsidR="17612E33">
        <w:rPr>
          <w:rFonts w:eastAsia="Verdana" w:cs="Verdana"/>
          <w:color w:val="auto"/>
        </w:rPr>
        <w:t>DKK</w:t>
      </w:r>
      <w:r w:rsidRPr="49A4F9FE">
        <w:rPr>
          <w:rFonts w:eastAsia="Verdana" w:cs="Verdana"/>
        </w:rPr>
        <w:t>. Tevens is de verwachting dat de wachttijd verder terug zal lopen zodra aanvragers per 1 maart 2028 zelf de volledige kosten voor de BI-toets zullen gaan betalen. De toets wordt namelijk afgenomen door externe onderwijsinstellingen en zij kunnen de capaciteit vanaf 2028 marktconform uitbreiden, onafhankelijk van de financiering van het Rijk. De feitelijke realisatie hiervan zal uiteraard afhankelijk blijven van de personele en facilitaire bezetting aldaar. Het CIBG blijft in gesprek met de instelling</w:t>
      </w:r>
      <w:r w:rsidRPr="49A4F9FE">
        <w:rPr>
          <w:rFonts w:eastAsia="Verdana" w:cs="Verdana"/>
        </w:rPr>
        <w:t>en over de optimale benutting van de capaciteit.</w:t>
      </w:r>
    </w:p>
    <w:p w:rsidR="00857DFE" w:rsidP="006D59D6" w:rsidRDefault="00857DFE" w14:paraId="398E2DD0" w14:textId="77777777">
      <w:pPr>
        <w:suppressAutoHyphens/>
        <w:spacing w:line="276" w:lineRule="auto"/>
      </w:pPr>
    </w:p>
    <w:p w:rsidRPr="006F3F2B" w:rsidR="02A4F1E3" w:rsidP="006D59D6" w:rsidRDefault="00082ACE" w14:paraId="1E8061DA" w14:textId="77777777">
      <w:pPr>
        <w:suppressAutoHyphens/>
        <w:spacing w:line="276" w:lineRule="auto"/>
        <w:rPr>
          <w:b/>
          <w:bCs/>
          <w:color w:val="auto"/>
        </w:rPr>
      </w:pPr>
      <w:r w:rsidRPr="006F3F2B">
        <w:rPr>
          <w:b/>
          <w:bCs/>
          <w:color w:val="auto"/>
        </w:rPr>
        <w:t>Moties en toezeggingen</w:t>
      </w:r>
    </w:p>
    <w:p w:rsidR="0A5D397D" w:rsidP="006D59D6" w:rsidRDefault="00082ACE" w14:paraId="3E36A124" w14:textId="77777777">
      <w:pPr>
        <w:suppressAutoHyphens/>
        <w:spacing w:line="276" w:lineRule="auto"/>
      </w:pPr>
      <w:bookmarkStart w:name="_Hlk228362319" w:id="12"/>
      <w:r>
        <w:t>Met deze brief en bijlage worden de volgende moties en toezeggingen afgedaan:</w:t>
      </w:r>
    </w:p>
    <w:bookmarkEnd w:id="12"/>
    <w:p w:rsidR="00402297" w:rsidP="006D59D6" w:rsidRDefault="00402297" w14:paraId="50D0BDB7" w14:textId="77777777">
      <w:pPr>
        <w:pStyle w:val="Geenafstand"/>
        <w:suppressAutoHyphens/>
        <w:spacing w:line="276" w:lineRule="auto"/>
        <w:rPr>
          <w:rFonts w:ascii="Verdana" w:hAnsi="Verdana"/>
          <w:sz w:val="18"/>
          <w:szCs w:val="18"/>
          <w:u w:val="single"/>
        </w:rPr>
      </w:pPr>
    </w:p>
    <w:p w:rsidRPr="00402297" w:rsidR="00402297" w:rsidP="006D59D6" w:rsidRDefault="00082ACE" w14:paraId="730AF4F0" w14:textId="77777777">
      <w:pPr>
        <w:pStyle w:val="Geenafstand"/>
        <w:suppressAutoHyphens/>
        <w:spacing w:line="276" w:lineRule="auto"/>
        <w:rPr>
          <w:rFonts w:ascii="Verdana" w:hAnsi="Verdana"/>
          <w:sz w:val="18"/>
          <w:szCs w:val="18"/>
          <w:u w:val="single"/>
        </w:rPr>
      </w:pPr>
      <w:r w:rsidRPr="00402297">
        <w:rPr>
          <w:rFonts w:ascii="Verdana" w:hAnsi="Verdana"/>
          <w:sz w:val="18"/>
          <w:szCs w:val="18"/>
          <w:u w:val="single"/>
        </w:rPr>
        <w:t xml:space="preserve">Motie van het lid Vliegenthart over </w:t>
      </w:r>
      <w:r w:rsidRPr="00402297">
        <w:rPr>
          <w:rFonts w:ascii="Verdana" w:hAnsi="Verdana"/>
          <w:sz w:val="18"/>
          <w:szCs w:val="18"/>
          <w:u w:val="single"/>
        </w:rPr>
        <w:t>verduidelijken of wachtdiensten van kraamverzorgenden als arbeidstijd of als rusttijd moeten worden aangemerkt</w:t>
      </w:r>
      <w:r>
        <w:rPr>
          <w:rStyle w:val="Voetnootmarkering"/>
          <w:rFonts w:ascii="Verdana" w:hAnsi="Verdana"/>
          <w:sz w:val="18"/>
          <w:szCs w:val="18"/>
          <w:u w:val="single"/>
        </w:rPr>
        <w:footnoteReference w:id="41"/>
      </w:r>
      <w:r w:rsidRPr="00402297">
        <w:rPr>
          <w:rFonts w:ascii="Verdana" w:hAnsi="Verdana"/>
          <w:sz w:val="18"/>
          <w:szCs w:val="18"/>
          <w:u w:val="single"/>
        </w:rPr>
        <w:t xml:space="preserve"> </w:t>
      </w:r>
    </w:p>
    <w:p w:rsidRPr="00402297" w:rsidR="00402297" w:rsidP="006D59D6" w:rsidRDefault="00082ACE" w14:paraId="066384C4" w14:textId="77777777">
      <w:pPr>
        <w:pStyle w:val="Geenafstand"/>
        <w:suppressAutoHyphens/>
        <w:spacing w:line="276" w:lineRule="auto"/>
        <w:rPr>
          <w:rFonts w:ascii="Verdana" w:hAnsi="Verdana"/>
          <w:sz w:val="18"/>
          <w:szCs w:val="18"/>
        </w:rPr>
      </w:pPr>
      <w:r w:rsidRPr="00402297">
        <w:rPr>
          <w:rFonts w:ascii="Verdana" w:hAnsi="Verdana"/>
          <w:sz w:val="18"/>
          <w:szCs w:val="18"/>
        </w:rPr>
        <w:lastRenderedPageBreak/>
        <w:t>Het uitgangspunt bij een oproepdienst is dat arbeidstijd begint op het moment van een oproep. Tot en na die tijd, en bij het uitblijven van een oproep, is er sprake van rusttijd</w:t>
      </w:r>
      <w:r>
        <w:rPr>
          <w:rStyle w:val="Voetnootmarkering"/>
          <w:rFonts w:ascii="Verdana" w:hAnsi="Verdana"/>
          <w:sz w:val="18"/>
          <w:szCs w:val="18"/>
        </w:rPr>
        <w:footnoteReference w:id="42"/>
      </w:r>
      <w:r>
        <w:rPr>
          <w:rFonts w:ascii="Verdana" w:hAnsi="Verdana"/>
          <w:sz w:val="18"/>
          <w:szCs w:val="18"/>
        </w:rPr>
        <w:t>.</w:t>
      </w:r>
      <w:r w:rsidRPr="00402297">
        <w:rPr>
          <w:rFonts w:ascii="Verdana" w:hAnsi="Verdana"/>
          <w:sz w:val="18"/>
          <w:szCs w:val="18"/>
        </w:rPr>
        <w:t xml:space="preserve"> Echter is een belangrijke nuance hierbij dat oproepdiensten werknemers niet te veel mogen beperken in het vrij invullen van hun tijd. Dat heeft jurisprudentie van het Hof van Justitie van de EU (HvJ-EU) uitgewezen. Het HvJ-EU heeft daarbij opgemerkt dat in elke specifieke situatie gekeken dient te worden naar de kenmerken van de oproepdienst om te bepalen of deze een werknemer te veel beperkt. Het gaat om het geheel aan omstandigheden en de mate waarin dat zich vertaalt in verplichtingen waaraan een werkn</w:t>
      </w:r>
      <w:r w:rsidRPr="00402297">
        <w:rPr>
          <w:rFonts w:ascii="Verdana" w:hAnsi="Verdana"/>
          <w:sz w:val="18"/>
          <w:szCs w:val="18"/>
        </w:rPr>
        <w:t xml:space="preserve">emer moet voldoen tijdens een oproepdienst. Factoren die onder meer een rol kunnen spelen, zijn: </w:t>
      </w:r>
      <w:r w:rsidR="005676EF">
        <w:rPr>
          <w:rFonts w:ascii="Verdana" w:hAnsi="Verdana"/>
          <w:sz w:val="18"/>
          <w:szCs w:val="18"/>
        </w:rPr>
        <w:t>de reactietijd (hoeveel tijd een werknemer heeft om het werk te hervatten vanaf de oproep), de gemiddelde frequentie van oproepen tijdens een oproepdienst en de duur van een oproep (hoe lang een werknemer meestal aan het werk is wanneer deze een oproep krijgt)</w:t>
      </w:r>
      <w:r w:rsidRPr="00402297">
        <w:rPr>
          <w:rFonts w:ascii="Verdana" w:hAnsi="Verdana"/>
          <w:sz w:val="18"/>
          <w:szCs w:val="18"/>
        </w:rPr>
        <w:t>. Wat de beloning van wachtdiensten betreft, maken sociale partners onderling afspraken over de inzet en vergoeding van wachtdiensten. Dat is ook gebeurd i</w:t>
      </w:r>
      <w:r w:rsidRPr="00402297">
        <w:rPr>
          <w:rFonts w:ascii="Verdana" w:hAnsi="Verdana"/>
          <w:sz w:val="18"/>
          <w:szCs w:val="18"/>
        </w:rPr>
        <w:t xml:space="preserve">n het kader van de cao Kraamzorg. </w:t>
      </w:r>
    </w:p>
    <w:p w:rsidR="00402297" w:rsidP="006D59D6" w:rsidRDefault="00402297" w14:paraId="32E90422" w14:textId="77777777">
      <w:pPr>
        <w:pStyle w:val="Geenafstand"/>
        <w:suppressAutoHyphens/>
        <w:spacing w:line="276" w:lineRule="auto"/>
        <w:rPr>
          <w:rFonts w:ascii="Verdana" w:hAnsi="Verdana"/>
          <w:sz w:val="18"/>
          <w:szCs w:val="18"/>
        </w:rPr>
      </w:pPr>
    </w:p>
    <w:p w:rsidRPr="006C52F0" w:rsidR="00744296" w:rsidP="006D59D6" w:rsidRDefault="00082ACE" w14:paraId="30505748" w14:textId="77777777">
      <w:pPr>
        <w:pStyle w:val="Geenafstand"/>
        <w:suppressAutoHyphens/>
        <w:spacing w:line="276" w:lineRule="auto"/>
        <w:rPr>
          <w:rFonts w:ascii="Verdana" w:hAnsi="Verdana"/>
          <w:sz w:val="18"/>
          <w:szCs w:val="18"/>
        </w:rPr>
      </w:pPr>
      <w:r w:rsidRPr="00402297">
        <w:rPr>
          <w:rFonts w:ascii="Verdana" w:hAnsi="Verdana"/>
          <w:sz w:val="18"/>
          <w:szCs w:val="18"/>
        </w:rPr>
        <w:t xml:space="preserve">De webpagina van Rijksoverheid.nl bevat informatie over consignatie (oproepdiensten). Zo staat daar aangegeven dat arbeidstijd begint op het moment van een oproep. Ook geeft deze pagina aan dat de Arbeidstijdenwet niet regelt welke vergoeding tegenover oproepdiensten staat, maar dat daarover wel afspraken kunnen staan in een arbeidsovereenkomst of cao. Echter ontbrak op de </w:t>
      </w:r>
      <w:r w:rsidRPr="006C52F0">
        <w:rPr>
          <w:rFonts w:ascii="Verdana" w:hAnsi="Verdana"/>
          <w:sz w:val="18"/>
          <w:szCs w:val="18"/>
        </w:rPr>
        <w:t>webpagina van Rijksoverheid.nl de nuance vanuit de EU-jurisprudentie. Daarom is dit aangepast. Dat verduidelijkt het onderscheid tussen arbeidstijd en rusttijd bij oproepdiensten. Hiermee wordt de motie als afgedaan beschouwd.</w:t>
      </w:r>
    </w:p>
    <w:p w:rsidRPr="006C52F0" w:rsidR="00744296" w:rsidP="006D59D6" w:rsidRDefault="00744296" w14:paraId="15313136" w14:textId="77777777">
      <w:pPr>
        <w:pStyle w:val="Geenafstand"/>
        <w:suppressAutoHyphens/>
        <w:spacing w:line="276" w:lineRule="auto"/>
        <w:rPr>
          <w:rFonts w:ascii="Verdana" w:hAnsi="Verdana"/>
          <w:sz w:val="18"/>
          <w:szCs w:val="18"/>
        </w:rPr>
      </w:pPr>
    </w:p>
    <w:p w:rsidRPr="008873F6" w:rsidR="00836739" w:rsidP="006D59D6" w:rsidRDefault="00082ACE" w14:paraId="1B39A61B" w14:textId="77777777">
      <w:pPr>
        <w:pStyle w:val="Geenafstand"/>
        <w:suppressAutoHyphens/>
        <w:spacing w:line="276" w:lineRule="auto"/>
        <w:rPr>
          <w:rFonts w:ascii="Verdana" w:hAnsi="Verdana"/>
          <w:sz w:val="18"/>
          <w:szCs w:val="18"/>
          <w:u w:val="single"/>
        </w:rPr>
      </w:pPr>
      <w:r w:rsidRPr="008873F6">
        <w:rPr>
          <w:rFonts w:ascii="Verdana" w:hAnsi="Verdana"/>
          <w:sz w:val="18"/>
          <w:szCs w:val="18"/>
          <w:u w:val="single"/>
        </w:rPr>
        <w:t>Toezegging over de verdeling van onderzoeks- en scholingsmiddelen tussen verpleegkundigen en specialisten</w:t>
      </w:r>
      <w:r w:rsidRPr="008873F6" w:rsidR="005372C8">
        <w:rPr>
          <w:rFonts w:ascii="Verdana" w:hAnsi="Verdana"/>
          <w:sz w:val="18"/>
          <w:szCs w:val="18"/>
          <w:u w:val="single"/>
        </w:rPr>
        <w:t xml:space="preserve"> (</w:t>
      </w:r>
      <w:r w:rsidRPr="008873F6" w:rsidR="00DD2491">
        <w:rPr>
          <w:rFonts w:ascii="Verdana" w:hAnsi="Verdana"/>
          <w:sz w:val="18"/>
          <w:szCs w:val="18"/>
          <w:u w:val="single"/>
        </w:rPr>
        <w:t>TZ202510-115)</w:t>
      </w:r>
      <w:r>
        <w:rPr>
          <w:rStyle w:val="Voetnootmarkering"/>
          <w:rFonts w:ascii="Verdana" w:hAnsi="Verdana"/>
          <w:sz w:val="18"/>
          <w:szCs w:val="18"/>
          <w:u w:val="single"/>
        </w:rPr>
        <w:footnoteReference w:id="43"/>
      </w:r>
    </w:p>
    <w:p w:rsidRPr="006C52F0" w:rsidR="00836739" w:rsidP="006D59D6" w:rsidRDefault="00082ACE" w14:paraId="0DA62A36" w14:textId="77777777">
      <w:pPr>
        <w:pStyle w:val="Geenafstand"/>
        <w:suppressAutoHyphens/>
        <w:spacing w:line="276" w:lineRule="auto"/>
        <w:rPr>
          <w:rFonts w:ascii="Verdana" w:hAnsi="Verdana"/>
          <w:sz w:val="18"/>
          <w:szCs w:val="18"/>
        </w:rPr>
      </w:pPr>
      <w:r w:rsidRPr="006C52F0">
        <w:rPr>
          <w:rFonts w:ascii="Verdana" w:hAnsi="Verdana"/>
          <w:sz w:val="18"/>
          <w:szCs w:val="18"/>
        </w:rPr>
        <w:t xml:space="preserve">Tijdens het </w:t>
      </w:r>
      <w:r w:rsidR="006C52F0">
        <w:rPr>
          <w:rFonts w:ascii="Verdana" w:hAnsi="Verdana"/>
          <w:sz w:val="18"/>
          <w:szCs w:val="18"/>
        </w:rPr>
        <w:t>C</w:t>
      </w:r>
      <w:r w:rsidRPr="006C52F0">
        <w:rPr>
          <w:rFonts w:ascii="Verdana" w:hAnsi="Verdana"/>
          <w:sz w:val="18"/>
          <w:szCs w:val="18"/>
        </w:rPr>
        <w:t xml:space="preserve">ommissiedebat Acute Zorg van 25 september jl. heeft </w:t>
      </w:r>
      <w:r w:rsidR="00350D2E">
        <w:rPr>
          <w:rFonts w:ascii="Verdana" w:hAnsi="Verdana"/>
          <w:sz w:val="18"/>
          <w:szCs w:val="18"/>
        </w:rPr>
        <w:t xml:space="preserve">de voormalig minister van VWS </w:t>
      </w:r>
      <w:r w:rsidRPr="006C52F0">
        <w:rPr>
          <w:rFonts w:ascii="Verdana" w:hAnsi="Verdana"/>
          <w:sz w:val="18"/>
          <w:szCs w:val="18"/>
        </w:rPr>
        <w:t>toegezegd om uw Kamer bij de eerstvolgende voortgangsrapportage AZWA te informeren over de uitkomsten van het gesprek in het AZWA over de verdeling van onderzoek- en scholingsmiddelen tussen verpleegkundigen en medisch specialisten. Op 11 maart 2026 is dit besproken met de NVZ, UMCNL, ZKN, V&amp;VN en FMS. De scholingsmiddelen komen in de medisch-specialistische sector voort vanuit cao-afspraken en daarmee is het een werkgevers- e</w:t>
      </w:r>
      <w:r w:rsidRPr="006C52F0">
        <w:rPr>
          <w:rFonts w:ascii="Verdana" w:hAnsi="Verdana"/>
          <w:sz w:val="18"/>
          <w:szCs w:val="18"/>
        </w:rPr>
        <w:t>n werknemersaangelegenheid. Hoewel partijen het terecht vinden dat er blijvend aandacht aan dit onderwerp wordt besteed, verwijzen zij ook naar deze cao-afspraken waarmee wordt geborgd dat een deel van de kosten aan scholing wordt besteed. Partijen verwijzen ook naar de beweging naar de voorkant die met AZWA is ingezet. Onderzoeksmiddelen zijn in de regel niet voorbehouden aan alleen verpleegkundigen of medisch specialisten. Het ministerie van VWS stuurt in de meeste gevallen niet specifiek op de inhoud van</w:t>
      </w:r>
      <w:r w:rsidRPr="006C52F0">
        <w:rPr>
          <w:rFonts w:ascii="Verdana" w:hAnsi="Verdana"/>
          <w:sz w:val="18"/>
          <w:szCs w:val="18"/>
        </w:rPr>
        <w:t xml:space="preserve"> de onderzoeken. Dit is aan de partijen in het veld zoals beroepsgroepen of aanbieders.</w:t>
      </w:r>
      <w:r w:rsidR="00E66CB7">
        <w:rPr>
          <w:rFonts w:ascii="Verdana" w:hAnsi="Verdana"/>
          <w:sz w:val="18"/>
          <w:szCs w:val="18"/>
        </w:rPr>
        <w:t xml:space="preserve"> Ik beschouw deze toezegging als afgedaan.</w:t>
      </w:r>
    </w:p>
    <w:p w:rsidR="70DD1FBF" w:rsidP="006D59D6" w:rsidRDefault="70DD1FBF" w14:paraId="3AAE0946" w14:textId="77777777">
      <w:pPr>
        <w:suppressAutoHyphens/>
        <w:spacing w:line="276" w:lineRule="auto"/>
      </w:pPr>
    </w:p>
    <w:p w:rsidR="02A4F1E3" w:rsidP="006D59D6" w:rsidRDefault="00082ACE" w14:paraId="41A689FD" w14:textId="77777777">
      <w:pPr>
        <w:suppressAutoHyphens/>
        <w:spacing w:line="276" w:lineRule="auto"/>
        <w:rPr>
          <w:b/>
          <w:bCs/>
        </w:rPr>
      </w:pPr>
      <w:r w:rsidRPr="006F3F2B">
        <w:rPr>
          <w:b/>
          <w:bCs/>
        </w:rPr>
        <w:lastRenderedPageBreak/>
        <w:t>Afsluiting</w:t>
      </w:r>
    </w:p>
    <w:p w:rsidR="003F0AF4" w:rsidP="006D59D6" w:rsidRDefault="00082ACE" w14:paraId="2D08744C" w14:textId="77777777">
      <w:pPr>
        <w:suppressAutoHyphens/>
        <w:spacing w:line="276" w:lineRule="auto"/>
        <w:rPr>
          <w:rFonts w:eastAsia="Verdana" w:cs="Verdana"/>
        </w:rPr>
      </w:pPr>
      <w:bookmarkStart w:name="_Hlk228982641" w:id="13"/>
      <w:r>
        <w:rPr>
          <w:rFonts w:eastAsia="Verdana" w:cs="Verdana"/>
        </w:rPr>
        <w:t>Ik hecht er waarde aan te benoemen dat z</w:t>
      </w:r>
      <w:r w:rsidRPr="00923DB8">
        <w:rPr>
          <w:rFonts w:eastAsia="Verdana" w:cs="Verdana"/>
        </w:rPr>
        <w:t>org en welzijn niet de enige sector</w:t>
      </w:r>
      <w:r>
        <w:rPr>
          <w:rFonts w:eastAsia="Verdana" w:cs="Verdana"/>
        </w:rPr>
        <w:t xml:space="preserve"> is</w:t>
      </w:r>
      <w:r w:rsidRPr="00923DB8">
        <w:rPr>
          <w:rFonts w:eastAsia="Verdana" w:cs="Verdana"/>
        </w:rPr>
        <w:t xml:space="preserve"> die kampt met personeelstekorten. De afgelopen jaren is de arbeidsmarkt historisch krap geweest en door de dubbele vergrijzing is de verwachting dat deze krapte in Nederland minimaal tot en met 2040 aanhoudt. Dit betekent dat er te weinig personeel is om alle maatschappelijke opgaven te realiseren en het verdienvermogen te versterken. </w:t>
      </w:r>
      <w:r w:rsidRPr="00DC40C5" w:rsidR="00DC40C5">
        <w:rPr>
          <w:rFonts w:eastAsia="Verdana" w:cs="Verdana"/>
        </w:rPr>
        <w:t>We moeten schaars talent zo effectief mogelijk inzetten. Daarom wer</w:t>
      </w:r>
      <w:r w:rsidR="002E6DDE">
        <w:rPr>
          <w:rFonts w:eastAsia="Verdana" w:cs="Verdana"/>
        </w:rPr>
        <w:t xml:space="preserve">ken de ministers van OCW, SZW en EZK </w:t>
      </w:r>
      <w:r w:rsidRPr="00DC40C5" w:rsidR="00DC40C5">
        <w:rPr>
          <w:rFonts w:eastAsia="Verdana" w:cs="Verdana"/>
        </w:rPr>
        <w:t xml:space="preserve">aan een Talentstrategie, om zo het verdienvermogen en onze brede welvaart te versterken. De Talentstrategie verbindt beleid op het terrein van arbeidsmarkt, onderwijs, migratie en fiscaliteit met elkaar. Uw Kamer wordt voor de zomer geïnformeerd over de Talentstrategie. </w:t>
      </w:r>
      <w:r w:rsidRPr="0048593D" w:rsidR="00CA0194">
        <w:rPr>
          <w:rFonts w:eastAsia="Verdana" w:cs="Verdana"/>
        </w:rPr>
        <w:t>Ik zal mij in ieder geval onverminderd blijven inzetten om samen met professionals en partijen in het veld de arbeidsmarkttekorten in zorg en welzijn het hoofd te bieden</w:t>
      </w:r>
      <w:r w:rsidRPr="00A00D8C" w:rsidR="00CA0194">
        <w:rPr>
          <w:rFonts w:eastAsia="Verdana" w:cs="Verdana"/>
        </w:rPr>
        <w:t>.</w:t>
      </w:r>
      <w:bookmarkEnd w:id="13"/>
    </w:p>
    <w:p w:rsidR="006D59D6" w:rsidP="006D59D6" w:rsidRDefault="006D59D6" w14:paraId="34A38343" w14:textId="77777777">
      <w:pPr>
        <w:suppressAutoHyphens/>
        <w:spacing w:line="276" w:lineRule="auto"/>
        <w:rPr>
          <w:rFonts w:eastAsia="Verdana" w:cs="Verdana"/>
        </w:rPr>
      </w:pPr>
    </w:p>
    <w:p w:rsidRPr="006D59D6" w:rsidR="006D59D6" w:rsidP="006D59D6" w:rsidRDefault="006D59D6" w14:paraId="3660D3E6" w14:textId="3CCD8CE8">
      <w:pPr>
        <w:suppressAutoHyphens/>
        <w:spacing w:line="276" w:lineRule="auto"/>
        <w:rPr>
          <w:rFonts w:eastAsia="Verdana" w:cs="Verdana"/>
        </w:rPr>
      </w:pPr>
      <w:r w:rsidRPr="006D59D6">
        <w:rPr>
          <w:rFonts w:eastAsia="Verdana" w:cs="Verdana"/>
        </w:rPr>
        <w:t>Hoogachtend,</w:t>
      </w:r>
    </w:p>
    <w:p w:rsidRPr="006D59D6" w:rsidR="006D59D6" w:rsidP="006D59D6" w:rsidRDefault="006D59D6" w14:paraId="3BAE0043" w14:textId="77777777">
      <w:pPr>
        <w:suppressAutoHyphens/>
        <w:spacing w:line="276" w:lineRule="auto"/>
        <w:rPr>
          <w:rFonts w:eastAsia="Verdana" w:cs="Verdana"/>
        </w:rPr>
      </w:pPr>
    </w:p>
    <w:p w:rsidRPr="006D59D6" w:rsidR="006D59D6" w:rsidP="006D59D6" w:rsidRDefault="006D59D6" w14:paraId="1D4CDEC9" w14:textId="77777777">
      <w:pPr>
        <w:suppressAutoHyphens/>
        <w:spacing w:line="276" w:lineRule="auto"/>
        <w:rPr>
          <w:rFonts w:eastAsia="Verdana" w:cs="Verdana"/>
        </w:rPr>
      </w:pPr>
      <w:r w:rsidRPr="006D59D6">
        <w:rPr>
          <w:rFonts w:eastAsia="Verdana" w:cs="Verdana"/>
        </w:rPr>
        <w:t>de minister van Langdurige Zorg,</w:t>
      </w:r>
    </w:p>
    <w:p w:rsidRPr="006D59D6" w:rsidR="006D59D6" w:rsidP="006D59D6" w:rsidRDefault="006D59D6" w14:paraId="290B93B2" w14:textId="77777777">
      <w:pPr>
        <w:suppressAutoHyphens/>
        <w:spacing w:line="276" w:lineRule="auto"/>
        <w:rPr>
          <w:rFonts w:eastAsia="Verdana" w:cs="Verdana"/>
        </w:rPr>
      </w:pPr>
      <w:r w:rsidRPr="006D59D6">
        <w:rPr>
          <w:rFonts w:eastAsia="Verdana" w:cs="Verdana"/>
        </w:rPr>
        <w:t>Jeugd en Sport,</w:t>
      </w:r>
    </w:p>
    <w:p w:rsidRPr="006D59D6" w:rsidR="006D59D6" w:rsidP="006D59D6" w:rsidRDefault="006D59D6" w14:paraId="3C2DE2DD" w14:textId="77777777">
      <w:pPr>
        <w:suppressAutoHyphens/>
        <w:spacing w:line="276" w:lineRule="auto"/>
        <w:rPr>
          <w:rFonts w:eastAsia="Verdana" w:cs="Verdana"/>
        </w:rPr>
      </w:pPr>
    </w:p>
    <w:p w:rsidRPr="006D59D6" w:rsidR="006D59D6" w:rsidP="006D59D6" w:rsidRDefault="006D59D6" w14:paraId="476511E6" w14:textId="77777777">
      <w:pPr>
        <w:suppressAutoHyphens/>
        <w:spacing w:line="276" w:lineRule="auto"/>
        <w:rPr>
          <w:rFonts w:eastAsia="Verdana" w:cs="Verdana"/>
        </w:rPr>
      </w:pPr>
    </w:p>
    <w:p w:rsidRPr="006D59D6" w:rsidR="006D59D6" w:rsidP="006D59D6" w:rsidRDefault="006D59D6" w14:paraId="0B6C87B0" w14:textId="77777777">
      <w:pPr>
        <w:suppressAutoHyphens/>
        <w:spacing w:line="276" w:lineRule="auto"/>
        <w:rPr>
          <w:rFonts w:eastAsia="Verdana" w:cs="Verdana"/>
        </w:rPr>
      </w:pPr>
    </w:p>
    <w:p w:rsidRPr="006D59D6" w:rsidR="006D59D6" w:rsidP="006D59D6" w:rsidRDefault="006D59D6" w14:paraId="5D9E2A53" w14:textId="77777777">
      <w:pPr>
        <w:suppressAutoHyphens/>
        <w:spacing w:line="276" w:lineRule="auto"/>
        <w:rPr>
          <w:rFonts w:eastAsia="Verdana" w:cs="Verdana"/>
        </w:rPr>
      </w:pPr>
    </w:p>
    <w:p w:rsidRPr="006D59D6" w:rsidR="006D59D6" w:rsidP="006D59D6" w:rsidRDefault="006D59D6" w14:paraId="17CAA59F" w14:textId="77777777">
      <w:pPr>
        <w:suppressAutoHyphens/>
        <w:spacing w:line="276" w:lineRule="auto"/>
        <w:rPr>
          <w:rFonts w:eastAsia="Verdana" w:cs="Verdana"/>
        </w:rPr>
      </w:pPr>
    </w:p>
    <w:p w:rsidRPr="006D59D6" w:rsidR="006D59D6" w:rsidP="006D59D6" w:rsidRDefault="006D59D6" w14:paraId="544074B7" w14:textId="77777777">
      <w:pPr>
        <w:suppressAutoHyphens/>
        <w:spacing w:line="276" w:lineRule="auto"/>
        <w:rPr>
          <w:rFonts w:eastAsia="Verdana" w:cs="Verdana"/>
        </w:rPr>
      </w:pPr>
    </w:p>
    <w:p w:rsidRPr="006F3F2B" w:rsidR="00024416" w:rsidP="006D59D6" w:rsidRDefault="006D59D6" w14:paraId="4379B65E" w14:textId="47CA73E9">
      <w:pPr>
        <w:suppressAutoHyphens/>
        <w:spacing w:line="276" w:lineRule="auto"/>
        <w:rPr>
          <w:b/>
          <w:bCs/>
        </w:rPr>
      </w:pPr>
      <w:r w:rsidRPr="006D59D6">
        <w:rPr>
          <w:rFonts w:eastAsia="Verdana" w:cs="Verdana"/>
        </w:rPr>
        <w:t>Mirjam Sterk</w:t>
      </w:r>
    </w:p>
    <w:sectPr w:rsidRPr="006F3F2B" w:rsidR="00024416" w:rsidSect="003C5CC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95D0" w14:textId="77777777" w:rsidR="00A76AC9" w:rsidRDefault="00A76AC9">
      <w:pPr>
        <w:spacing w:line="240" w:lineRule="auto"/>
      </w:pPr>
      <w:r>
        <w:separator/>
      </w:r>
    </w:p>
  </w:endnote>
  <w:endnote w:type="continuationSeparator" w:id="0">
    <w:p w14:paraId="31D82903" w14:textId="77777777" w:rsidR="00A76AC9" w:rsidRDefault="00A76A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4D09" w14:textId="77777777" w:rsidR="00402720" w:rsidRDefault="0040272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5967" w14:textId="77777777" w:rsidR="00A76AC9" w:rsidRDefault="00A76AC9">
      <w:pPr>
        <w:spacing w:line="240" w:lineRule="auto"/>
      </w:pPr>
      <w:r>
        <w:separator/>
      </w:r>
    </w:p>
  </w:footnote>
  <w:footnote w:type="continuationSeparator" w:id="0">
    <w:p w14:paraId="368E18BC" w14:textId="77777777" w:rsidR="00A76AC9" w:rsidRDefault="00A76AC9">
      <w:pPr>
        <w:spacing w:line="240" w:lineRule="auto"/>
      </w:pPr>
      <w:r>
        <w:continuationSeparator/>
      </w:r>
    </w:p>
  </w:footnote>
  <w:footnote w:id="1">
    <w:p w14:paraId="564D5D28" w14:textId="77777777" w:rsidR="49A4F9FE" w:rsidRPr="00B03B65" w:rsidRDefault="00082ACE" w:rsidP="49A4F9FE">
      <w:pPr>
        <w:pStyle w:val="Voetnoottekst"/>
        <w:rPr>
          <w:sz w:val="16"/>
          <w:szCs w:val="16"/>
        </w:rPr>
      </w:pPr>
      <w:r w:rsidRPr="00B03B65">
        <w:rPr>
          <w:rStyle w:val="Voetnootmarkering"/>
          <w:sz w:val="16"/>
          <w:szCs w:val="16"/>
        </w:rPr>
        <w:footnoteRef/>
      </w:r>
      <w:r w:rsidRPr="00B03B65">
        <w:rPr>
          <w:sz w:val="16"/>
          <w:szCs w:val="16"/>
        </w:rPr>
        <w:t xml:space="preserve"> </w:t>
      </w:r>
      <w:r w:rsidR="003A2A46">
        <w:rPr>
          <w:sz w:val="16"/>
          <w:szCs w:val="16"/>
        </w:rPr>
        <w:t>Kamerstukken II 2025/26, 29282, nr.</w:t>
      </w:r>
      <w:r w:rsidR="005372C8">
        <w:rPr>
          <w:sz w:val="16"/>
          <w:szCs w:val="16"/>
        </w:rPr>
        <w:t xml:space="preserve"> </w:t>
      </w:r>
      <w:r w:rsidR="003A2A46">
        <w:rPr>
          <w:sz w:val="16"/>
          <w:szCs w:val="16"/>
        </w:rPr>
        <w:t>619.</w:t>
      </w:r>
    </w:p>
  </w:footnote>
  <w:footnote w:id="2">
    <w:p w14:paraId="70FBAC15" w14:textId="77777777" w:rsidR="00CC3DC2" w:rsidRPr="00E53AEE" w:rsidRDefault="00082ACE">
      <w:pPr>
        <w:pStyle w:val="Voetnoottekst"/>
        <w:rPr>
          <w:sz w:val="16"/>
          <w:szCs w:val="16"/>
        </w:rPr>
      </w:pPr>
      <w:r w:rsidRPr="00E53AEE">
        <w:rPr>
          <w:rStyle w:val="Voetnootmarkering"/>
          <w:sz w:val="16"/>
          <w:szCs w:val="16"/>
        </w:rPr>
        <w:footnoteRef/>
      </w:r>
      <w:r w:rsidRPr="00E53AEE">
        <w:rPr>
          <w:sz w:val="16"/>
          <w:szCs w:val="16"/>
        </w:rPr>
        <w:t xml:space="preserve"> </w:t>
      </w:r>
      <w:r w:rsidR="003A2A46">
        <w:rPr>
          <w:sz w:val="16"/>
          <w:szCs w:val="16"/>
        </w:rPr>
        <w:t>Kamerstukken II 2025/26, 29282, nr.</w:t>
      </w:r>
      <w:r w:rsidR="005372C8">
        <w:rPr>
          <w:sz w:val="16"/>
          <w:szCs w:val="16"/>
        </w:rPr>
        <w:t xml:space="preserve"> </w:t>
      </w:r>
      <w:r w:rsidR="003A2A46">
        <w:rPr>
          <w:sz w:val="16"/>
          <w:szCs w:val="16"/>
        </w:rPr>
        <w:t>615.</w:t>
      </w:r>
    </w:p>
  </w:footnote>
  <w:footnote w:id="3">
    <w:p w14:paraId="020598B2" w14:textId="77777777" w:rsidR="007B6569" w:rsidRPr="00FE1842" w:rsidRDefault="00082ACE">
      <w:pPr>
        <w:pStyle w:val="Voetnoottekst"/>
        <w:rPr>
          <w:sz w:val="16"/>
          <w:szCs w:val="16"/>
        </w:rPr>
      </w:pPr>
      <w:r w:rsidRPr="00FE1842">
        <w:rPr>
          <w:rStyle w:val="Voetnootmarkering"/>
          <w:sz w:val="16"/>
          <w:szCs w:val="16"/>
        </w:rPr>
        <w:footnoteRef/>
      </w:r>
      <w:r w:rsidRPr="00FE1842">
        <w:rPr>
          <w:sz w:val="16"/>
          <w:szCs w:val="16"/>
        </w:rPr>
        <w:t xml:space="preserve"> </w:t>
      </w:r>
      <w:r w:rsidR="003A2A46">
        <w:rPr>
          <w:sz w:val="16"/>
          <w:szCs w:val="16"/>
        </w:rPr>
        <w:t>Kamerstukken II 2025/26, 27529, nr. 354</w:t>
      </w:r>
      <w:r w:rsidR="00B05778">
        <w:rPr>
          <w:sz w:val="16"/>
          <w:szCs w:val="16"/>
        </w:rPr>
        <w:t>.</w:t>
      </w:r>
    </w:p>
  </w:footnote>
  <w:footnote w:id="4">
    <w:p w14:paraId="2BBF89E8" w14:textId="77777777" w:rsidR="007B6569" w:rsidRPr="00FE1842" w:rsidRDefault="00082ACE">
      <w:pPr>
        <w:pStyle w:val="Voetnoottekst"/>
        <w:rPr>
          <w:sz w:val="16"/>
          <w:szCs w:val="16"/>
        </w:rPr>
      </w:pPr>
      <w:r w:rsidRPr="00FE1842">
        <w:rPr>
          <w:rStyle w:val="Voetnootmarkering"/>
          <w:sz w:val="16"/>
          <w:szCs w:val="16"/>
        </w:rPr>
        <w:footnoteRef/>
      </w:r>
      <w:r w:rsidRPr="00FE1842">
        <w:rPr>
          <w:sz w:val="16"/>
          <w:szCs w:val="16"/>
        </w:rPr>
        <w:t xml:space="preserve"> </w:t>
      </w:r>
      <w:r w:rsidR="003A2A46">
        <w:rPr>
          <w:sz w:val="16"/>
          <w:szCs w:val="16"/>
        </w:rPr>
        <w:t>Kamerstukken II 2025/26, 29282, nr. 621.</w:t>
      </w:r>
    </w:p>
  </w:footnote>
  <w:footnote w:id="5">
    <w:p w14:paraId="6E1A4752" w14:textId="77777777" w:rsidR="00D73355" w:rsidRPr="00D73355" w:rsidRDefault="00082ACE" w:rsidP="00D73355">
      <w:pPr>
        <w:pStyle w:val="Voetnoottekst"/>
        <w:rPr>
          <w:sz w:val="16"/>
          <w:szCs w:val="16"/>
        </w:rPr>
      </w:pPr>
      <w:r w:rsidRPr="00D73355">
        <w:rPr>
          <w:rStyle w:val="Voetnootmarkering"/>
          <w:sz w:val="16"/>
          <w:szCs w:val="16"/>
        </w:rPr>
        <w:footnoteRef/>
      </w:r>
      <w:r w:rsidRPr="00D73355">
        <w:rPr>
          <w:sz w:val="16"/>
          <w:szCs w:val="16"/>
        </w:rPr>
        <w:t xml:space="preserve"> Kamerstukken II 2025/26, 29515, nr. 499</w:t>
      </w:r>
      <w:r>
        <w:rPr>
          <w:sz w:val="16"/>
          <w:szCs w:val="16"/>
        </w:rPr>
        <w:t>.</w:t>
      </w:r>
    </w:p>
  </w:footnote>
  <w:footnote w:id="6">
    <w:p w14:paraId="012F14EC" w14:textId="77777777" w:rsidR="00D175B7" w:rsidRPr="00D175B7" w:rsidRDefault="00082ACE">
      <w:pPr>
        <w:pStyle w:val="Voetnoottekst"/>
        <w:rPr>
          <w:sz w:val="16"/>
          <w:szCs w:val="16"/>
        </w:rPr>
      </w:pPr>
      <w:r w:rsidRPr="00D175B7">
        <w:rPr>
          <w:rStyle w:val="Voetnootmarkering"/>
          <w:sz w:val="16"/>
          <w:szCs w:val="16"/>
        </w:rPr>
        <w:footnoteRef/>
      </w:r>
      <w:r w:rsidRPr="00D175B7">
        <w:rPr>
          <w:sz w:val="16"/>
          <w:szCs w:val="16"/>
        </w:rPr>
        <w:t xml:space="preserve"> Kamerstukken II 2025/26, 31765, nr. 976.</w:t>
      </w:r>
    </w:p>
  </w:footnote>
  <w:footnote w:id="7">
    <w:p w14:paraId="0642463A" w14:textId="77777777" w:rsidR="007B6569" w:rsidRPr="00FE1842" w:rsidRDefault="00082ACE">
      <w:pPr>
        <w:pStyle w:val="Voetnoottekst"/>
        <w:rPr>
          <w:sz w:val="16"/>
          <w:szCs w:val="16"/>
        </w:rPr>
      </w:pPr>
      <w:r w:rsidRPr="00FE1842">
        <w:rPr>
          <w:rStyle w:val="Voetnootmarkering"/>
          <w:sz w:val="16"/>
          <w:szCs w:val="16"/>
        </w:rPr>
        <w:footnoteRef/>
      </w:r>
      <w:r w:rsidRPr="00FE1842">
        <w:rPr>
          <w:sz w:val="16"/>
          <w:szCs w:val="16"/>
        </w:rPr>
        <w:t xml:space="preserve"> </w:t>
      </w:r>
      <w:r w:rsidR="00DC40C5">
        <w:rPr>
          <w:sz w:val="16"/>
          <w:szCs w:val="16"/>
        </w:rPr>
        <w:t xml:space="preserve">Kamerstukken II 2025/26, </w:t>
      </w:r>
      <w:r w:rsidR="00DC40C5" w:rsidRPr="00DC40C5">
        <w:rPr>
          <w:sz w:val="16"/>
          <w:szCs w:val="16"/>
        </w:rPr>
        <w:t>29282</w:t>
      </w:r>
      <w:r w:rsidR="00DC40C5">
        <w:rPr>
          <w:sz w:val="16"/>
          <w:szCs w:val="16"/>
        </w:rPr>
        <w:t xml:space="preserve">, nr. </w:t>
      </w:r>
      <w:r w:rsidR="00DC40C5" w:rsidRPr="00DC40C5">
        <w:rPr>
          <w:sz w:val="16"/>
          <w:szCs w:val="16"/>
        </w:rPr>
        <w:t>630</w:t>
      </w:r>
      <w:r w:rsidR="00DC40C5">
        <w:rPr>
          <w:sz w:val="16"/>
          <w:szCs w:val="16"/>
        </w:rPr>
        <w:t>.</w:t>
      </w:r>
    </w:p>
  </w:footnote>
  <w:footnote w:id="8">
    <w:p w14:paraId="378CE428" w14:textId="77777777" w:rsidR="00CC3DC2" w:rsidRPr="00CC3DC2" w:rsidRDefault="00082ACE">
      <w:pPr>
        <w:pStyle w:val="Voetnoottekst"/>
        <w:rPr>
          <w:sz w:val="16"/>
          <w:szCs w:val="16"/>
        </w:rPr>
      </w:pPr>
      <w:r w:rsidRPr="00CC3DC2">
        <w:rPr>
          <w:rStyle w:val="Voetnootmarkering"/>
          <w:sz w:val="16"/>
          <w:szCs w:val="16"/>
        </w:rPr>
        <w:footnoteRef/>
      </w:r>
      <w:r w:rsidRPr="00CC3DC2">
        <w:rPr>
          <w:sz w:val="16"/>
          <w:szCs w:val="16"/>
        </w:rPr>
        <w:t xml:space="preserve"> </w:t>
      </w:r>
      <w:r w:rsidR="00C0126B">
        <w:rPr>
          <w:sz w:val="16"/>
          <w:szCs w:val="16"/>
        </w:rPr>
        <w:t xml:space="preserve">Kamerstukken II 2025/26, </w:t>
      </w:r>
      <w:r w:rsidR="00C0126B" w:rsidRPr="00C0126B">
        <w:rPr>
          <w:sz w:val="16"/>
          <w:szCs w:val="16"/>
        </w:rPr>
        <w:t>31765</w:t>
      </w:r>
      <w:r w:rsidR="00C0126B">
        <w:rPr>
          <w:sz w:val="16"/>
          <w:szCs w:val="16"/>
        </w:rPr>
        <w:t xml:space="preserve">, nr. </w:t>
      </w:r>
      <w:r w:rsidR="00C0126B" w:rsidRPr="00C0126B">
        <w:rPr>
          <w:sz w:val="16"/>
          <w:szCs w:val="16"/>
        </w:rPr>
        <w:t>981</w:t>
      </w:r>
      <w:r w:rsidR="00C0126B">
        <w:rPr>
          <w:sz w:val="16"/>
          <w:szCs w:val="16"/>
        </w:rPr>
        <w:t>.</w:t>
      </w:r>
    </w:p>
  </w:footnote>
  <w:footnote w:id="9">
    <w:p w14:paraId="3319A3A3" w14:textId="77777777" w:rsidR="008F2F1A" w:rsidRDefault="00082ACE">
      <w:pPr>
        <w:pStyle w:val="Voetnoottekst"/>
      </w:pPr>
      <w:r w:rsidRPr="008F2F1A">
        <w:rPr>
          <w:rStyle w:val="Voetnootmarkering"/>
          <w:sz w:val="16"/>
          <w:szCs w:val="16"/>
        </w:rPr>
        <w:footnoteRef/>
      </w:r>
      <w:r w:rsidRPr="008F2F1A">
        <w:rPr>
          <w:sz w:val="16"/>
          <w:szCs w:val="16"/>
        </w:rPr>
        <w:t xml:space="preserve"> Zie ook https://zowi.nl/</w:t>
      </w:r>
    </w:p>
  </w:footnote>
  <w:footnote w:id="10">
    <w:p w14:paraId="79A77B47" w14:textId="77777777" w:rsidR="00D175B7" w:rsidRPr="00D175B7" w:rsidRDefault="00082ACE">
      <w:pPr>
        <w:pStyle w:val="Voetnoottekst"/>
        <w:rPr>
          <w:sz w:val="16"/>
          <w:szCs w:val="16"/>
        </w:rPr>
      </w:pPr>
      <w:r w:rsidRPr="00D175B7">
        <w:rPr>
          <w:rStyle w:val="Voetnootmarkering"/>
          <w:sz w:val="16"/>
          <w:szCs w:val="16"/>
        </w:rPr>
        <w:footnoteRef/>
      </w:r>
      <w:r w:rsidRPr="00D175B7">
        <w:rPr>
          <w:sz w:val="16"/>
          <w:szCs w:val="16"/>
        </w:rPr>
        <w:t xml:space="preserve"> Kamerstukken II 2025/26, 31765, nr. 976</w:t>
      </w:r>
      <w:r>
        <w:rPr>
          <w:sz w:val="16"/>
          <w:szCs w:val="16"/>
        </w:rPr>
        <w:t>.</w:t>
      </w:r>
    </w:p>
  </w:footnote>
  <w:footnote w:id="11">
    <w:p w14:paraId="2931558B" w14:textId="77777777" w:rsidR="00BD1EE2" w:rsidRPr="00BD1EE2" w:rsidRDefault="00082ACE">
      <w:pPr>
        <w:pStyle w:val="Voetnoottekst"/>
        <w:rPr>
          <w:sz w:val="16"/>
          <w:szCs w:val="16"/>
        </w:rPr>
      </w:pPr>
      <w:r w:rsidRPr="00BD1EE2">
        <w:rPr>
          <w:rStyle w:val="Voetnootmarkering"/>
          <w:sz w:val="16"/>
          <w:szCs w:val="16"/>
        </w:rPr>
        <w:footnoteRef/>
      </w:r>
      <w:r w:rsidRPr="00BD1EE2">
        <w:rPr>
          <w:sz w:val="16"/>
          <w:szCs w:val="16"/>
        </w:rPr>
        <w:t xml:space="preserve"> </w:t>
      </w:r>
      <w:r w:rsidR="003A2A46">
        <w:rPr>
          <w:sz w:val="16"/>
          <w:szCs w:val="16"/>
        </w:rPr>
        <w:t>Kamerstukken II 2025/26, 27529, nr. 354</w:t>
      </w:r>
      <w:r w:rsidR="00D175B7">
        <w:rPr>
          <w:sz w:val="16"/>
          <w:szCs w:val="16"/>
        </w:rPr>
        <w:t>.</w:t>
      </w:r>
    </w:p>
  </w:footnote>
  <w:footnote w:id="12">
    <w:p w14:paraId="64AB8DFC" w14:textId="77777777" w:rsidR="00113DE9" w:rsidRPr="00387259" w:rsidRDefault="00082ACE" w:rsidP="00113DE9">
      <w:pPr>
        <w:pStyle w:val="Voetnoottekst"/>
        <w:rPr>
          <w:sz w:val="16"/>
          <w:szCs w:val="16"/>
        </w:rPr>
      </w:pPr>
      <w:r w:rsidRPr="00387259">
        <w:rPr>
          <w:rStyle w:val="Voetnootmarkering"/>
          <w:sz w:val="16"/>
          <w:szCs w:val="16"/>
        </w:rPr>
        <w:footnoteRef/>
      </w:r>
      <w:r w:rsidRPr="00387259">
        <w:rPr>
          <w:sz w:val="16"/>
          <w:szCs w:val="16"/>
        </w:rPr>
        <w:t xml:space="preserve"> </w:t>
      </w:r>
      <w:r w:rsidR="00974B51">
        <w:rPr>
          <w:sz w:val="16"/>
          <w:szCs w:val="16"/>
        </w:rPr>
        <w:t xml:space="preserve">Kamerstukken II 2025/26, </w:t>
      </w:r>
      <w:r w:rsidR="00974B51" w:rsidRPr="00C0126B">
        <w:rPr>
          <w:sz w:val="16"/>
          <w:szCs w:val="16"/>
        </w:rPr>
        <w:t>31765</w:t>
      </w:r>
      <w:r w:rsidR="00974B51">
        <w:rPr>
          <w:sz w:val="16"/>
          <w:szCs w:val="16"/>
        </w:rPr>
        <w:t xml:space="preserve">, nr. </w:t>
      </w:r>
      <w:r w:rsidR="00974B51" w:rsidRPr="00C0126B">
        <w:rPr>
          <w:sz w:val="16"/>
          <w:szCs w:val="16"/>
        </w:rPr>
        <w:t>981</w:t>
      </w:r>
      <w:r w:rsidR="00974B51">
        <w:rPr>
          <w:sz w:val="16"/>
          <w:szCs w:val="16"/>
        </w:rPr>
        <w:t>.</w:t>
      </w:r>
    </w:p>
  </w:footnote>
  <w:footnote w:id="13">
    <w:p w14:paraId="2472EA3E" w14:textId="77777777" w:rsidR="00651779" w:rsidRPr="00897D47" w:rsidRDefault="00082ACE" w:rsidP="00651779">
      <w:pPr>
        <w:pStyle w:val="Voetnoottekst"/>
        <w:rPr>
          <w:sz w:val="16"/>
          <w:szCs w:val="16"/>
        </w:rPr>
      </w:pPr>
      <w:r w:rsidRPr="0040647A">
        <w:rPr>
          <w:rStyle w:val="Voetnootmarkering"/>
          <w:sz w:val="16"/>
          <w:szCs w:val="16"/>
        </w:rPr>
        <w:footnoteRef/>
      </w:r>
      <w:r w:rsidRPr="0040647A">
        <w:rPr>
          <w:sz w:val="16"/>
          <w:szCs w:val="16"/>
        </w:rPr>
        <w:t xml:space="preserve"> </w:t>
      </w:r>
      <w:r w:rsidR="000A245D">
        <w:rPr>
          <w:sz w:val="16"/>
          <w:szCs w:val="16"/>
        </w:rPr>
        <w:t>‘AZW: uitkomsten werknemersenquête, 4</w:t>
      </w:r>
      <w:r w:rsidR="000A245D" w:rsidRPr="00E80ECB">
        <w:rPr>
          <w:sz w:val="16"/>
          <w:szCs w:val="16"/>
          <w:vertAlign w:val="superscript"/>
        </w:rPr>
        <w:t>e</w:t>
      </w:r>
      <w:r w:rsidR="000A245D">
        <w:rPr>
          <w:sz w:val="16"/>
          <w:szCs w:val="16"/>
        </w:rPr>
        <w:t xml:space="preserve"> kwartaal 2025’, CBS, </w:t>
      </w:r>
      <w:r w:rsidR="539931A1" w:rsidRPr="00D334A0">
        <w:rPr>
          <w:rStyle w:val="Hyperlink"/>
          <w:sz w:val="16"/>
          <w:szCs w:val="16"/>
        </w:rPr>
        <w:t>https://www.cbs.nl/nl-nl/maatwerk/2026/18/azw-uitkomsten-werknemersenquete-4e-kwartaal-2025 (30</w:t>
      </w:r>
      <w:r w:rsidR="539931A1" w:rsidRPr="00D334A0">
        <w:rPr>
          <w:sz w:val="16"/>
          <w:szCs w:val="16"/>
        </w:rPr>
        <w:t xml:space="preserve"> april </w:t>
      </w:r>
      <w:r w:rsidR="539931A1" w:rsidRPr="00897D47">
        <w:rPr>
          <w:sz w:val="16"/>
          <w:szCs w:val="16"/>
        </w:rPr>
        <w:t>2026)</w:t>
      </w:r>
    </w:p>
  </w:footnote>
  <w:footnote w:id="14">
    <w:p w14:paraId="6791235D" w14:textId="77777777" w:rsidR="00897D47" w:rsidRPr="00897D47" w:rsidRDefault="00082ACE" w:rsidP="00897D47">
      <w:pPr>
        <w:pStyle w:val="Voetnoottekst"/>
        <w:rPr>
          <w:sz w:val="16"/>
          <w:szCs w:val="16"/>
        </w:rPr>
      </w:pPr>
      <w:r w:rsidRPr="00897D47">
        <w:rPr>
          <w:rStyle w:val="Voetnootmarkering"/>
          <w:sz w:val="16"/>
          <w:szCs w:val="16"/>
        </w:rPr>
        <w:footnoteRef/>
      </w:r>
      <w:r w:rsidRPr="00897D47">
        <w:rPr>
          <w:sz w:val="16"/>
          <w:szCs w:val="16"/>
        </w:rPr>
        <w:t xml:space="preserve"> Kamerstukken II, 2025/26, 31765, nr. 981.</w:t>
      </w:r>
    </w:p>
  </w:footnote>
  <w:footnote w:id="15">
    <w:p w14:paraId="460694A1" w14:textId="77777777" w:rsidR="00651779" w:rsidRPr="00651779" w:rsidRDefault="00082ACE" w:rsidP="00651779">
      <w:pPr>
        <w:pStyle w:val="Voetnoottekst"/>
        <w:rPr>
          <w:sz w:val="16"/>
          <w:szCs w:val="16"/>
        </w:rPr>
      </w:pPr>
      <w:r w:rsidRPr="00651779">
        <w:rPr>
          <w:rStyle w:val="Voetnootmarkering"/>
          <w:sz w:val="16"/>
          <w:szCs w:val="16"/>
        </w:rPr>
        <w:footnoteRef/>
      </w:r>
      <w:r w:rsidRPr="00651779">
        <w:rPr>
          <w:sz w:val="16"/>
          <w:szCs w:val="16"/>
        </w:rPr>
        <w:t xml:space="preserve"> Zie Kamerstukken II 2025/26, 29 515, nr. 499, en de bijlagen daarbij.</w:t>
      </w:r>
    </w:p>
  </w:footnote>
  <w:footnote w:id="16">
    <w:p w14:paraId="0580C945" w14:textId="77777777" w:rsidR="003305EE" w:rsidRPr="00D334A0" w:rsidRDefault="00082ACE">
      <w:pPr>
        <w:pStyle w:val="Voetnoottekst"/>
        <w:rPr>
          <w:sz w:val="16"/>
          <w:szCs w:val="16"/>
        </w:rPr>
      </w:pPr>
      <w:r w:rsidRPr="00D334A0">
        <w:rPr>
          <w:rStyle w:val="Voetnootmarkering"/>
          <w:sz w:val="16"/>
          <w:szCs w:val="16"/>
        </w:rPr>
        <w:footnoteRef/>
      </w:r>
      <w:r w:rsidRPr="00D334A0">
        <w:rPr>
          <w:sz w:val="16"/>
          <w:szCs w:val="16"/>
        </w:rPr>
        <w:t xml:space="preserve"> www.azwstatline.cbs.nl</w:t>
      </w:r>
    </w:p>
  </w:footnote>
  <w:footnote w:id="17">
    <w:p w14:paraId="38B61B4F" w14:textId="77777777" w:rsidR="00ED7C3B" w:rsidRDefault="00082ACE">
      <w:pPr>
        <w:pStyle w:val="Voetnoottekst"/>
      </w:pPr>
      <w:r w:rsidRPr="00ED7C3B">
        <w:rPr>
          <w:rStyle w:val="Voetnootmarkering"/>
          <w:sz w:val="16"/>
          <w:szCs w:val="16"/>
        </w:rPr>
        <w:footnoteRef/>
      </w:r>
      <w:r w:rsidRPr="00ED7C3B">
        <w:rPr>
          <w:sz w:val="16"/>
          <w:szCs w:val="16"/>
        </w:rPr>
        <w:t xml:space="preserve"> </w:t>
      </w:r>
      <w:r w:rsidR="00916777">
        <w:rPr>
          <w:sz w:val="16"/>
          <w:szCs w:val="16"/>
        </w:rPr>
        <w:t>‘</w:t>
      </w:r>
      <w:r w:rsidRPr="00D334A0">
        <w:rPr>
          <w:sz w:val="16"/>
          <w:szCs w:val="16"/>
        </w:rPr>
        <w:t>De staat van de arbeidsmarkt zorg en welzijn 2025 – trendrapportage</w:t>
      </w:r>
      <w:r w:rsidR="00916777" w:rsidRPr="00D334A0">
        <w:rPr>
          <w:sz w:val="16"/>
          <w:szCs w:val="16"/>
        </w:rPr>
        <w:t xml:space="preserve">’, AZW info, </w:t>
      </w:r>
      <w:hyperlink r:id="rId1" w:anchor=":~:text=De%20sector%20zorg%20en%20welzijn%20kampt%20met,deeltijdfactor%20al%20geruime%20tijd%20stabiel%20en%20relatief" w:history="1">
        <w:r w:rsidR="00916777" w:rsidRPr="00D334A0">
          <w:rPr>
            <w:sz w:val="16"/>
            <w:szCs w:val="16"/>
          </w:rPr>
          <w:t>De staat van de arbeidsmarkt zorg en welzijn 2025 – trendrapportage - AZW Info</w:t>
        </w:r>
      </w:hyperlink>
    </w:p>
  </w:footnote>
  <w:footnote w:id="18">
    <w:p w14:paraId="3D4264DD" w14:textId="77777777" w:rsidR="000837E8" w:rsidRPr="009A79F7" w:rsidRDefault="00082ACE">
      <w:pPr>
        <w:pStyle w:val="Voetnoottekst"/>
        <w:rPr>
          <w:sz w:val="16"/>
          <w:szCs w:val="16"/>
        </w:rPr>
      </w:pPr>
      <w:r w:rsidRPr="009A79F7">
        <w:rPr>
          <w:rStyle w:val="Voetnootmarkering"/>
          <w:sz w:val="16"/>
          <w:szCs w:val="16"/>
        </w:rPr>
        <w:footnoteRef/>
      </w:r>
      <w:r w:rsidRPr="009A79F7">
        <w:rPr>
          <w:sz w:val="16"/>
          <w:szCs w:val="16"/>
        </w:rPr>
        <w:t xml:space="preserve"> </w:t>
      </w:r>
      <w:r>
        <w:rPr>
          <w:sz w:val="16"/>
          <w:szCs w:val="16"/>
        </w:rPr>
        <w:t>‘</w:t>
      </w:r>
      <w:r w:rsidRPr="009A79F7">
        <w:rPr>
          <w:sz w:val="16"/>
          <w:szCs w:val="16"/>
        </w:rPr>
        <w:t>Het potentieel</w:t>
      </w:r>
      <w:r>
        <w:rPr>
          <w:sz w:val="16"/>
          <w:szCs w:val="16"/>
        </w:rPr>
        <w:t xml:space="preserve"> blijven pakken. Contractuitbreiding in de zorg – inzichten en impact’, Het Potentieel Pakken,</w:t>
      </w:r>
      <w:r w:rsidRPr="009A79F7">
        <w:rPr>
          <w:sz w:val="16"/>
          <w:szCs w:val="16"/>
        </w:rPr>
        <w:t xml:space="preserve"> </w:t>
      </w:r>
      <w:hyperlink r:id="rId2" w:history="1">
        <w:r w:rsidR="000837E8" w:rsidRPr="00D270D0">
          <w:rPr>
            <w:rStyle w:val="Hyperlink"/>
            <w:sz w:val="16"/>
            <w:szCs w:val="16"/>
          </w:rPr>
          <w:t>https://wp-hetpotentieelpakken.s3.eu-central-1.amazonaws.com/2025/02/2409_VWS-Rapport_v12_compressed-1.pdf</w:t>
        </w:r>
      </w:hyperlink>
      <w:r>
        <w:rPr>
          <w:sz w:val="16"/>
          <w:szCs w:val="16"/>
        </w:rPr>
        <w:t xml:space="preserve"> (februari 2025)</w:t>
      </w:r>
    </w:p>
  </w:footnote>
  <w:footnote w:id="19">
    <w:p w14:paraId="372450D8" w14:textId="77777777" w:rsidR="005A6238" w:rsidRPr="0099324B" w:rsidRDefault="00082ACE">
      <w:pPr>
        <w:pStyle w:val="Voetnoottekst"/>
        <w:rPr>
          <w:sz w:val="16"/>
          <w:szCs w:val="16"/>
        </w:rPr>
      </w:pPr>
      <w:r w:rsidRPr="0099324B">
        <w:rPr>
          <w:rStyle w:val="Voetnootmarkering"/>
          <w:sz w:val="16"/>
          <w:szCs w:val="16"/>
        </w:rPr>
        <w:footnoteRef/>
      </w:r>
      <w:r w:rsidRPr="0099324B">
        <w:rPr>
          <w:sz w:val="16"/>
          <w:szCs w:val="16"/>
        </w:rPr>
        <w:t xml:space="preserve"> </w:t>
      </w:r>
      <w:r w:rsidR="0020734E">
        <w:rPr>
          <w:sz w:val="16"/>
          <w:szCs w:val="16"/>
        </w:rPr>
        <w:t xml:space="preserve">Kamerstukken II 2025/26, </w:t>
      </w:r>
      <w:r w:rsidRPr="0099324B">
        <w:rPr>
          <w:sz w:val="16"/>
          <w:szCs w:val="16"/>
        </w:rPr>
        <w:t>TZ202603</w:t>
      </w:r>
      <w:r w:rsidR="0020734E">
        <w:rPr>
          <w:sz w:val="16"/>
          <w:szCs w:val="16"/>
        </w:rPr>
        <w:t>, nr.</w:t>
      </w:r>
      <w:r w:rsidRPr="0099324B">
        <w:rPr>
          <w:sz w:val="16"/>
          <w:szCs w:val="16"/>
        </w:rPr>
        <w:t>195</w:t>
      </w:r>
      <w:r w:rsidR="0020734E">
        <w:rPr>
          <w:sz w:val="16"/>
          <w:szCs w:val="16"/>
        </w:rPr>
        <w:t>.</w:t>
      </w:r>
      <w:r w:rsidRPr="0099324B">
        <w:rPr>
          <w:sz w:val="16"/>
          <w:szCs w:val="16"/>
        </w:rPr>
        <w:t xml:space="preserve"> </w:t>
      </w:r>
    </w:p>
  </w:footnote>
  <w:footnote w:id="20">
    <w:p w14:paraId="073E5127" w14:textId="77777777" w:rsidR="00CC0A97" w:rsidRPr="00CC0A97" w:rsidRDefault="00082ACE">
      <w:pPr>
        <w:pStyle w:val="Voetnoottekst"/>
        <w:rPr>
          <w:sz w:val="16"/>
          <w:szCs w:val="16"/>
        </w:rPr>
      </w:pPr>
      <w:r w:rsidRPr="00CC0A97">
        <w:rPr>
          <w:rStyle w:val="Voetnootmarkering"/>
          <w:sz w:val="16"/>
          <w:szCs w:val="16"/>
        </w:rPr>
        <w:footnoteRef/>
      </w:r>
      <w:r w:rsidRPr="00CC0A97">
        <w:rPr>
          <w:sz w:val="16"/>
          <w:szCs w:val="16"/>
        </w:rPr>
        <w:t xml:space="preserve"> </w:t>
      </w:r>
      <w:r w:rsidR="000A245D">
        <w:rPr>
          <w:sz w:val="16"/>
          <w:szCs w:val="16"/>
        </w:rPr>
        <w:t xml:space="preserve">Kamerstukken II 2025/26, 28828, nr. 162. </w:t>
      </w:r>
    </w:p>
  </w:footnote>
  <w:footnote w:id="21">
    <w:p w14:paraId="7CBC011B" w14:textId="77777777" w:rsidR="00E54129" w:rsidRPr="00E54129" w:rsidRDefault="00082ACE">
      <w:pPr>
        <w:pStyle w:val="Voetnoottekst"/>
        <w:rPr>
          <w:sz w:val="16"/>
          <w:szCs w:val="16"/>
        </w:rPr>
      </w:pPr>
      <w:r w:rsidRPr="00E54129">
        <w:rPr>
          <w:rStyle w:val="Voetnootmarkering"/>
          <w:sz w:val="16"/>
          <w:szCs w:val="16"/>
        </w:rPr>
        <w:footnoteRef/>
      </w:r>
      <w:r w:rsidRPr="00E54129">
        <w:rPr>
          <w:sz w:val="16"/>
          <w:szCs w:val="16"/>
        </w:rPr>
        <w:t xml:space="preserve"> </w:t>
      </w:r>
      <w:r w:rsidR="000A245D" w:rsidRPr="00D15E74">
        <w:rPr>
          <w:sz w:val="16"/>
          <w:szCs w:val="16"/>
        </w:rPr>
        <w:t>Kamerstukken II 2025/26,</w:t>
      </w:r>
      <w:r w:rsidRPr="00D15E74">
        <w:rPr>
          <w:sz w:val="16"/>
          <w:szCs w:val="16"/>
        </w:rPr>
        <w:t xml:space="preserve"> 29282</w:t>
      </w:r>
      <w:r w:rsidR="000A245D" w:rsidRPr="00D15E74">
        <w:rPr>
          <w:sz w:val="16"/>
          <w:szCs w:val="16"/>
        </w:rPr>
        <w:t>, nr.</w:t>
      </w:r>
      <w:r w:rsidR="00D15E74">
        <w:rPr>
          <w:sz w:val="16"/>
          <w:szCs w:val="16"/>
        </w:rPr>
        <w:t xml:space="preserve"> </w:t>
      </w:r>
      <w:r w:rsidRPr="00D15E74">
        <w:rPr>
          <w:sz w:val="16"/>
          <w:szCs w:val="16"/>
        </w:rPr>
        <w:t>615</w:t>
      </w:r>
      <w:r w:rsidR="000A245D" w:rsidRPr="00D15E74">
        <w:rPr>
          <w:sz w:val="16"/>
          <w:szCs w:val="16"/>
        </w:rPr>
        <w:t>.</w:t>
      </w:r>
    </w:p>
  </w:footnote>
  <w:footnote w:id="22">
    <w:p w14:paraId="53837500" w14:textId="77777777" w:rsidR="00166927" w:rsidRPr="00166927" w:rsidRDefault="00082ACE">
      <w:pPr>
        <w:pStyle w:val="Voetnoottekst"/>
        <w:rPr>
          <w:sz w:val="16"/>
          <w:szCs w:val="16"/>
        </w:rPr>
      </w:pPr>
      <w:r w:rsidRPr="00166927">
        <w:rPr>
          <w:rStyle w:val="Voetnootmarkering"/>
          <w:sz w:val="16"/>
          <w:szCs w:val="16"/>
        </w:rPr>
        <w:footnoteRef/>
      </w:r>
      <w:r w:rsidRPr="00166927">
        <w:rPr>
          <w:sz w:val="16"/>
          <w:szCs w:val="16"/>
        </w:rPr>
        <w:t xml:space="preserve"> </w:t>
      </w:r>
      <w:r w:rsidR="00F60FAD">
        <w:rPr>
          <w:sz w:val="16"/>
          <w:szCs w:val="16"/>
        </w:rPr>
        <w:t>A</w:t>
      </w:r>
      <w:r w:rsidRPr="00166927">
        <w:rPr>
          <w:sz w:val="16"/>
          <w:szCs w:val="16"/>
        </w:rPr>
        <w:t xml:space="preserve">ctieprogramma Werken in de zorg (2018-2022) en het programma Toekomstbestendige Arbeidsmarkt in Zorg en welzijn (TAZ, 2022-2024).  </w:t>
      </w:r>
    </w:p>
  </w:footnote>
  <w:footnote w:id="23">
    <w:p w14:paraId="752C5524" w14:textId="77777777" w:rsidR="00D334A0" w:rsidRPr="0092671B" w:rsidRDefault="00082ACE" w:rsidP="00D334A0">
      <w:pPr>
        <w:pStyle w:val="Voetnoottekst"/>
        <w:rPr>
          <w:sz w:val="16"/>
          <w:szCs w:val="16"/>
        </w:rPr>
      </w:pPr>
      <w:r w:rsidRPr="0092671B">
        <w:rPr>
          <w:rStyle w:val="Voetnootmarkering"/>
          <w:sz w:val="16"/>
          <w:szCs w:val="16"/>
        </w:rPr>
        <w:footnoteRef/>
      </w:r>
      <w:r w:rsidRPr="0092671B">
        <w:rPr>
          <w:sz w:val="16"/>
          <w:szCs w:val="16"/>
        </w:rPr>
        <w:t xml:space="preserve"> Dit betreft voorlopige realisatiecijfers.</w:t>
      </w:r>
    </w:p>
  </w:footnote>
  <w:footnote w:id="24">
    <w:p w14:paraId="40CB459B" w14:textId="77777777" w:rsidR="00CC3CED" w:rsidRPr="00CC3CED" w:rsidRDefault="00082ACE">
      <w:pPr>
        <w:pStyle w:val="Voetnoottekst"/>
        <w:rPr>
          <w:sz w:val="16"/>
          <w:szCs w:val="16"/>
        </w:rPr>
      </w:pPr>
      <w:r w:rsidRPr="00CC3CED">
        <w:rPr>
          <w:rStyle w:val="Voetnootmarkering"/>
          <w:sz w:val="16"/>
          <w:szCs w:val="16"/>
        </w:rPr>
        <w:footnoteRef/>
      </w:r>
      <w:r w:rsidRPr="00CC3CED">
        <w:rPr>
          <w:sz w:val="16"/>
          <w:szCs w:val="16"/>
        </w:rPr>
        <w:t xml:space="preserve"> http://www.azwstatline.cbs.nl</w:t>
      </w:r>
      <w:r>
        <w:rPr>
          <w:sz w:val="16"/>
          <w:szCs w:val="16"/>
        </w:rPr>
        <w:t>/</w:t>
      </w:r>
    </w:p>
  </w:footnote>
  <w:footnote w:id="25">
    <w:p w14:paraId="513A2B24" w14:textId="77777777" w:rsidR="00D334A0" w:rsidRPr="006A68CC" w:rsidRDefault="00082ACE" w:rsidP="00D334A0">
      <w:pPr>
        <w:pStyle w:val="Voetnoottekst"/>
        <w:rPr>
          <w:sz w:val="16"/>
          <w:szCs w:val="16"/>
        </w:rPr>
      </w:pPr>
      <w:r w:rsidRPr="006A68CC">
        <w:rPr>
          <w:rStyle w:val="Voetnootmarkering"/>
          <w:sz w:val="16"/>
          <w:szCs w:val="16"/>
        </w:rPr>
        <w:footnoteRef/>
      </w:r>
      <w:r w:rsidRPr="006A68CC">
        <w:rPr>
          <w:sz w:val="16"/>
          <w:szCs w:val="16"/>
        </w:rPr>
        <w:t xml:space="preserve"> Zie ook </w:t>
      </w:r>
      <w:r>
        <w:rPr>
          <w:sz w:val="16"/>
          <w:szCs w:val="16"/>
        </w:rPr>
        <w:t xml:space="preserve">het </w:t>
      </w:r>
      <w:r w:rsidRPr="006A68CC">
        <w:rPr>
          <w:sz w:val="16"/>
          <w:szCs w:val="16"/>
        </w:rPr>
        <w:t>artikel</w:t>
      </w:r>
      <w:r>
        <w:rPr>
          <w:sz w:val="16"/>
          <w:szCs w:val="16"/>
        </w:rPr>
        <w:t xml:space="preserve"> in</w:t>
      </w:r>
      <w:r w:rsidRPr="006A68CC">
        <w:rPr>
          <w:sz w:val="16"/>
          <w:szCs w:val="16"/>
        </w:rPr>
        <w:t xml:space="preserve"> Zorgvisie: https://www.zorgvisie.nl/zo-verlaagde-slingeland-ziekenhuis-de-vertrekintentie-onder-verpleegkundigen-met-60-procent/</w:t>
      </w:r>
    </w:p>
  </w:footnote>
  <w:footnote w:id="26">
    <w:p w14:paraId="3F95EA21" w14:textId="77777777" w:rsidR="00D334A0" w:rsidRPr="00E66CB7" w:rsidRDefault="00082ACE" w:rsidP="00D334A0">
      <w:pPr>
        <w:pStyle w:val="Voetnoottekst"/>
        <w:rPr>
          <w:sz w:val="16"/>
          <w:szCs w:val="16"/>
        </w:rPr>
      </w:pPr>
      <w:r w:rsidRPr="00011254">
        <w:rPr>
          <w:rStyle w:val="Voetnootmarkering"/>
          <w:sz w:val="16"/>
          <w:szCs w:val="16"/>
        </w:rPr>
        <w:footnoteRef/>
      </w:r>
      <w:r w:rsidRPr="00011254">
        <w:rPr>
          <w:sz w:val="16"/>
          <w:szCs w:val="16"/>
        </w:rPr>
        <w:t xml:space="preserve"> Zie ook AZWA </w:t>
      </w:r>
      <w:r w:rsidRPr="00E66CB7">
        <w:rPr>
          <w:sz w:val="16"/>
          <w:szCs w:val="16"/>
        </w:rPr>
        <w:t>afspraak B3, onderdeel O.</w:t>
      </w:r>
    </w:p>
  </w:footnote>
  <w:footnote w:id="27">
    <w:p w14:paraId="7543DCF6" w14:textId="77777777" w:rsidR="00B05778" w:rsidRPr="00920F08" w:rsidRDefault="00082ACE" w:rsidP="00B05778">
      <w:pPr>
        <w:pStyle w:val="Voetnoottekst"/>
        <w:rPr>
          <w:sz w:val="16"/>
          <w:szCs w:val="16"/>
        </w:rPr>
      </w:pPr>
      <w:r w:rsidRPr="00E66CB7">
        <w:rPr>
          <w:rStyle w:val="Voetnootmarkering"/>
          <w:sz w:val="16"/>
          <w:szCs w:val="16"/>
        </w:rPr>
        <w:footnoteRef/>
      </w:r>
      <w:r w:rsidRPr="00E66CB7">
        <w:rPr>
          <w:sz w:val="16"/>
          <w:szCs w:val="16"/>
        </w:rPr>
        <w:t xml:space="preserve"> Kamerstukken II 2025/26, </w:t>
      </w:r>
      <w:r w:rsidRPr="00E66CB7">
        <w:rPr>
          <w:rFonts w:eastAsia="Verdana" w:cs="Verdana"/>
          <w:color w:val="auto"/>
          <w:sz w:val="16"/>
          <w:szCs w:val="16"/>
        </w:rPr>
        <w:t>29282, nr.</w:t>
      </w:r>
      <w:r w:rsidR="00D175B7">
        <w:rPr>
          <w:rFonts w:eastAsia="Verdana" w:cs="Verdana"/>
          <w:color w:val="auto"/>
          <w:sz w:val="16"/>
          <w:szCs w:val="16"/>
        </w:rPr>
        <w:t xml:space="preserve"> </w:t>
      </w:r>
      <w:r w:rsidRPr="00E66CB7">
        <w:rPr>
          <w:rFonts w:eastAsia="Verdana" w:cs="Verdana"/>
          <w:color w:val="auto"/>
          <w:sz w:val="16"/>
          <w:szCs w:val="16"/>
        </w:rPr>
        <w:t>621.</w:t>
      </w:r>
    </w:p>
  </w:footnote>
  <w:footnote w:id="28">
    <w:p w14:paraId="4780B590" w14:textId="77777777" w:rsidR="0087034D" w:rsidRPr="0087034D" w:rsidRDefault="00082ACE">
      <w:pPr>
        <w:pStyle w:val="Voetnoottekst"/>
        <w:rPr>
          <w:sz w:val="16"/>
          <w:szCs w:val="16"/>
        </w:rPr>
      </w:pPr>
      <w:r w:rsidRPr="0087034D">
        <w:rPr>
          <w:rStyle w:val="Voetnootmarkering"/>
          <w:sz w:val="16"/>
          <w:szCs w:val="16"/>
        </w:rPr>
        <w:footnoteRef/>
      </w:r>
      <w:r w:rsidRPr="0087034D">
        <w:rPr>
          <w:sz w:val="16"/>
          <w:szCs w:val="16"/>
        </w:rPr>
        <w:t xml:space="preserve"> Zie ook https://preventieplanvoorzenw.nl/</w:t>
      </w:r>
    </w:p>
  </w:footnote>
  <w:footnote w:id="29">
    <w:p w14:paraId="2FC23A3E" w14:textId="77777777" w:rsidR="009031B6" w:rsidRPr="00D175B7" w:rsidRDefault="00082ACE">
      <w:pPr>
        <w:pStyle w:val="Voetnoottekst"/>
        <w:rPr>
          <w:sz w:val="16"/>
          <w:szCs w:val="16"/>
        </w:rPr>
      </w:pPr>
      <w:r w:rsidRPr="00D175B7">
        <w:rPr>
          <w:rStyle w:val="Voetnootmarkering"/>
          <w:sz w:val="16"/>
          <w:szCs w:val="16"/>
        </w:rPr>
        <w:footnoteRef/>
      </w:r>
      <w:r w:rsidRPr="00D175B7">
        <w:rPr>
          <w:sz w:val="16"/>
          <w:szCs w:val="16"/>
        </w:rPr>
        <w:t xml:space="preserve"> Zie ook https://www.campagnetoolkits.nl/tel-tot-11</w:t>
      </w:r>
    </w:p>
  </w:footnote>
  <w:footnote w:id="30">
    <w:p w14:paraId="494129B3" w14:textId="77777777" w:rsidR="00CC1EA1" w:rsidRPr="00D175B7" w:rsidRDefault="00082ACE">
      <w:pPr>
        <w:pStyle w:val="Voetnoottekst"/>
        <w:rPr>
          <w:sz w:val="16"/>
          <w:szCs w:val="16"/>
        </w:rPr>
      </w:pPr>
      <w:r w:rsidRPr="00D175B7">
        <w:rPr>
          <w:rStyle w:val="Voetnootmarkering"/>
          <w:sz w:val="16"/>
          <w:szCs w:val="16"/>
        </w:rPr>
        <w:footnoteRef/>
      </w:r>
      <w:r w:rsidRPr="00D175B7">
        <w:rPr>
          <w:sz w:val="16"/>
          <w:szCs w:val="16"/>
        </w:rPr>
        <w:t xml:space="preserve"> Het is niet mogelijk om het exacte bereik van de radiocommercial te meten omdat het niet meetbaar is hoeveel mensen er exact op het moment van uitzenden van de commercial naar de radio luisterden. De intensiteit van uitzenden was dusdanig dat de gemiddelde luisteraar de radiocommercial meermaals heeft kunnen horen. </w:t>
      </w:r>
    </w:p>
  </w:footnote>
  <w:footnote w:id="31">
    <w:p w14:paraId="63E99550" w14:textId="77777777" w:rsidR="006313EE" w:rsidRPr="00D175B7" w:rsidRDefault="00082ACE" w:rsidP="006313EE">
      <w:pPr>
        <w:pStyle w:val="Voetnoottekst"/>
        <w:rPr>
          <w:sz w:val="16"/>
          <w:szCs w:val="16"/>
        </w:rPr>
      </w:pPr>
      <w:r w:rsidRPr="00D175B7">
        <w:rPr>
          <w:rStyle w:val="Voetnootmarkering"/>
          <w:sz w:val="16"/>
          <w:szCs w:val="16"/>
        </w:rPr>
        <w:footnoteRef/>
      </w:r>
      <w:r w:rsidRPr="00D175B7">
        <w:rPr>
          <w:sz w:val="16"/>
          <w:szCs w:val="16"/>
        </w:rPr>
        <w:t xml:space="preserve"> </w:t>
      </w:r>
      <w:r w:rsidRPr="00D175B7">
        <w:rPr>
          <w:rFonts w:eastAsia="Verdana" w:cs="Verdana"/>
          <w:color w:val="auto"/>
          <w:sz w:val="16"/>
          <w:szCs w:val="16"/>
        </w:rPr>
        <w:t>D</w:t>
      </w:r>
      <w:r w:rsidR="00A91D96" w:rsidRPr="00D175B7">
        <w:rPr>
          <w:rFonts w:eastAsia="Verdana" w:cs="Verdana"/>
          <w:color w:val="auto"/>
          <w:sz w:val="16"/>
          <w:szCs w:val="16"/>
        </w:rPr>
        <w:t>i</w:t>
      </w:r>
      <w:r w:rsidRPr="00D175B7">
        <w:rPr>
          <w:rFonts w:eastAsia="Verdana" w:cs="Verdana"/>
          <w:color w:val="auto"/>
          <w:sz w:val="16"/>
          <w:szCs w:val="16"/>
        </w:rPr>
        <w:t>t is het aantal keer dat de commercial is bekeken of beluisterd. Het bereik is niet hetzelfde als het aantal luisteraars of kijkers omdat één persoon ook meermaals de commercial kan hebben gezien of gehoord.</w:t>
      </w:r>
    </w:p>
  </w:footnote>
  <w:footnote w:id="32">
    <w:p w14:paraId="1311FD60" w14:textId="77777777" w:rsidR="00A91D96" w:rsidRDefault="00082ACE">
      <w:pPr>
        <w:pStyle w:val="Voetnoottekst"/>
      </w:pPr>
      <w:r w:rsidRPr="00D175B7">
        <w:rPr>
          <w:rStyle w:val="Voetnootmarkering"/>
          <w:sz w:val="16"/>
          <w:szCs w:val="16"/>
        </w:rPr>
        <w:footnoteRef/>
      </w:r>
      <w:r w:rsidRPr="00D175B7">
        <w:rPr>
          <w:sz w:val="16"/>
          <w:szCs w:val="16"/>
        </w:rPr>
        <w:t xml:space="preserve"> Het gaat hier om het aantal keer dat een bericht is gehoord of gezien, het zijn dus geen unieke luisteraars of lezers.</w:t>
      </w:r>
    </w:p>
  </w:footnote>
  <w:footnote w:id="33">
    <w:p w14:paraId="34320126" w14:textId="77777777" w:rsidR="00276098" w:rsidRPr="00E66CB7" w:rsidRDefault="00082ACE">
      <w:pPr>
        <w:pStyle w:val="Voetnoottekst"/>
        <w:rPr>
          <w:sz w:val="16"/>
          <w:szCs w:val="16"/>
        </w:rPr>
      </w:pPr>
      <w:r w:rsidRPr="00E66CB7">
        <w:rPr>
          <w:rStyle w:val="Voetnootmarkering"/>
          <w:sz w:val="16"/>
          <w:szCs w:val="16"/>
        </w:rPr>
        <w:footnoteRef/>
      </w:r>
      <w:r w:rsidRPr="00E66CB7">
        <w:rPr>
          <w:sz w:val="16"/>
          <w:szCs w:val="16"/>
        </w:rPr>
        <w:t xml:space="preserve"> </w:t>
      </w:r>
      <w:r w:rsidR="00916777" w:rsidRPr="00E66CB7">
        <w:rPr>
          <w:sz w:val="16"/>
          <w:szCs w:val="16"/>
        </w:rPr>
        <w:t>’</w:t>
      </w:r>
      <w:r w:rsidRPr="00E66CB7">
        <w:rPr>
          <w:sz w:val="16"/>
          <w:szCs w:val="16"/>
        </w:rPr>
        <w:t>Is allemaal mooi, op papier</w:t>
      </w:r>
      <w:r w:rsidR="00916777" w:rsidRPr="00E66CB7">
        <w:rPr>
          <w:sz w:val="16"/>
          <w:szCs w:val="16"/>
        </w:rPr>
        <w:t xml:space="preserve">. Handvatten Discriminatie en Seksueel Grensoverschrijdend Gedrag in de Zorg’, </w:t>
      </w:r>
      <w:r w:rsidRPr="00E66CB7">
        <w:rPr>
          <w:sz w:val="16"/>
          <w:szCs w:val="16"/>
        </w:rPr>
        <w:t>Amsterdam UMC en Pharos</w:t>
      </w:r>
      <w:r w:rsidR="003E2923" w:rsidRPr="00E66CB7">
        <w:rPr>
          <w:sz w:val="16"/>
          <w:szCs w:val="16"/>
        </w:rPr>
        <w:t xml:space="preserve"> </w:t>
      </w:r>
      <w:r w:rsidR="00916777" w:rsidRPr="00E66CB7">
        <w:rPr>
          <w:sz w:val="16"/>
          <w:szCs w:val="16"/>
        </w:rPr>
        <w:t>(november 2024)</w:t>
      </w:r>
      <w:r w:rsidR="00E66CB7" w:rsidRPr="00E66CB7">
        <w:rPr>
          <w:sz w:val="16"/>
          <w:szCs w:val="16"/>
        </w:rPr>
        <w:t>.</w:t>
      </w:r>
    </w:p>
  </w:footnote>
  <w:footnote w:id="34">
    <w:p w14:paraId="7D62EE43" w14:textId="77777777" w:rsidR="001B1C46" w:rsidRDefault="00082ACE">
      <w:pPr>
        <w:pStyle w:val="Voetnoottekst"/>
      </w:pPr>
      <w:r w:rsidRPr="00E66CB7">
        <w:rPr>
          <w:rStyle w:val="Voetnootmarkering"/>
          <w:sz w:val="16"/>
          <w:szCs w:val="16"/>
        </w:rPr>
        <w:footnoteRef/>
      </w:r>
      <w:r w:rsidRPr="00E66CB7">
        <w:rPr>
          <w:sz w:val="16"/>
          <w:szCs w:val="16"/>
        </w:rPr>
        <w:t xml:space="preserve"> Zie ook https://regioplus.nl/regionaal-werkt/</w:t>
      </w:r>
    </w:p>
  </w:footnote>
  <w:footnote w:id="35">
    <w:p w14:paraId="575B69EA" w14:textId="77777777" w:rsidR="00B05778" w:rsidRPr="00B05778" w:rsidRDefault="00082ACE">
      <w:pPr>
        <w:pStyle w:val="Voetnoottekst"/>
        <w:rPr>
          <w:sz w:val="16"/>
          <w:szCs w:val="16"/>
        </w:rPr>
      </w:pPr>
      <w:r w:rsidRPr="00B05778">
        <w:rPr>
          <w:rStyle w:val="Voetnootmarkering"/>
          <w:sz w:val="16"/>
          <w:szCs w:val="16"/>
        </w:rPr>
        <w:footnoteRef/>
      </w:r>
      <w:r w:rsidRPr="00B05778">
        <w:rPr>
          <w:sz w:val="16"/>
          <w:szCs w:val="16"/>
        </w:rPr>
        <w:t xml:space="preserve"> Zie ook https://deworkflow.nl/</w:t>
      </w:r>
    </w:p>
  </w:footnote>
  <w:footnote w:id="36">
    <w:p w14:paraId="68FB0D4C" w14:textId="77777777" w:rsidR="00B05778" w:rsidRPr="00B05778" w:rsidRDefault="00082ACE">
      <w:pPr>
        <w:pStyle w:val="Voetnoottekst"/>
        <w:rPr>
          <w:sz w:val="16"/>
          <w:szCs w:val="16"/>
        </w:rPr>
      </w:pPr>
      <w:r w:rsidRPr="00B05778">
        <w:rPr>
          <w:rStyle w:val="Voetnootmarkering"/>
          <w:sz w:val="16"/>
          <w:szCs w:val="16"/>
        </w:rPr>
        <w:footnoteRef/>
      </w:r>
      <w:r w:rsidRPr="00B05778">
        <w:rPr>
          <w:sz w:val="16"/>
          <w:szCs w:val="16"/>
        </w:rPr>
        <w:t xml:space="preserve"> Zie ook https://bincwerk.nl/2026/03/26/bnc-dubbele-winnaar-hr-zorg-award/</w:t>
      </w:r>
    </w:p>
  </w:footnote>
  <w:footnote w:id="37">
    <w:p w14:paraId="023A0DE8" w14:textId="77777777" w:rsidR="00B05778" w:rsidRPr="008873F6" w:rsidRDefault="00082ACE">
      <w:pPr>
        <w:pStyle w:val="Voetnoottekst"/>
        <w:rPr>
          <w:sz w:val="16"/>
          <w:szCs w:val="16"/>
        </w:rPr>
      </w:pPr>
      <w:r w:rsidRPr="008873F6">
        <w:rPr>
          <w:rStyle w:val="Voetnootmarkering"/>
          <w:sz w:val="16"/>
          <w:szCs w:val="16"/>
        </w:rPr>
        <w:footnoteRef/>
      </w:r>
      <w:r w:rsidRPr="008873F6">
        <w:rPr>
          <w:sz w:val="16"/>
          <w:szCs w:val="16"/>
        </w:rPr>
        <w:t xml:space="preserve"> Zie ook </w:t>
      </w:r>
      <w:r w:rsidR="008873F6" w:rsidRPr="008873F6">
        <w:rPr>
          <w:sz w:val="16"/>
          <w:szCs w:val="16"/>
        </w:rPr>
        <w:t>https://flair-brabant.nl/</w:t>
      </w:r>
    </w:p>
  </w:footnote>
  <w:footnote w:id="38">
    <w:p w14:paraId="083422F9" w14:textId="77777777" w:rsidR="00FC0649" w:rsidRPr="0087034D" w:rsidRDefault="00082ACE">
      <w:pPr>
        <w:pStyle w:val="Voetnoottekst"/>
        <w:rPr>
          <w:sz w:val="16"/>
          <w:szCs w:val="16"/>
        </w:rPr>
      </w:pPr>
      <w:r w:rsidRPr="0087034D">
        <w:rPr>
          <w:rStyle w:val="Voetnootmarkering"/>
          <w:sz w:val="16"/>
          <w:szCs w:val="16"/>
        </w:rPr>
        <w:footnoteRef/>
      </w:r>
      <w:r w:rsidRPr="0087034D">
        <w:rPr>
          <w:sz w:val="16"/>
          <w:szCs w:val="16"/>
        </w:rPr>
        <w:t xml:space="preserve"> </w:t>
      </w:r>
      <w:r w:rsidRPr="00FC0649">
        <w:rPr>
          <w:rFonts w:eastAsia="Verdana" w:cs="Verdana"/>
          <w:color w:val="auto"/>
          <w:sz w:val="16"/>
          <w:szCs w:val="16"/>
        </w:rPr>
        <w:t xml:space="preserve">Buitenslands gediplomeerden zijn zorgmedewerkers die in het buitenland zijn opgeleid en aldaar een (niet-Nederlands) diploma hebben </w:t>
      </w:r>
      <w:r w:rsidRPr="00FC0649">
        <w:rPr>
          <w:rFonts w:eastAsia="Verdana" w:cs="Verdana"/>
          <w:color w:val="auto"/>
          <w:sz w:val="16"/>
          <w:szCs w:val="16"/>
        </w:rPr>
        <w:t>verkregen. Dit kunnen zorgmedewerkers met een diploma van buiten de Europese Economische Ruimte (derdelands diploma) of zorgmedewerkers met een Europees diploma zijn.</w:t>
      </w:r>
    </w:p>
  </w:footnote>
  <w:footnote w:id="39">
    <w:p w14:paraId="532E6BF2" w14:textId="77777777" w:rsidR="00FB3D23" w:rsidRPr="0087034D" w:rsidRDefault="00082ACE">
      <w:pPr>
        <w:pStyle w:val="Voetnoottekst"/>
        <w:rPr>
          <w:sz w:val="16"/>
          <w:szCs w:val="16"/>
        </w:rPr>
      </w:pPr>
      <w:r w:rsidRPr="0087034D">
        <w:rPr>
          <w:rStyle w:val="Voetnootmarkering"/>
          <w:sz w:val="16"/>
          <w:szCs w:val="16"/>
        </w:rPr>
        <w:footnoteRef/>
      </w:r>
      <w:r w:rsidRPr="0087034D">
        <w:rPr>
          <w:sz w:val="16"/>
          <w:szCs w:val="16"/>
        </w:rPr>
        <w:t xml:space="preserve"> </w:t>
      </w:r>
      <w:r w:rsidRPr="0087034D">
        <w:rPr>
          <w:rFonts w:eastAsia="Verdana" w:cs="Verdana"/>
          <w:color w:val="auto"/>
          <w:sz w:val="16"/>
          <w:szCs w:val="16"/>
        </w:rPr>
        <w:t>Kamerstukken II 2024/25, 36600 XVI, nr. 200, Bijlage.</w:t>
      </w:r>
    </w:p>
  </w:footnote>
  <w:footnote w:id="40">
    <w:p w14:paraId="36F00A4E" w14:textId="77777777" w:rsidR="00FB3D23" w:rsidRPr="0087034D" w:rsidRDefault="00082ACE">
      <w:pPr>
        <w:pStyle w:val="Voetnoottekst"/>
        <w:rPr>
          <w:sz w:val="16"/>
          <w:szCs w:val="16"/>
        </w:rPr>
      </w:pPr>
      <w:r w:rsidRPr="0087034D">
        <w:rPr>
          <w:rStyle w:val="Voetnootmarkering"/>
          <w:sz w:val="16"/>
          <w:szCs w:val="16"/>
        </w:rPr>
        <w:footnoteRef/>
      </w:r>
      <w:r w:rsidRPr="0087034D">
        <w:rPr>
          <w:sz w:val="16"/>
          <w:szCs w:val="16"/>
        </w:rPr>
        <w:t xml:space="preserve"> Kamerstuk</w:t>
      </w:r>
      <w:r w:rsidR="00402297">
        <w:rPr>
          <w:sz w:val="16"/>
          <w:szCs w:val="16"/>
        </w:rPr>
        <w:t>ken</w:t>
      </w:r>
      <w:r w:rsidRPr="0087034D">
        <w:rPr>
          <w:sz w:val="16"/>
          <w:szCs w:val="16"/>
        </w:rPr>
        <w:t xml:space="preserve"> II 2025/26, 29 282, nr. 615.</w:t>
      </w:r>
    </w:p>
  </w:footnote>
  <w:footnote w:id="41">
    <w:p w14:paraId="31C8365E" w14:textId="77777777" w:rsidR="00402297" w:rsidRPr="00402297" w:rsidRDefault="00082ACE" w:rsidP="00402297">
      <w:pPr>
        <w:pStyle w:val="Voetnoottekst"/>
        <w:rPr>
          <w:sz w:val="16"/>
          <w:szCs w:val="16"/>
        </w:rPr>
      </w:pPr>
      <w:r w:rsidRPr="00402297">
        <w:rPr>
          <w:rStyle w:val="Voetnootmarkering"/>
          <w:sz w:val="16"/>
          <w:szCs w:val="16"/>
        </w:rPr>
        <w:footnoteRef/>
      </w:r>
      <w:r>
        <w:rPr>
          <w:sz w:val="16"/>
          <w:szCs w:val="16"/>
        </w:rPr>
        <w:t xml:space="preserve"> Kamerstukken II</w:t>
      </w:r>
      <w:r w:rsidRPr="00402297">
        <w:rPr>
          <w:sz w:val="16"/>
          <w:szCs w:val="16"/>
        </w:rPr>
        <w:t>, 2025-2026, 32 279, nr. 281</w:t>
      </w:r>
      <w:hyperlink r:id="rId3" w:history="1"/>
      <w:r w:rsidRPr="00402297">
        <w:rPr>
          <w:sz w:val="16"/>
          <w:szCs w:val="16"/>
        </w:rPr>
        <w:t>.</w:t>
      </w:r>
    </w:p>
  </w:footnote>
  <w:footnote w:id="42">
    <w:p w14:paraId="68DA7A6E" w14:textId="77777777" w:rsidR="00402297" w:rsidRDefault="00082ACE" w:rsidP="00402297">
      <w:pPr>
        <w:pStyle w:val="Voetnoottekst"/>
      </w:pPr>
      <w:r w:rsidRPr="00402297">
        <w:rPr>
          <w:rStyle w:val="Voetnootmarkering"/>
          <w:sz w:val="16"/>
          <w:szCs w:val="16"/>
        </w:rPr>
        <w:footnoteRef/>
      </w:r>
      <w:r w:rsidRPr="00402297">
        <w:rPr>
          <w:sz w:val="16"/>
          <w:szCs w:val="16"/>
        </w:rPr>
        <w:t xml:space="preserve"> Als iemand binnen een half uur één of meer keer arbeid uit oproep verricht, moet de arbeid minstens een half uur duren. Wanneer iemand binnen een half uur</w:t>
      </w:r>
      <w:r w:rsidRPr="006166C0">
        <w:rPr>
          <w:sz w:val="18"/>
          <w:szCs w:val="18"/>
        </w:rPr>
        <w:t xml:space="preserve"> </w:t>
      </w:r>
      <w:r w:rsidRPr="00402297">
        <w:rPr>
          <w:sz w:val="16"/>
          <w:szCs w:val="16"/>
        </w:rPr>
        <w:t>na beëindiging van de arbeid die voortvloeit uit een oproep opnieuw een oproep krijgt, is de tussenliggende tijd arbeid.</w:t>
      </w:r>
      <w:r>
        <w:t xml:space="preserve"> </w:t>
      </w:r>
    </w:p>
  </w:footnote>
  <w:footnote w:id="43">
    <w:p w14:paraId="2097B657" w14:textId="77777777" w:rsidR="009C4E3F" w:rsidRPr="00CA0194" w:rsidRDefault="00082ACE">
      <w:pPr>
        <w:pStyle w:val="Voetnoottekst"/>
        <w:rPr>
          <w:sz w:val="16"/>
          <w:szCs w:val="16"/>
        </w:rPr>
      </w:pPr>
      <w:r w:rsidRPr="00CA0194">
        <w:rPr>
          <w:rStyle w:val="Voetnootmarkering"/>
          <w:sz w:val="16"/>
          <w:szCs w:val="16"/>
        </w:rPr>
        <w:footnoteRef/>
      </w:r>
      <w:r w:rsidRPr="00CA0194">
        <w:rPr>
          <w:sz w:val="16"/>
          <w:szCs w:val="16"/>
        </w:rPr>
        <w:t xml:space="preserve"> Kamerstukken II</w:t>
      </w:r>
      <w:r>
        <w:rPr>
          <w:sz w:val="16"/>
          <w:szCs w:val="16"/>
        </w:rPr>
        <w:t xml:space="preserve"> 2025/26, TZ202510, nr.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AA2F" w14:textId="77777777" w:rsidR="00402720" w:rsidRDefault="00082ACE">
    <w:r>
      <w:rPr>
        <w:noProof/>
      </w:rPr>
      <mc:AlternateContent>
        <mc:Choice Requires="wps">
          <w:drawing>
            <wp:anchor distT="0" distB="0" distL="0" distR="0" simplePos="0" relativeHeight="251658240" behindDoc="0" locked="1" layoutInCell="1" allowOverlap="1" wp14:anchorId="7D8F8DFD" wp14:editId="07472EEB">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18E49F" w14:textId="77777777" w:rsidR="00402720" w:rsidRDefault="00402720">
                          <w:pPr>
                            <w:pStyle w:val="WitregelW1"/>
                          </w:pPr>
                        </w:p>
                        <w:p w14:paraId="5E077204" w14:textId="77777777" w:rsidR="00DC40C5" w:rsidRPr="00F82290" w:rsidRDefault="00082ACE" w:rsidP="00DC40C5">
                          <w:pPr>
                            <w:rPr>
                              <w:sz w:val="13"/>
                              <w:szCs w:val="13"/>
                            </w:rPr>
                          </w:pPr>
                          <w:r w:rsidRPr="00F82290">
                            <w:rPr>
                              <w:b/>
                              <w:bCs/>
                              <w:sz w:val="13"/>
                              <w:szCs w:val="13"/>
                            </w:rPr>
                            <w:t xml:space="preserve">Kenmerk </w:t>
                          </w:r>
                        </w:p>
                        <w:p w14:paraId="5EADDD84" w14:textId="77777777" w:rsidR="00DC40C5" w:rsidRPr="00DC40C5" w:rsidRDefault="00082ACE" w:rsidP="00DC40C5">
                          <w:pPr>
                            <w:pStyle w:val="Huisstijl-Referentiegegevens"/>
                            <w:rPr>
                              <w:szCs w:val="13"/>
                            </w:rPr>
                          </w:pPr>
                          <w:r w:rsidRPr="00DC40C5">
                            <w:rPr>
                              <w:szCs w:val="13"/>
                            </w:rPr>
                            <w:t>4388264-1099058-MEVA</w:t>
                          </w:r>
                        </w:p>
                        <w:p w14:paraId="4F17F788" w14:textId="2BD1B790" w:rsidR="00402720" w:rsidRDefault="00082ACE">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7D8F8DFD"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818E49F" w14:textId="77777777" w:rsidR="00402720" w:rsidRDefault="00402720">
                    <w:pPr>
                      <w:pStyle w:val="WitregelW1"/>
                    </w:pPr>
                  </w:p>
                  <w:p w14:paraId="5E077204" w14:textId="77777777" w:rsidR="00DC40C5" w:rsidRPr="00F82290" w:rsidRDefault="00082ACE" w:rsidP="00DC40C5">
                    <w:pPr>
                      <w:rPr>
                        <w:sz w:val="13"/>
                        <w:szCs w:val="13"/>
                      </w:rPr>
                    </w:pPr>
                    <w:r w:rsidRPr="00F82290">
                      <w:rPr>
                        <w:b/>
                        <w:bCs/>
                        <w:sz w:val="13"/>
                        <w:szCs w:val="13"/>
                      </w:rPr>
                      <w:t xml:space="preserve">Kenmerk </w:t>
                    </w:r>
                  </w:p>
                  <w:p w14:paraId="5EADDD84" w14:textId="77777777" w:rsidR="00DC40C5" w:rsidRPr="00DC40C5" w:rsidRDefault="00082ACE" w:rsidP="00DC40C5">
                    <w:pPr>
                      <w:pStyle w:val="Huisstijl-Referentiegegevens"/>
                      <w:rPr>
                        <w:szCs w:val="13"/>
                      </w:rPr>
                    </w:pPr>
                    <w:r w:rsidRPr="00DC40C5">
                      <w:rPr>
                        <w:szCs w:val="13"/>
                      </w:rPr>
                      <w:t>4388264-1099058-MEVA</w:t>
                    </w:r>
                  </w:p>
                  <w:p w14:paraId="4F17F788" w14:textId="2BD1B790" w:rsidR="00402720" w:rsidRDefault="00082ACE">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0DF9CF3" wp14:editId="2D94FD3B">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2B16AC" w14:textId="77777777" w:rsidR="00BF3DEE" w:rsidRDefault="00BF3DEE"/>
                      </w:txbxContent>
                    </wps:txbx>
                    <wps:bodyPr vert="horz" wrap="square" lIns="0" tIns="0" rIns="0" bIns="0" anchor="t" anchorCtr="0"/>
                  </wps:wsp>
                </a:graphicData>
              </a:graphic>
            </wp:anchor>
          </w:drawing>
        </mc:Choice>
        <mc:Fallback>
          <w:pict>
            <v:shape w14:anchorId="50DF9CF3" id="46fef06f-aa3c-11ea-a756-beb5f67e67be" o:spid="_x0000_s1027" type="#_x0000_t202" alt="Voettekst"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72B16AC" w14:textId="77777777" w:rsidR="00BF3DEE" w:rsidRDefault="00BF3DE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7C389F0" wp14:editId="338F9D4C">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01B050" w14:textId="77777777" w:rsidR="00402720" w:rsidRDefault="00082ACE">
                          <w:pPr>
                            <w:pStyle w:val="Referentiegegevens"/>
                          </w:pPr>
                          <w:r>
                            <w:t xml:space="preserve">Pagina </w:t>
                          </w:r>
                          <w:r>
                            <w:fldChar w:fldCharType="begin"/>
                          </w:r>
                          <w:r>
                            <w:instrText>PAGE</w:instrText>
                          </w:r>
                          <w:r>
                            <w:fldChar w:fldCharType="separate"/>
                          </w:r>
                          <w:r w:rsidR="00C63ABE">
                            <w:rPr>
                              <w:noProof/>
                            </w:rPr>
                            <w:t>1</w:t>
                          </w:r>
                          <w:r>
                            <w:fldChar w:fldCharType="end"/>
                          </w:r>
                          <w:r>
                            <w:t xml:space="preserve"> van </w:t>
                          </w:r>
                          <w:r>
                            <w:fldChar w:fldCharType="begin"/>
                          </w:r>
                          <w:r>
                            <w:instrText>NUMPAGES</w:instrText>
                          </w:r>
                          <w:r>
                            <w:fldChar w:fldCharType="separate"/>
                          </w:r>
                          <w:r w:rsidR="00C63ABE">
                            <w:rPr>
                              <w:noProof/>
                            </w:rPr>
                            <w:t>1</w:t>
                          </w:r>
                          <w:r>
                            <w:fldChar w:fldCharType="end"/>
                          </w:r>
                        </w:p>
                      </w:txbxContent>
                    </wps:txbx>
                    <wps:bodyPr vert="horz" wrap="square" lIns="0" tIns="0" rIns="0" bIns="0" anchor="t" anchorCtr="0"/>
                  </wps:wsp>
                </a:graphicData>
              </a:graphic>
            </wp:anchor>
          </w:drawing>
        </mc:Choice>
        <mc:Fallback>
          <w:pict>
            <v:shape w14:anchorId="47C389F0" id="46fef0b8-aa3c-11ea-a756-beb5f67e67be" o:spid="_x0000_s1028"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001B050" w14:textId="77777777" w:rsidR="00402720" w:rsidRDefault="00082ACE">
                    <w:pPr>
                      <w:pStyle w:val="Referentiegegevens"/>
                    </w:pPr>
                    <w:r>
                      <w:t xml:space="preserve">Pagina </w:t>
                    </w:r>
                    <w:r>
                      <w:fldChar w:fldCharType="begin"/>
                    </w:r>
                    <w:r>
                      <w:instrText>PAGE</w:instrText>
                    </w:r>
                    <w:r>
                      <w:fldChar w:fldCharType="separate"/>
                    </w:r>
                    <w:r w:rsidR="00C63ABE">
                      <w:rPr>
                        <w:noProof/>
                      </w:rPr>
                      <w:t>1</w:t>
                    </w:r>
                    <w:r>
                      <w:fldChar w:fldCharType="end"/>
                    </w:r>
                    <w:r>
                      <w:t xml:space="preserve"> van </w:t>
                    </w:r>
                    <w:r>
                      <w:fldChar w:fldCharType="begin"/>
                    </w:r>
                    <w:r>
                      <w:instrText>NUMPAGES</w:instrText>
                    </w:r>
                    <w:r>
                      <w:fldChar w:fldCharType="separate"/>
                    </w:r>
                    <w:r w:rsidR="00C63ABE">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A695" w14:textId="77777777" w:rsidR="00402720" w:rsidRDefault="00082ACE">
    <w:pPr>
      <w:spacing w:after="6377" w:line="14" w:lineRule="exact"/>
    </w:pPr>
    <w:r>
      <w:rPr>
        <w:noProof/>
      </w:rPr>
      <mc:AlternateContent>
        <mc:Choice Requires="wps">
          <w:drawing>
            <wp:anchor distT="0" distB="0" distL="0" distR="0" simplePos="0" relativeHeight="251664384" behindDoc="0" locked="1" layoutInCell="1" allowOverlap="1" wp14:anchorId="27922FAC" wp14:editId="2E3BA2C4">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B9541D" w14:textId="77777777" w:rsidR="00DC40C5" w:rsidRDefault="00082ACE" w:rsidP="00DC40C5">
                          <w:pPr>
                            <w:pStyle w:val="Huisstijl-Toezendgegevens"/>
                          </w:pPr>
                          <w:r>
                            <w:t>De Voorzitter van de Tweede Kamer</w:t>
                          </w:r>
                          <w:r>
                            <w:br/>
                            <w:t>der Staten-Generaal</w:t>
                          </w:r>
                          <w:r>
                            <w:br/>
                            <w:t>Postbus 20018</w:t>
                          </w:r>
                          <w:r>
                            <w:br/>
                            <w:t>2500 EA  DEN HAAG</w:t>
                          </w:r>
                        </w:p>
                        <w:p w14:paraId="7FDC9840" w14:textId="77777777" w:rsidR="00BF3DEE" w:rsidRDefault="00BF3DEE"/>
                      </w:txbxContent>
                    </wps:txbx>
                    <wps:bodyPr vert="horz" wrap="square" lIns="0" tIns="0" rIns="0" bIns="0" anchor="t" anchorCtr="0"/>
                  </wps:wsp>
                </a:graphicData>
              </a:graphic>
            </wp:anchor>
          </w:drawing>
        </mc:Choice>
        <mc:Fallback>
          <w:pict>
            <v:shapetype w14:anchorId="27922FAC"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B9541D" w14:textId="77777777" w:rsidR="00DC40C5" w:rsidRDefault="00082ACE" w:rsidP="00DC40C5">
                    <w:pPr>
                      <w:pStyle w:val="Huisstijl-Toezendgegevens"/>
                    </w:pPr>
                    <w:r>
                      <w:t>De Voorzitter van de Tweede Kamer</w:t>
                    </w:r>
                    <w:r>
                      <w:br/>
                      <w:t>der Staten-Generaal</w:t>
                    </w:r>
                    <w:r>
                      <w:br/>
                      <w:t>Postbus 20018</w:t>
                    </w:r>
                    <w:r>
                      <w:br/>
                      <w:t>2500 EA  DEN HAAG</w:t>
                    </w:r>
                  </w:p>
                  <w:p w14:paraId="7FDC9840" w14:textId="77777777" w:rsidR="00BF3DEE" w:rsidRDefault="00BF3DEE"/>
                </w:txbxContent>
              </v:textbox>
              <w10:wrap anchorx="page"/>
              <w10:anchorlock/>
            </v:shape>
          </w:pict>
        </mc:Fallback>
      </mc:AlternateContent>
    </w:r>
    <w:r>
      <w:rPr>
        <w:noProof/>
      </w:rPr>
      <mc:AlternateContent>
        <mc:Choice Requires="wps">
          <w:drawing>
            <wp:anchor distT="0" distB="0" distL="0" distR="0" simplePos="0" relativeHeight="251666432" behindDoc="0" locked="1" layoutInCell="1" allowOverlap="1" wp14:anchorId="40E00568" wp14:editId="6D3C3634">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410D2" w14:paraId="6453A0E2" w14:textId="77777777">
                            <w:trPr>
                              <w:trHeight w:val="240"/>
                            </w:trPr>
                            <w:tc>
                              <w:tcPr>
                                <w:tcW w:w="1140" w:type="dxa"/>
                              </w:tcPr>
                              <w:p w14:paraId="73D25633" w14:textId="77777777" w:rsidR="00402720" w:rsidRDefault="00082ACE">
                                <w:r>
                                  <w:t>Datum</w:t>
                                </w:r>
                              </w:p>
                            </w:tc>
                            <w:tc>
                              <w:tcPr>
                                <w:tcW w:w="5918" w:type="dxa"/>
                              </w:tcPr>
                              <w:p w14:paraId="6741D9F6" w14:textId="7BF8E8D2" w:rsidR="00402720" w:rsidRDefault="007F1C45">
                                <w:r>
                                  <w:t>2 juni 2026</w:t>
                                </w:r>
                              </w:p>
                            </w:tc>
                          </w:tr>
                          <w:tr w:rsidR="002410D2" w14:paraId="2B4DD8AD" w14:textId="77777777">
                            <w:trPr>
                              <w:trHeight w:val="240"/>
                            </w:trPr>
                            <w:tc>
                              <w:tcPr>
                                <w:tcW w:w="1140" w:type="dxa"/>
                              </w:tcPr>
                              <w:p w14:paraId="774FFB3B" w14:textId="77777777" w:rsidR="00402720" w:rsidRDefault="00082ACE">
                                <w:r>
                                  <w:t>Betreft</w:t>
                                </w:r>
                              </w:p>
                            </w:tc>
                            <w:tc>
                              <w:tcPr>
                                <w:tcW w:w="5918" w:type="dxa"/>
                              </w:tcPr>
                              <w:p w14:paraId="5265ED4F" w14:textId="77777777" w:rsidR="00402720" w:rsidRDefault="00082ACE">
                                <w:r>
                                  <w:t xml:space="preserve">Arbeidsmarktbeleid in </w:t>
                                </w:r>
                                <w:r w:rsidR="00B14EC8">
                                  <w:t>zorg en welzijn</w:t>
                                </w:r>
                              </w:p>
                            </w:tc>
                          </w:tr>
                        </w:tbl>
                        <w:p w14:paraId="647E2AAE" w14:textId="77777777" w:rsidR="00BF3DEE" w:rsidRDefault="00BF3DEE"/>
                      </w:txbxContent>
                    </wps:txbx>
                    <wps:bodyPr vert="horz" wrap="square" lIns="0" tIns="0" rIns="0" bIns="0" anchor="t" anchorCtr="0"/>
                  </wps:wsp>
                </a:graphicData>
              </a:graphic>
            </wp:anchor>
          </w:drawing>
        </mc:Choice>
        <mc:Fallback>
          <w:pict>
            <v:shape w14:anchorId="40E00568" id="46feebd0-aa3c-11ea-a756-beb5f67e67be" o:spid="_x0000_s1030" type="#_x0000_t202" style="position:absolute;margin-left:79.45pt;margin-top:264.15pt;width:377pt;height:25.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410D2" w14:paraId="6453A0E2" w14:textId="77777777">
                      <w:trPr>
                        <w:trHeight w:val="240"/>
                      </w:trPr>
                      <w:tc>
                        <w:tcPr>
                          <w:tcW w:w="1140" w:type="dxa"/>
                        </w:tcPr>
                        <w:p w14:paraId="73D25633" w14:textId="77777777" w:rsidR="00402720" w:rsidRDefault="00082ACE">
                          <w:r>
                            <w:t>Datum</w:t>
                          </w:r>
                        </w:p>
                      </w:tc>
                      <w:tc>
                        <w:tcPr>
                          <w:tcW w:w="5918" w:type="dxa"/>
                        </w:tcPr>
                        <w:p w14:paraId="6741D9F6" w14:textId="7BF8E8D2" w:rsidR="00402720" w:rsidRDefault="007F1C45">
                          <w:r>
                            <w:t>2 juni 2026</w:t>
                          </w:r>
                        </w:p>
                      </w:tc>
                    </w:tr>
                    <w:tr w:rsidR="002410D2" w14:paraId="2B4DD8AD" w14:textId="77777777">
                      <w:trPr>
                        <w:trHeight w:val="240"/>
                      </w:trPr>
                      <w:tc>
                        <w:tcPr>
                          <w:tcW w:w="1140" w:type="dxa"/>
                        </w:tcPr>
                        <w:p w14:paraId="774FFB3B" w14:textId="77777777" w:rsidR="00402720" w:rsidRDefault="00082ACE">
                          <w:r>
                            <w:t>Betreft</w:t>
                          </w:r>
                        </w:p>
                      </w:tc>
                      <w:tc>
                        <w:tcPr>
                          <w:tcW w:w="5918" w:type="dxa"/>
                        </w:tcPr>
                        <w:p w14:paraId="5265ED4F" w14:textId="77777777" w:rsidR="00402720" w:rsidRDefault="00082ACE">
                          <w:r>
                            <w:t xml:space="preserve">Arbeidsmarktbeleid in </w:t>
                          </w:r>
                          <w:r w:rsidR="00B14EC8">
                            <w:t>zorg en welzijn</w:t>
                          </w:r>
                        </w:p>
                      </w:tc>
                    </w:tr>
                  </w:tbl>
                  <w:p w14:paraId="647E2AAE" w14:textId="77777777" w:rsidR="00BF3DEE" w:rsidRDefault="00BF3DEE"/>
                </w:txbxContent>
              </v:textbox>
              <w10:wrap anchorx="page"/>
              <w10:anchorlock/>
            </v:shape>
          </w:pict>
        </mc:Fallback>
      </mc:AlternateContent>
    </w:r>
    <w:r>
      <w:rPr>
        <w:noProof/>
      </w:rPr>
      <mc:AlternateContent>
        <mc:Choice Requires="wps">
          <w:drawing>
            <wp:anchor distT="0" distB="0" distL="0" distR="0" simplePos="0" relativeHeight="251668480" behindDoc="0" locked="1" layoutInCell="1" allowOverlap="1" wp14:anchorId="39F85769" wp14:editId="073E2DFD">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1B4442" w14:textId="77777777" w:rsidR="00402720" w:rsidRPr="00C63ABE" w:rsidRDefault="00082ACE">
                          <w:pPr>
                            <w:pStyle w:val="Referentiegegevens"/>
                            <w:rPr>
                              <w:lang w:val="de-DE"/>
                            </w:rPr>
                          </w:pPr>
                          <w:r w:rsidRPr="00C63ABE">
                            <w:rPr>
                              <w:lang w:val="de-DE"/>
                            </w:rPr>
                            <w:t>Parnassusplein 5</w:t>
                          </w:r>
                        </w:p>
                        <w:p w14:paraId="68164EE6" w14:textId="77777777" w:rsidR="00402720" w:rsidRPr="00C63ABE" w:rsidRDefault="00082ACE">
                          <w:pPr>
                            <w:pStyle w:val="Referentiegegevens"/>
                            <w:rPr>
                              <w:lang w:val="de-DE"/>
                            </w:rPr>
                          </w:pPr>
                          <w:r w:rsidRPr="00C63ABE">
                            <w:rPr>
                              <w:lang w:val="de-DE"/>
                            </w:rPr>
                            <w:t>2511 VX Den Haag</w:t>
                          </w:r>
                        </w:p>
                        <w:p w14:paraId="3ADDACDD" w14:textId="77777777" w:rsidR="00402720" w:rsidRPr="00C63ABE" w:rsidRDefault="00082ACE">
                          <w:pPr>
                            <w:pStyle w:val="Referentiegegevens"/>
                            <w:rPr>
                              <w:lang w:val="de-DE"/>
                            </w:rPr>
                          </w:pPr>
                          <w:r w:rsidRPr="00C63ABE">
                            <w:rPr>
                              <w:lang w:val="de-DE"/>
                            </w:rPr>
                            <w:t>Postbus 20350</w:t>
                          </w:r>
                        </w:p>
                        <w:p w14:paraId="653D75EC" w14:textId="77777777" w:rsidR="00402720" w:rsidRPr="00C63ABE" w:rsidRDefault="00082ACE">
                          <w:pPr>
                            <w:pStyle w:val="Referentiegegevens"/>
                            <w:rPr>
                              <w:lang w:val="de-DE"/>
                            </w:rPr>
                          </w:pPr>
                          <w:r w:rsidRPr="00C63ABE">
                            <w:rPr>
                              <w:lang w:val="de-DE"/>
                            </w:rPr>
                            <w:t>2500 EJ  Den Haag</w:t>
                          </w:r>
                        </w:p>
                        <w:p w14:paraId="01E1BE32" w14:textId="77777777" w:rsidR="00402720" w:rsidRPr="00C63ABE" w:rsidRDefault="00082ACE">
                          <w:pPr>
                            <w:pStyle w:val="Referentiegegevens"/>
                            <w:rPr>
                              <w:lang w:val="de-DE"/>
                            </w:rPr>
                          </w:pPr>
                          <w:r w:rsidRPr="00C63ABE">
                            <w:rPr>
                              <w:lang w:val="de-DE"/>
                            </w:rPr>
                            <w:t>www.rijksoverheid.nl/ministeries/ministerie-van-volksgezondheid-welzijn-en-sport</w:t>
                          </w:r>
                        </w:p>
                        <w:p w14:paraId="4C4A4760" w14:textId="77777777" w:rsidR="00402720" w:rsidRPr="00C63ABE" w:rsidRDefault="00402720">
                          <w:pPr>
                            <w:pStyle w:val="WitregelW2"/>
                            <w:rPr>
                              <w:lang w:val="de-DE"/>
                            </w:rPr>
                          </w:pPr>
                        </w:p>
                        <w:p w14:paraId="58A10518" w14:textId="77777777" w:rsidR="00DC40C5" w:rsidRPr="00CD2BD4" w:rsidRDefault="00082ACE" w:rsidP="00DC40C5">
                          <w:pPr>
                            <w:rPr>
                              <w:sz w:val="13"/>
                              <w:szCs w:val="13"/>
                            </w:rPr>
                          </w:pPr>
                          <w:r w:rsidRPr="00CD2BD4">
                            <w:rPr>
                              <w:b/>
                              <w:bCs/>
                              <w:sz w:val="13"/>
                              <w:szCs w:val="13"/>
                            </w:rPr>
                            <w:t xml:space="preserve">Kenmerk </w:t>
                          </w:r>
                        </w:p>
                        <w:p w14:paraId="344D44AF" w14:textId="77777777" w:rsidR="00DC40C5" w:rsidRPr="00DC40C5" w:rsidRDefault="00082ACE" w:rsidP="00DC40C5">
                          <w:pPr>
                            <w:pStyle w:val="Huisstijl-Referentiegegevens"/>
                            <w:rPr>
                              <w:szCs w:val="13"/>
                            </w:rPr>
                          </w:pPr>
                          <w:r w:rsidRPr="00DC40C5">
                            <w:rPr>
                              <w:szCs w:val="13"/>
                            </w:rPr>
                            <w:t>4388264-1099058-MEVA</w:t>
                          </w:r>
                        </w:p>
                        <w:p w14:paraId="1350B4AF" w14:textId="77777777" w:rsidR="00DC40C5" w:rsidRPr="00DC40C5" w:rsidRDefault="00DC40C5" w:rsidP="00CD2BD4"/>
                        <w:p w14:paraId="1A305F84" w14:textId="77777777" w:rsidR="00402720" w:rsidRDefault="00402720">
                          <w:pPr>
                            <w:pStyle w:val="WitregelW1"/>
                          </w:pPr>
                        </w:p>
                        <w:p w14:paraId="4CCCF86F" w14:textId="77777777" w:rsidR="00402720" w:rsidRDefault="00082ACE">
                          <w:pPr>
                            <w:pStyle w:val="Referentiegegevensbold"/>
                          </w:pPr>
                          <w:r>
                            <w:t>Bijlage(n)</w:t>
                          </w:r>
                        </w:p>
                        <w:p w14:paraId="6E639DFA" w14:textId="77777777" w:rsidR="00402720" w:rsidRDefault="00402720">
                          <w:pPr>
                            <w:pStyle w:val="WitregelW2"/>
                          </w:pPr>
                        </w:p>
                        <w:p w14:paraId="7EB06FFC" w14:textId="77777777" w:rsidR="00402720" w:rsidRDefault="00402720"/>
                      </w:txbxContent>
                    </wps:txbx>
                    <wps:bodyPr vert="horz" wrap="square" lIns="0" tIns="0" rIns="0" bIns="0" anchor="t" anchorCtr="0"/>
                  </wps:wsp>
                </a:graphicData>
              </a:graphic>
            </wp:anchor>
          </w:drawing>
        </mc:Choice>
        <mc:Fallback>
          <w:pict>
            <v:shape w14:anchorId="39F85769" id="46feec20-aa3c-11ea-a756-beb5f67e67be" o:spid="_x0000_s1031" type="#_x0000_t202" alt="Colofon"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31B4442" w14:textId="77777777" w:rsidR="00402720" w:rsidRPr="00C63ABE" w:rsidRDefault="00082ACE">
                    <w:pPr>
                      <w:pStyle w:val="Referentiegegevens"/>
                      <w:rPr>
                        <w:lang w:val="de-DE"/>
                      </w:rPr>
                    </w:pPr>
                    <w:r w:rsidRPr="00C63ABE">
                      <w:rPr>
                        <w:lang w:val="de-DE"/>
                      </w:rPr>
                      <w:t>Parnassusplein 5</w:t>
                    </w:r>
                  </w:p>
                  <w:p w14:paraId="68164EE6" w14:textId="77777777" w:rsidR="00402720" w:rsidRPr="00C63ABE" w:rsidRDefault="00082ACE">
                    <w:pPr>
                      <w:pStyle w:val="Referentiegegevens"/>
                      <w:rPr>
                        <w:lang w:val="de-DE"/>
                      </w:rPr>
                    </w:pPr>
                    <w:r w:rsidRPr="00C63ABE">
                      <w:rPr>
                        <w:lang w:val="de-DE"/>
                      </w:rPr>
                      <w:t>2511 VX Den Haag</w:t>
                    </w:r>
                  </w:p>
                  <w:p w14:paraId="3ADDACDD" w14:textId="77777777" w:rsidR="00402720" w:rsidRPr="00C63ABE" w:rsidRDefault="00082ACE">
                    <w:pPr>
                      <w:pStyle w:val="Referentiegegevens"/>
                      <w:rPr>
                        <w:lang w:val="de-DE"/>
                      </w:rPr>
                    </w:pPr>
                    <w:r w:rsidRPr="00C63ABE">
                      <w:rPr>
                        <w:lang w:val="de-DE"/>
                      </w:rPr>
                      <w:t>Postbus 20350</w:t>
                    </w:r>
                  </w:p>
                  <w:p w14:paraId="653D75EC" w14:textId="77777777" w:rsidR="00402720" w:rsidRPr="00C63ABE" w:rsidRDefault="00082ACE">
                    <w:pPr>
                      <w:pStyle w:val="Referentiegegevens"/>
                      <w:rPr>
                        <w:lang w:val="de-DE"/>
                      </w:rPr>
                    </w:pPr>
                    <w:r w:rsidRPr="00C63ABE">
                      <w:rPr>
                        <w:lang w:val="de-DE"/>
                      </w:rPr>
                      <w:t>2500 EJ  Den Haag</w:t>
                    </w:r>
                  </w:p>
                  <w:p w14:paraId="01E1BE32" w14:textId="77777777" w:rsidR="00402720" w:rsidRPr="00C63ABE" w:rsidRDefault="00082ACE">
                    <w:pPr>
                      <w:pStyle w:val="Referentiegegevens"/>
                      <w:rPr>
                        <w:lang w:val="de-DE"/>
                      </w:rPr>
                    </w:pPr>
                    <w:r w:rsidRPr="00C63ABE">
                      <w:rPr>
                        <w:lang w:val="de-DE"/>
                      </w:rPr>
                      <w:t>www.rijksoverheid.nl/ministeries/ministerie-van-volksgezondheid-welzijn-en-sport</w:t>
                    </w:r>
                  </w:p>
                  <w:p w14:paraId="4C4A4760" w14:textId="77777777" w:rsidR="00402720" w:rsidRPr="00C63ABE" w:rsidRDefault="00402720">
                    <w:pPr>
                      <w:pStyle w:val="WitregelW2"/>
                      <w:rPr>
                        <w:lang w:val="de-DE"/>
                      </w:rPr>
                    </w:pPr>
                  </w:p>
                  <w:p w14:paraId="58A10518" w14:textId="77777777" w:rsidR="00DC40C5" w:rsidRPr="00CD2BD4" w:rsidRDefault="00082ACE" w:rsidP="00DC40C5">
                    <w:pPr>
                      <w:rPr>
                        <w:sz w:val="13"/>
                        <w:szCs w:val="13"/>
                      </w:rPr>
                    </w:pPr>
                    <w:r w:rsidRPr="00CD2BD4">
                      <w:rPr>
                        <w:b/>
                        <w:bCs/>
                        <w:sz w:val="13"/>
                        <w:szCs w:val="13"/>
                      </w:rPr>
                      <w:t xml:space="preserve">Kenmerk </w:t>
                    </w:r>
                  </w:p>
                  <w:p w14:paraId="344D44AF" w14:textId="77777777" w:rsidR="00DC40C5" w:rsidRPr="00DC40C5" w:rsidRDefault="00082ACE" w:rsidP="00DC40C5">
                    <w:pPr>
                      <w:pStyle w:val="Huisstijl-Referentiegegevens"/>
                      <w:rPr>
                        <w:szCs w:val="13"/>
                      </w:rPr>
                    </w:pPr>
                    <w:r w:rsidRPr="00DC40C5">
                      <w:rPr>
                        <w:szCs w:val="13"/>
                      </w:rPr>
                      <w:t>4388264-1099058-MEVA</w:t>
                    </w:r>
                  </w:p>
                  <w:p w14:paraId="1350B4AF" w14:textId="77777777" w:rsidR="00DC40C5" w:rsidRPr="00DC40C5" w:rsidRDefault="00DC40C5" w:rsidP="00CD2BD4"/>
                  <w:p w14:paraId="1A305F84" w14:textId="77777777" w:rsidR="00402720" w:rsidRDefault="00402720">
                    <w:pPr>
                      <w:pStyle w:val="WitregelW1"/>
                    </w:pPr>
                  </w:p>
                  <w:p w14:paraId="4CCCF86F" w14:textId="77777777" w:rsidR="00402720" w:rsidRDefault="00082ACE">
                    <w:pPr>
                      <w:pStyle w:val="Referentiegegevensbold"/>
                    </w:pPr>
                    <w:r>
                      <w:t>Bijlage(n)</w:t>
                    </w:r>
                  </w:p>
                  <w:p w14:paraId="6E639DFA" w14:textId="77777777" w:rsidR="00402720" w:rsidRDefault="00402720">
                    <w:pPr>
                      <w:pStyle w:val="WitregelW2"/>
                    </w:pPr>
                  </w:p>
                  <w:p w14:paraId="7EB06FFC" w14:textId="77777777" w:rsidR="00402720" w:rsidRDefault="00402720"/>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77770A64" wp14:editId="2CD6831C">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8DDAEF" w14:textId="77777777" w:rsidR="00BF3DEE" w:rsidRDefault="00BF3DEE"/>
                      </w:txbxContent>
                    </wps:txbx>
                    <wps:bodyPr vert="horz" wrap="square" lIns="0" tIns="0" rIns="0" bIns="0" anchor="t" anchorCtr="0"/>
                  </wps:wsp>
                </a:graphicData>
              </a:graphic>
            </wp:anchor>
          </w:drawing>
        </mc:Choice>
        <mc:Fallback>
          <w:pict>
            <v:shape w14:anchorId="77770A64" id="46feec6f-aa3c-11ea-a756-beb5f67e67be" o:spid="_x0000_s1032" type="#_x0000_t202" alt="Voettekst"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08DDAEF" w14:textId="77777777" w:rsidR="00BF3DEE" w:rsidRDefault="00BF3DEE"/>
                </w:txbxContent>
              </v:textbox>
              <w10:wrap anchorx="page"/>
              <w10:anchorlock/>
            </v:shape>
          </w:pict>
        </mc:Fallback>
      </mc:AlternateContent>
    </w:r>
    <w:r>
      <w:rPr>
        <w:noProof/>
      </w:rPr>
      <mc:AlternateContent>
        <mc:Choice Requires="wps">
          <w:drawing>
            <wp:anchor distT="0" distB="0" distL="0" distR="0" simplePos="0" relativeHeight="251672576" behindDoc="0" locked="1" layoutInCell="1" allowOverlap="1" wp14:anchorId="3C70887D" wp14:editId="4430E98B">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CDEEBA" w14:textId="77777777" w:rsidR="00402720" w:rsidRDefault="00082ACE">
                          <w:pPr>
                            <w:pStyle w:val="Referentiegegevens"/>
                          </w:pPr>
                          <w:r>
                            <w:t xml:space="preserve">Pagina </w:t>
                          </w:r>
                          <w:r>
                            <w:fldChar w:fldCharType="begin"/>
                          </w:r>
                          <w:r>
                            <w:instrText>PAGE</w:instrText>
                          </w:r>
                          <w:r>
                            <w:fldChar w:fldCharType="separate"/>
                          </w:r>
                          <w:r w:rsidR="00C63ABE">
                            <w:rPr>
                              <w:noProof/>
                            </w:rPr>
                            <w:t>1</w:t>
                          </w:r>
                          <w:r>
                            <w:fldChar w:fldCharType="end"/>
                          </w:r>
                          <w:r>
                            <w:t xml:space="preserve"> van </w:t>
                          </w:r>
                          <w:r>
                            <w:fldChar w:fldCharType="begin"/>
                          </w:r>
                          <w:r>
                            <w:instrText>NUMPAGES</w:instrText>
                          </w:r>
                          <w:r>
                            <w:fldChar w:fldCharType="separate"/>
                          </w:r>
                          <w:r w:rsidR="00C63ABE">
                            <w:rPr>
                              <w:noProof/>
                            </w:rPr>
                            <w:t>1</w:t>
                          </w:r>
                          <w:r>
                            <w:fldChar w:fldCharType="end"/>
                          </w:r>
                        </w:p>
                      </w:txbxContent>
                    </wps:txbx>
                    <wps:bodyPr vert="horz" wrap="square" lIns="0" tIns="0" rIns="0" bIns="0" anchor="t" anchorCtr="0"/>
                  </wps:wsp>
                </a:graphicData>
              </a:graphic>
            </wp:anchor>
          </w:drawing>
        </mc:Choice>
        <mc:Fallback>
          <w:pict>
            <v:shape w14:anchorId="3C70887D" id="46feecbe-aa3c-11ea-a756-beb5f67e67be" o:spid="_x0000_s1033" type="#_x0000_t202" alt="Paginanummering"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CCDEEBA" w14:textId="77777777" w:rsidR="00402720" w:rsidRDefault="00082ACE">
                    <w:pPr>
                      <w:pStyle w:val="Referentiegegevens"/>
                    </w:pPr>
                    <w:r>
                      <w:t xml:space="preserve">Pagina </w:t>
                    </w:r>
                    <w:r>
                      <w:fldChar w:fldCharType="begin"/>
                    </w:r>
                    <w:r>
                      <w:instrText>PAGE</w:instrText>
                    </w:r>
                    <w:r>
                      <w:fldChar w:fldCharType="separate"/>
                    </w:r>
                    <w:r w:rsidR="00C63ABE">
                      <w:rPr>
                        <w:noProof/>
                      </w:rPr>
                      <w:t>1</w:t>
                    </w:r>
                    <w:r>
                      <w:fldChar w:fldCharType="end"/>
                    </w:r>
                    <w:r>
                      <w:t xml:space="preserve"> van </w:t>
                    </w:r>
                    <w:r>
                      <w:fldChar w:fldCharType="begin"/>
                    </w:r>
                    <w:r>
                      <w:instrText>NUMPAGES</w:instrText>
                    </w:r>
                    <w:r>
                      <w:fldChar w:fldCharType="separate"/>
                    </w:r>
                    <w:r w:rsidR="00C63ABE">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74624" behindDoc="0" locked="1" layoutInCell="1" allowOverlap="1" wp14:anchorId="237C53F0" wp14:editId="73ACDAE0">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E0E20E" w14:textId="1F510591" w:rsidR="00402720" w:rsidRDefault="00402720">
                          <w:pPr>
                            <w:spacing w:line="240" w:lineRule="auto"/>
                          </w:pPr>
                        </w:p>
                      </w:txbxContent>
                    </wps:txbx>
                    <wps:bodyPr vert="horz" wrap="square" lIns="0" tIns="0" rIns="0" bIns="0" anchor="t" anchorCtr="0"/>
                  </wps:wsp>
                </a:graphicData>
              </a:graphic>
            </wp:anchor>
          </w:drawing>
        </mc:Choice>
        <mc:Fallback>
          <w:pict>
            <v:shape w14:anchorId="237C53F0" id="46feed0e-aa3c-11ea-a756-beb5f67e67be" o:spid="_x0000_s1034" type="#_x0000_t202" alt="Container voor beeldmerk"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E0E20E" w14:textId="1F510591" w:rsidR="00402720" w:rsidRDefault="00402720">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76672" behindDoc="0" locked="1" layoutInCell="1" allowOverlap="1" wp14:anchorId="4955C886" wp14:editId="7AFA8DF9">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A2AC8B" w14:textId="77777777" w:rsidR="00402720" w:rsidRDefault="00082ACE">
                          <w:pPr>
                            <w:spacing w:line="240" w:lineRule="auto"/>
                          </w:pPr>
                          <w:r>
                            <w:rPr>
                              <w:noProof/>
                            </w:rPr>
                            <w:drawing>
                              <wp:inline distT="0" distB="0" distL="0" distR="0" wp14:anchorId="20F57738" wp14:editId="03EB5632">
                                <wp:extent cx="2339975" cy="1582834"/>
                                <wp:effectExtent l="0" t="0" r="0" b="0"/>
                                <wp:docPr id="611740624"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1174062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55C886" id="46feed67-aa3c-11ea-a756-beb5f67e67be" o:spid="_x0000_s1035" type="#_x0000_t202" alt="Container voor woordmerk"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BA2AC8B" w14:textId="77777777" w:rsidR="00402720" w:rsidRDefault="00082ACE">
                    <w:pPr>
                      <w:spacing w:line="240" w:lineRule="auto"/>
                    </w:pPr>
                    <w:r>
                      <w:rPr>
                        <w:noProof/>
                      </w:rPr>
                      <w:drawing>
                        <wp:inline distT="0" distB="0" distL="0" distR="0" wp14:anchorId="20F57738" wp14:editId="03EB5632">
                          <wp:extent cx="2339975" cy="1582834"/>
                          <wp:effectExtent l="0" t="0" r="0" b="0"/>
                          <wp:docPr id="611740624"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1174062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78720" behindDoc="0" locked="1" layoutInCell="1" allowOverlap="1" wp14:anchorId="79258CBA" wp14:editId="3094C4C4">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69CA42" w14:textId="77777777" w:rsidR="00402720" w:rsidRDefault="00082ACE">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79258CBA"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169CA42" w14:textId="77777777" w:rsidR="00402720" w:rsidRDefault="00082ACE">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F8E9B"/>
    <w:multiLevelType w:val="multilevel"/>
    <w:tmpl w:val="1657CF6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9BD11DC"/>
    <w:multiLevelType w:val="multilevel"/>
    <w:tmpl w:val="CA98DC3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8C2B086"/>
    <w:multiLevelType w:val="multilevel"/>
    <w:tmpl w:val="6E3A63C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F82BEE"/>
    <w:multiLevelType w:val="hybridMultilevel"/>
    <w:tmpl w:val="0F545F4E"/>
    <w:lvl w:ilvl="0" w:tplc="26304C54">
      <w:start w:val="1"/>
      <w:numFmt w:val="bullet"/>
      <w:lvlText w:val=""/>
      <w:lvlJc w:val="left"/>
      <w:pPr>
        <w:ind w:left="720" w:hanging="360"/>
      </w:pPr>
      <w:rPr>
        <w:rFonts w:ascii="Symbol" w:hAnsi="Symbol" w:hint="default"/>
      </w:rPr>
    </w:lvl>
    <w:lvl w:ilvl="1" w:tplc="ACFA86A4">
      <w:start w:val="1"/>
      <w:numFmt w:val="bullet"/>
      <w:lvlText w:val="o"/>
      <w:lvlJc w:val="left"/>
      <w:pPr>
        <w:ind w:left="1440" w:hanging="360"/>
      </w:pPr>
      <w:rPr>
        <w:rFonts w:ascii="Courier New" w:hAnsi="Courier New" w:hint="default"/>
      </w:rPr>
    </w:lvl>
    <w:lvl w:ilvl="2" w:tplc="C7E2CA20">
      <w:start w:val="1"/>
      <w:numFmt w:val="bullet"/>
      <w:lvlText w:val=""/>
      <w:lvlJc w:val="left"/>
      <w:pPr>
        <w:ind w:left="2160" w:hanging="360"/>
      </w:pPr>
      <w:rPr>
        <w:rFonts w:ascii="Wingdings" w:hAnsi="Wingdings" w:hint="default"/>
      </w:rPr>
    </w:lvl>
    <w:lvl w:ilvl="3" w:tplc="A7F87CCA">
      <w:start w:val="1"/>
      <w:numFmt w:val="bullet"/>
      <w:lvlText w:val=""/>
      <w:lvlJc w:val="left"/>
      <w:pPr>
        <w:ind w:left="2880" w:hanging="360"/>
      </w:pPr>
      <w:rPr>
        <w:rFonts w:ascii="Symbol" w:hAnsi="Symbol" w:hint="default"/>
      </w:rPr>
    </w:lvl>
    <w:lvl w:ilvl="4" w:tplc="D34EDEC6">
      <w:start w:val="1"/>
      <w:numFmt w:val="bullet"/>
      <w:lvlText w:val="o"/>
      <w:lvlJc w:val="left"/>
      <w:pPr>
        <w:ind w:left="3600" w:hanging="360"/>
      </w:pPr>
      <w:rPr>
        <w:rFonts w:ascii="Courier New" w:hAnsi="Courier New" w:hint="default"/>
      </w:rPr>
    </w:lvl>
    <w:lvl w:ilvl="5" w:tplc="E7D09910">
      <w:start w:val="1"/>
      <w:numFmt w:val="bullet"/>
      <w:lvlText w:val=""/>
      <w:lvlJc w:val="left"/>
      <w:pPr>
        <w:ind w:left="4320" w:hanging="360"/>
      </w:pPr>
      <w:rPr>
        <w:rFonts w:ascii="Wingdings" w:hAnsi="Wingdings" w:hint="default"/>
      </w:rPr>
    </w:lvl>
    <w:lvl w:ilvl="6" w:tplc="8C58B8D4">
      <w:start w:val="1"/>
      <w:numFmt w:val="bullet"/>
      <w:lvlText w:val=""/>
      <w:lvlJc w:val="left"/>
      <w:pPr>
        <w:ind w:left="5040" w:hanging="360"/>
      </w:pPr>
      <w:rPr>
        <w:rFonts w:ascii="Symbol" w:hAnsi="Symbol" w:hint="default"/>
      </w:rPr>
    </w:lvl>
    <w:lvl w:ilvl="7" w:tplc="4F40ADA8">
      <w:start w:val="1"/>
      <w:numFmt w:val="bullet"/>
      <w:lvlText w:val="o"/>
      <w:lvlJc w:val="left"/>
      <w:pPr>
        <w:ind w:left="5760" w:hanging="360"/>
      </w:pPr>
      <w:rPr>
        <w:rFonts w:ascii="Courier New" w:hAnsi="Courier New" w:hint="default"/>
      </w:rPr>
    </w:lvl>
    <w:lvl w:ilvl="8" w:tplc="89285654">
      <w:start w:val="1"/>
      <w:numFmt w:val="bullet"/>
      <w:lvlText w:val=""/>
      <w:lvlJc w:val="left"/>
      <w:pPr>
        <w:ind w:left="6480" w:hanging="360"/>
      </w:pPr>
      <w:rPr>
        <w:rFonts w:ascii="Wingdings" w:hAnsi="Wingdings" w:hint="default"/>
      </w:rPr>
    </w:lvl>
  </w:abstractNum>
  <w:abstractNum w:abstractNumId="4" w15:restartNumberingAfterBreak="0">
    <w:nsid w:val="0659396C"/>
    <w:multiLevelType w:val="hybridMultilevel"/>
    <w:tmpl w:val="3E7EF1BE"/>
    <w:lvl w:ilvl="0" w:tplc="B7AA7778">
      <w:start w:val="1"/>
      <w:numFmt w:val="bullet"/>
      <w:lvlText w:val="-"/>
      <w:lvlJc w:val="left"/>
      <w:pPr>
        <w:ind w:left="720" w:hanging="360"/>
      </w:pPr>
      <w:rPr>
        <w:rFonts w:ascii="Verdana" w:eastAsia="DejaVu Sans" w:hAnsi="Verdana" w:cs="Lohit Hindi" w:hint="default"/>
      </w:rPr>
    </w:lvl>
    <w:lvl w:ilvl="1" w:tplc="D5DE32F6" w:tentative="1">
      <w:start w:val="1"/>
      <w:numFmt w:val="bullet"/>
      <w:lvlText w:val="o"/>
      <w:lvlJc w:val="left"/>
      <w:pPr>
        <w:ind w:left="1440" w:hanging="360"/>
      </w:pPr>
      <w:rPr>
        <w:rFonts w:ascii="Courier New" w:hAnsi="Courier New" w:cs="Courier New" w:hint="default"/>
      </w:rPr>
    </w:lvl>
    <w:lvl w:ilvl="2" w:tplc="8494C93A" w:tentative="1">
      <w:start w:val="1"/>
      <w:numFmt w:val="bullet"/>
      <w:lvlText w:val=""/>
      <w:lvlJc w:val="left"/>
      <w:pPr>
        <w:ind w:left="2160" w:hanging="360"/>
      </w:pPr>
      <w:rPr>
        <w:rFonts w:ascii="Wingdings" w:hAnsi="Wingdings" w:hint="default"/>
      </w:rPr>
    </w:lvl>
    <w:lvl w:ilvl="3" w:tplc="502894EA" w:tentative="1">
      <w:start w:val="1"/>
      <w:numFmt w:val="bullet"/>
      <w:lvlText w:val=""/>
      <w:lvlJc w:val="left"/>
      <w:pPr>
        <w:ind w:left="2880" w:hanging="360"/>
      </w:pPr>
      <w:rPr>
        <w:rFonts w:ascii="Symbol" w:hAnsi="Symbol" w:hint="default"/>
      </w:rPr>
    </w:lvl>
    <w:lvl w:ilvl="4" w:tplc="7F9E6962" w:tentative="1">
      <w:start w:val="1"/>
      <w:numFmt w:val="bullet"/>
      <w:lvlText w:val="o"/>
      <w:lvlJc w:val="left"/>
      <w:pPr>
        <w:ind w:left="3600" w:hanging="360"/>
      </w:pPr>
      <w:rPr>
        <w:rFonts w:ascii="Courier New" w:hAnsi="Courier New" w:cs="Courier New" w:hint="default"/>
      </w:rPr>
    </w:lvl>
    <w:lvl w:ilvl="5" w:tplc="73D2AB1E" w:tentative="1">
      <w:start w:val="1"/>
      <w:numFmt w:val="bullet"/>
      <w:lvlText w:val=""/>
      <w:lvlJc w:val="left"/>
      <w:pPr>
        <w:ind w:left="4320" w:hanging="360"/>
      </w:pPr>
      <w:rPr>
        <w:rFonts w:ascii="Wingdings" w:hAnsi="Wingdings" w:hint="default"/>
      </w:rPr>
    </w:lvl>
    <w:lvl w:ilvl="6" w:tplc="5198C9A6" w:tentative="1">
      <w:start w:val="1"/>
      <w:numFmt w:val="bullet"/>
      <w:lvlText w:val=""/>
      <w:lvlJc w:val="left"/>
      <w:pPr>
        <w:ind w:left="5040" w:hanging="360"/>
      </w:pPr>
      <w:rPr>
        <w:rFonts w:ascii="Symbol" w:hAnsi="Symbol" w:hint="default"/>
      </w:rPr>
    </w:lvl>
    <w:lvl w:ilvl="7" w:tplc="97809418" w:tentative="1">
      <w:start w:val="1"/>
      <w:numFmt w:val="bullet"/>
      <w:lvlText w:val="o"/>
      <w:lvlJc w:val="left"/>
      <w:pPr>
        <w:ind w:left="5760" w:hanging="360"/>
      </w:pPr>
      <w:rPr>
        <w:rFonts w:ascii="Courier New" w:hAnsi="Courier New" w:cs="Courier New" w:hint="default"/>
      </w:rPr>
    </w:lvl>
    <w:lvl w:ilvl="8" w:tplc="DFB85B4A" w:tentative="1">
      <w:start w:val="1"/>
      <w:numFmt w:val="bullet"/>
      <w:lvlText w:val=""/>
      <w:lvlJc w:val="left"/>
      <w:pPr>
        <w:ind w:left="6480" w:hanging="360"/>
      </w:pPr>
      <w:rPr>
        <w:rFonts w:ascii="Wingdings" w:hAnsi="Wingdings" w:hint="default"/>
      </w:rPr>
    </w:lvl>
  </w:abstractNum>
  <w:abstractNum w:abstractNumId="5" w15:restartNumberingAfterBreak="0">
    <w:nsid w:val="0E1448A5"/>
    <w:multiLevelType w:val="hybridMultilevel"/>
    <w:tmpl w:val="245E8ACC"/>
    <w:lvl w:ilvl="0" w:tplc="426EF8FC">
      <w:start w:val="1"/>
      <w:numFmt w:val="decimal"/>
      <w:lvlText w:val="%1."/>
      <w:lvlJc w:val="left"/>
      <w:pPr>
        <w:ind w:left="720" w:hanging="360"/>
      </w:pPr>
    </w:lvl>
    <w:lvl w:ilvl="1" w:tplc="5EAED742">
      <w:start w:val="1"/>
      <w:numFmt w:val="lowerLetter"/>
      <w:lvlText w:val="%2."/>
      <w:lvlJc w:val="left"/>
      <w:pPr>
        <w:ind w:left="1440" w:hanging="360"/>
      </w:pPr>
    </w:lvl>
    <w:lvl w:ilvl="2" w:tplc="B8541AF4">
      <w:start w:val="1"/>
      <w:numFmt w:val="lowerRoman"/>
      <w:lvlText w:val="%3."/>
      <w:lvlJc w:val="right"/>
      <w:pPr>
        <w:ind w:left="2160" w:hanging="180"/>
      </w:pPr>
    </w:lvl>
    <w:lvl w:ilvl="3" w:tplc="8D78BBB0">
      <w:start w:val="1"/>
      <w:numFmt w:val="decimal"/>
      <w:lvlText w:val="%4."/>
      <w:lvlJc w:val="left"/>
      <w:pPr>
        <w:ind w:left="2880" w:hanging="360"/>
      </w:pPr>
    </w:lvl>
    <w:lvl w:ilvl="4" w:tplc="D17E64BA">
      <w:start w:val="1"/>
      <w:numFmt w:val="lowerLetter"/>
      <w:lvlText w:val="%5."/>
      <w:lvlJc w:val="left"/>
      <w:pPr>
        <w:ind w:left="3600" w:hanging="360"/>
      </w:pPr>
    </w:lvl>
    <w:lvl w:ilvl="5" w:tplc="C8E6DAAE">
      <w:start w:val="1"/>
      <w:numFmt w:val="lowerRoman"/>
      <w:lvlText w:val="%6."/>
      <w:lvlJc w:val="right"/>
      <w:pPr>
        <w:ind w:left="4320" w:hanging="180"/>
      </w:pPr>
    </w:lvl>
    <w:lvl w:ilvl="6" w:tplc="F52AFD0E">
      <w:start w:val="1"/>
      <w:numFmt w:val="decimal"/>
      <w:lvlText w:val="%7."/>
      <w:lvlJc w:val="left"/>
      <w:pPr>
        <w:ind w:left="5040" w:hanging="360"/>
      </w:pPr>
    </w:lvl>
    <w:lvl w:ilvl="7" w:tplc="A1F4B514">
      <w:start w:val="1"/>
      <w:numFmt w:val="lowerLetter"/>
      <w:lvlText w:val="%8."/>
      <w:lvlJc w:val="left"/>
      <w:pPr>
        <w:ind w:left="5760" w:hanging="360"/>
      </w:pPr>
    </w:lvl>
    <w:lvl w:ilvl="8" w:tplc="46129474">
      <w:start w:val="1"/>
      <w:numFmt w:val="lowerRoman"/>
      <w:lvlText w:val="%9."/>
      <w:lvlJc w:val="right"/>
      <w:pPr>
        <w:ind w:left="6480" w:hanging="180"/>
      </w:pPr>
    </w:lvl>
  </w:abstractNum>
  <w:abstractNum w:abstractNumId="6" w15:restartNumberingAfterBreak="0">
    <w:nsid w:val="10B055F4"/>
    <w:multiLevelType w:val="hybridMultilevel"/>
    <w:tmpl w:val="82DEF790"/>
    <w:lvl w:ilvl="0" w:tplc="7F20531E">
      <w:start w:val="1"/>
      <w:numFmt w:val="bullet"/>
      <w:lvlText w:val=""/>
      <w:lvlJc w:val="left"/>
      <w:pPr>
        <w:ind w:left="720" w:hanging="360"/>
      </w:pPr>
      <w:rPr>
        <w:rFonts w:ascii="Symbol" w:hAnsi="Symbol" w:hint="default"/>
      </w:rPr>
    </w:lvl>
    <w:lvl w:ilvl="1" w:tplc="2AC05180">
      <w:start w:val="1"/>
      <w:numFmt w:val="bullet"/>
      <w:lvlText w:val="o"/>
      <w:lvlJc w:val="left"/>
      <w:pPr>
        <w:ind w:left="1440" w:hanging="360"/>
      </w:pPr>
      <w:rPr>
        <w:rFonts w:ascii="Courier New" w:hAnsi="Courier New" w:hint="default"/>
      </w:rPr>
    </w:lvl>
    <w:lvl w:ilvl="2" w:tplc="028C2528">
      <w:start w:val="1"/>
      <w:numFmt w:val="bullet"/>
      <w:lvlText w:val=""/>
      <w:lvlJc w:val="left"/>
      <w:pPr>
        <w:ind w:left="2160" w:hanging="360"/>
      </w:pPr>
      <w:rPr>
        <w:rFonts w:ascii="Wingdings" w:hAnsi="Wingdings" w:hint="default"/>
      </w:rPr>
    </w:lvl>
    <w:lvl w:ilvl="3" w:tplc="B470C00C">
      <w:start w:val="1"/>
      <w:numFmt w:val="bullet"/>
      <w:lvlText w:val=""/>
      <w:lvlJc w:val="left"/>
      <w:pPr>
        <w:ind w:left="2880" w:hanging="360"/>
      </w:pPr>
      <w:rPr>
        <w:rFonts w:ascii="Symbol" w:hAnsi="Symbol" w:hint="default"/>
      </w:rPr>
    </w:lvl>
    <w:lvl w:ilvl="4" w:tplc="FFBA4F7C">
      <w:start w:val="1"/>
      <w:numFmt w:val="bullet"/>
      <w:lvlText w:val="o"/>
      <w:lvlJc w:val="left"/>
      <w:pPr>
        <w:ind w:left="3600" w:hanging="360"/>
      </w:pPr>
      <w:rPr>
        <w:rFonts w:ascii="Courier New" w:hAnsi="Courier New" w:hint="default"/>
      </w:rPr>
    </w:lvl>
    <w:lvl w:ilvl="5" w:tplc="983A6534">
      <w:start w:val="1"/>
      <w:numFmt w:val="bullet"/>
      <w:lvlText w:val=""/>
      <w:lvlJc w:val="left"/>
      <w:pPr>
        <w:ind w:left="4320" w:hanging="360"/>
      </w:pPr>
      <w:rPr>
        <w:rFonts w:ascii="Wingdings" w:hAnsi="Wingdings" w:hint="default"/>
      </w:rPr>
    </w:lvl>
    <w:lvl w:ilvl="6" w:tplc="E502151E">
      <w:start w:val="1"/>
      <w:numFmt w:val="bullet"/>
      <w:lvlText w:val=""/>
      <w:lvlJc w:val="left"/>
      <w:pPr>
        <w:ind w:left="5040" w:hanging="360"/>
      </w:pPr>
      <w:rPr>
        <w:rFonts w:ascii="Symbol" w:hAnsi="Symbol" w:hint="default"/>
      </w:rPr>
    </w:lvl>
    <w:lvl w:ilvl="7" w:tplc="7696FCAE">
      <w:start w:val="1"/>
      <w:numFmt w:val="bullet"/>
      <w:lvlText w:val="o"/>
      <w:lvlJc w:val="left"/>
      <w:pPr>
        <w:ind w:left="5760" w:hanging="360"/>
      </w:pPr>
      <w:rPr>
        <w:rFonts w:ascii="Courier New" w:hAnsi="Courier New" w:hint="default"/>
      </w:rPr>
    </w:lvl>
    <w:lvl w:ilvl="8" w:tplc="49247708">
      <w:start w:val="1"/>
      <w:numFmt w:val="bullet"/>
      <w:lvlText w:val=""/>
      <w:lvlJc w:val="left"/>
      <w:pPr>
        <w:ind w:left="6480" w:hanging="360"/>
      </w:pPr>
      <w:rPr>
        <w:rFonts w:ascii="Wingdings" w:hAnsi="Wingdings" w:hint="default"/>
      </w:rPr>
    </w:lvl>
  </w:abstractNum>
  <w:abstractNum w:abstractNumId="7" w15:restartNumberingAfterBreak="0">
    <w:nsid w:val="194CD339"/>
    <w:multiLevelType w:val="multilevel"/>
    <w:tmpl w:val="968C2B3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1BC16E3B"/>
    <w:multiLevelType w:val="hybridMultilevel"/>
    <w:tmpl w:val="1C9E4536"/>
    <w:lvl w:ilvl="0" w:tplc="D0F00936">
      <w:start w:val="1"/>
      <w:numFmt w:val="bullet"/>
      <w:lvlText w:val=""/>
      <w:lvlJc w:val="left"/>
      <w:pPr>
        <w:ind w:left="1440" w:hanging="360"/>
      </w:pPr>
      <w:rPr>
        <w:rFonts w:ascii="Symbol" w:hAnsi="Symbol"/>
      </w:rPr>
    </w:lvl>
    <w:lvl w:ilvl="1" w:tplc="B32647F4">
      <w:start w:val="1"/>
      <w:numFmt w:val="bullet"/>
      <w:lvlText w:val=""/>
      <w:lvlJc w:val="left"/>
      <w:pPr>
        <w:ind w:left="2160" w:hanging="360"/>
      </w:pPr>
      <w:rPr>
        <w:rFonts w:ascii="Symbol" w:hAnsi="Symbol"/>
      </w:rPr>
    </w:lvl>
    <w:lvl w:ilvl="2" w:tplc="E848969E">
      <w:start w:val="1"/>
      <w:numFmt w:val="bullet"/>
      <w:lvlText w:val=""/>
      <w:lvlJc w:val="left"/>
      <w:pPr>
        <w:ind w:left="1440" w:hanging="360"/>
      </w:pPr>
      <w:rPr>
        <w:rFonts w:ascii="Symbol" w:hAnsi="Symbol"/>
      </w:rPr>
    </w:lvl>
    <w:lvl w:ilvl="3" w:tplc="A49EE09C">
      <w:start w:val="1"/>
      <w:numFmt w:val="bullet"/>
      <w:lvlText w:val=""/>
      <w:lvlJc w:val="left"/>
      <w:pPr>
        <w:ind w:left="1440" w:hanging="360"/>
      </w:pPr>
      <w:rPr>
        <w:rFonts w:ascii="Symbol" w:hAnsi="Symbol"/>
      </w:rPr>
    </w:lvl>
    <w:lvl w:ilvl="4" w:tplc="7AEAF706">
      <w:start w:val="1"/>
      <w:numFmt w:val="bullet"/>
      <w:lvlText w:val=""/>
      <w:lvlJc w:val="left"/>
      <w:pPr>
        <w:ind w:left="1440" w:hanging="360"/>
      </w:pPr>
      <w:rPr>
        <w:rFonts w:ascii="Symbol" w:hAnsi="Symbol"/>
      </w:rPr>
    </w:lvl>
    <w:lvl w:ilvl="5" w:tplc="38603CD8">
      <w:start w:val="1"/>
      <w:numFmt w:val="bullet"/>
      <w:lvlText w:val=""/>
      <w:lvlJc w:val="left"/>
      <w:pPr>
        <w:ind w:left="1440" w:hanging="360"/>
      </w:pPr>
      <w:rPr>
        <w:rFonts w:ascii="Symbol" w:hAnsi="Symbol"/>
      </w:rPr>
    </w:lvl>
    <w:lvl w:ilvl="6" w:tplc="8F786B10">
      <w:start w:val="1"/>
      <w:numFmt w:val="bullet"/>
      <w:lvlText w:val=""/>
      <w:lvlJc w:val="left"/>
      <w:pPr>
        <w:ind w:left="1440" w:hanging="360"/>
      </w:pPr>
      <w:rPr>
        <w:rFonts w:ascii="Symbol" w:hAnsi="Symbol"/>
      </w:rPr>
    </w:lvl>
    <w:lvl w:ilvl="7" w:tplc="C8027E58">
      <w:start w:val="1"/>
      <w:numFmt w:val="bullet"/>
      <w:lvlText w:val=""/>
      <w:lvlJc w:val="left"/>
      <w:pPr>
        <w:ind w:left="1440" w:hanging="360"/>
      </w:pPr>
      <w:rPr>
        <w:rFonts w:ascii="Symbol" w:hAnsi="Symbol"/>
      </w:rPr>
    </w:lvl>
    <w:lvl w:ilvl="8" w:tplc="9E2A4010">
      <w:start w:val="1"/>
      <w:numFmt w:val="bullet"/>
      <w:lvlText w:val=""/>
      <w:lvlJc w:val="left"/>
      <w:pPr>
        <w:ind w:left="1440" w:hanging="360"/>
      </w:pPr>
      <w:rPr>
        <w:rFonts w:ascii="Symbol" w:hAnsi="Symbol"/>
      </w:rPr>
    </w:lvl>
  </w:abstractNum>
  <w:abstractNum w:abstractNumId="9" w15:restartNumberingAfterBreak="0">
    <w:nsid w:val="1BFA0012"/>
    <w:multiLevelType w:val="hybridMultilevel"/>
    <w:tmpl w:val="ABA67FA4"/>
    <w:lvl w:ilvl="0" w:tplc="FF60B724">
      <w:start w:val="1"/>
      <w:numFmt w:val="bullet"/>
      <w:lvlText w:val=""/>
      <w:lvlJc w:val="left"/>
      <w:pPr>
        <w:ind w:left="720" w:hanging="360"/>
      </w:pPr>
      <w:rPr>
        <w:rFonts w:ascii="Symbol" w:hAnsi="Symbol" w:hint="default"/>
      </w:rPr>
    </w:lvl>
    <w:lvl w:ilvl="1" w:tplc="9006E3A4">
      <w:start w:val="1"/>
      <w:numFmt w:val="bullet"/>
      <w:lvlText w:val="o"/>
      <w:lvlJc w:val="left"/>
      <w:pPr>
        <w:ind w:left="1440" w:hanging="360"/>
      </w:pPr>
      <w:rPr>
        <w:rFonts w:ascii="Courier New" w:hAnsi="Courier New" w:hint="default"/>
      </w:rPr>
    </w:lvl>
    <w:lvl w:ilvl="2" w:tplc="CB224FF2">
      <w:start w:val="1"/>
      <w:numFmt w:val="bullet"/>
      <w:lvlText w:val=""/>
      <w:lvlJc w:val="left"/>
      <w:pPr>
        <w:ind w:left="2160" w:hanging="360"/>
      </w:pPr>
      <w:rPr>
        <w:rFonts w:ascii="Wingdings" w:hAnsi="Wingdings" w:hint="default"/>
      </w:rPr>
    </w:lvl>
    <w:lvl w:ilvl="3" w:tplc="8F14853E">
      <w:start w:val="1"/>
      <w:numFmt w:val="bullet"/>
      <w:lvlText w:val=""/>
      <w:lvlJc w:val="left"/>
      <w:pPr>
        <w:ind w:left="2880" w:hanging="360"/>
      </w:pPr>
      <w:rPr>
        <w:rFonts w:ascii="Symbol" w:hAnsi="Symbol" w:hint="default"/>
      </w:rPr>
    </w:lvl>
    <w:lvl w:ilvl="4" w:tplc="2E18A388">
      <w:start w:val="1"/>
      <w:numFmt w:val="bullet"/>
      <w:lvlText w:val="o"/>
      <w:lvlJc w:val="left"/>
      <w:pPr>
        <w:ind w:left="3600" w:hanging="360"/>
      </w:pPr>
      <w:rPr>
        <w:rFonts w:ascii="Courier New" w:hAnsi="Courier New" w:hint="default"/>
      </w:rPr>
    </w:lvl>
    <w:lvl w:ilvl="5" w:tplc="27FC6E7A">
      <w:start w:val="1"/>
      <w:numFmt w:val="bullet"/>
      <w:lvlText w:val=""/>
      <w:lvlJc w:val="left"/>
      <w:pPr>
        <w:ind w:left="4320" w:hanging="360"/>
      </w:pPr>
      <w:rPr>
        <w:rFonts w:ascii="Wingdings" w:hAnsi="Wingdings" w:hint="default"/>
      </w:rPr>
    </w:lvl>
    <w:lvl w:ilvl="6" w:tplc="C1569476">
      <w:start w:val="1"/>
      <w:numFmt w:val="bullet"/>
      <w:lvlText w:val=""/>
      <w:lvlJc w:val="left"/>
      <w:pPr>
        <w:ind w:left="5040" w:hanging="360"/>
      </w:pPr>
      <w:rPr>
        <w:rFonts w:ascii="Symbol" w:hAnsi="Symbol" w:hint="default"/>
      </w:rPr>
    </w:lvl>
    <w:lvl w:ilvl="7" w:tplc="DE6A129C">
      <w:start w:val="1"/>
      <w:numFmt w:val="bullet"/>
      <w:lvlText w:val="o"/>
      <w:lvlJc w:val="left"/>
      <w:pPr>
        <w:ind w:left="5760" w:hanging="360"/>
      </w:pPr>
      <w:rPr>
        <w:rFonts w:ascii="Courier New" w:hAnsi="Courier New" w:hint="default"/>
      </w:rPr>
    </w:lvl>
    <w:lvl w:ilvl="8" w:tplc="4C0E4A26">
      <w:start w:val="1"/>
      <w:numFmt w:val="bullet"/>
      <w:lvlText w:val=""/>
      <w:lvlJc w:val="left"/>
      <w:pPr>
        <w:ind w:left="6480" w:hanging="360"/>
      </w:pPr>
      <w:rPr>
        <w:rFonts w:ascii="Wingdings" w:hAnsi="Wingdings" w:hint="default"/>
      </w:rPr>
    </w:lvl>
  </w:abstractNum>
  <w:abstractNum w:abstractNumId="10" w15:restartNumberingAfterBreak="0">
    <w:nsid w:val="240D46E1"/>
    <w:multiLevelType w:val="hybridMultilevel"/>
    <w:tmpl w:val="D6587890"/>
    <w:lvl w:ilvl="0" w:tplc="B8645758">
      <w:start w:val="1"/>
      <w:numFmt w:val="bullet"/>
      <w:lvlText w:val=""/>
      <w:lvlJc w:val="left"/>
      <w:pPr>
        <w:ind w:left="720" w:hanging="360"/>
      </w:pPr>
      <w:rPr>
        <w:rFonts w:ascii="Symbol" w:hAnsi="Symbol" w:hint="default"/>
      </w:rPr>
    </w:lvl>
    <w:lvl w:ilvl="1" w:tplc="3F2A9788">
      <w:start w:val="1"/>
      <w:numFmt w:val="bullet"/>
      <w:lvlText w:val="o"/>
      <w:lvlJc w:val="left"/>
      <w:pPr>
        <w:ind w:left="1440" w:hanging="360"/>
      </w:pPr>
      <w:rPr>
        <w:rFonts w:ascii="Courier New" w:hAnsi="Courier New" w:hint="default"/>
      </w:rPr>
    </w:lvl>
    <w:lvl w:ilvl="2" w:tplc="D276B9D0">
      <w:start w:val="1"/>
      <w:numFmt w:val="bullet"/>
      <w:lvlText w:val=""/>
      <w:lvlJc w:val="left"/>
      <w:pPr>
        <w:ind w:left="2160" w:hanging="360"/>
      </w:pPr>
      <w:rPr>
        <w:rFonts w:ascii="Wingdings" w:hAnsi="Wingdings" w:hint="default"/>
      </w:rPr>
    </w:lvl>
    <w:lvl w:ilvl="3" w:tplc="0EB823DE">
      <w:start w:val="1"/>
      <w:numFmt w:val="bullet"/>
      <w:lvlText w:val=""/>
      <w:lvlJc w:val="left"/>
      <w:pPr>
        <w:ind w:left="2880" w:hanging="360"/>
      </w:pPr>
      <w:rPr>
        <w:rFonts w:ascii="Symbol" w:hAnsi="Symbol" w:hint="default"/>
      </w:rPr>
    </w:lvl>
    <w:lvl w:ilvl="4" w:tplc="40822520">
      <w:start w:val="1"/>
      <w:numFmt w:val="bullet"/>
      <w:lvlText w:val="o"/>
      <w:lvlJc w:val="left"/>
      <w:pPr>
        <w:ind w:left="3600" w:hanging="360"/>
      </w:pPr>
      <w:rPr>
        <w:rFonts w:ascii="Courier New" w:hAnsi="Courier New" w:hint="default"/>
      </w:rPr>
    </w:lvl>
    <w:lvl w:ilvl="5" w:tplc="892A7700">
      <w:start w:val="1"/>
      <w:numFmt w:val="bullet"/>
      <w:lvlText w:val=""/>
      <w:lvlJc w:val="left"/>
      <w:pPr>
        <w:ind w:left="4320" w:hanging="360"/>
      </w:pPr>
      <w:rPr>
        <w:rFonts w:ascii="Wingdings" w:hAnsi="Wingdings" w:hint="default"/>
      </w:rPr>
    </w:lvl>
    <w:lvl w:ilvl="6" w:tplc="E11A58C6">
      <w:start w:val="1"/>
      <w:numFmt w:val="bullet"/>
      <w:lvlText w:val=""/>
      <w:lvlJc w:val="left"/>
      <w:pPr>
        <w:ind w:left="5040" w:hanging="360"/>
      </w:pPr>
      <w:rPr>
        <w:rFonts w:ascii="Symbol" w:hAnsi="Symbol" w:hint="default"/>
      </w:rPr>
    </w:lvl>
    <w:lvl w:ilvl="7" w:tplc="08CA70E6">
      <w:start w:val="1"/>
      <w:numFmt w:val="bullet"/>
      <w:lvlText w:val="o"/>
      <w:lvlJc w:val="left"/>
      <w:pPr>
        <w:ind w:left="5760" w:hanging="360"/>
      </w:pPr>
      <w:rPr>
        <w:rFonts w:ascii="Courier New" w:hAnsi="Courier New" w:hint="default"/>
      </w:rPr>
    </w:lvl>
    <w:lvl w:ilvl="8" w:tplc="95961A24">
      <w:start w:val="1"/>
      <w:numFmt w:val="bullet"/>
      <w:lvlText w:val=""/>
      <w:lvlJc w:val="left"/>
      <w:pPr>
        <w:ind w:left="6480" w:hanging="360"/>
      </w:pPr>
      <w:rPr>
        <w:rFonts w:ascii="Wingdings" w:hAnsi="Wingdings" w:hint="default"/>
      </w:rPr>
    </w:lvl>
  </w:abstractNum>
  <w:abstractNum w:abstractNumId="11" w15:restartNumberingAfterBreak="0">
    <w:nsid w:val="299E58DD"/>
    <w:multiLevelType w:val="hybridMultilevel"/>
    <w:tmpl w:val="DCBA50B4"/>
    <w:lvl w:ilvl="0" w:tplc="36DE302E">
      <w:start w:val="1"/>
      <w:numFmt w:val="decimal"/>
      <w:lvlText w:val="%1."/>
      <w:lvlJc w:val="left"/>
      <w:pPr>
        <w:ind w:left="720" w:hanging="360"/>
      </w:pPr>
    </w:lvl>
    <w:lvl w:ilvl="1" w:tplc="D0E682CA">
      <w:start w:val="1"/>
      <w:numFmt w:val="lowerLetter"/>
      <w:lvlText w:val="%2."/>
      <w:lvlJc w:val="left"/>
      <w:pPr>
        <w:ind w:left="1440" w:hanging="360"/>
      </w:pPr>
    </w:lvl>
    <w:lvl w:ilvl="2" w:tplc="212AB696">
      <w:start w:val="1"/>
      <w:numFmt w:val="lowerRoman"/>
      <w:lvlText w:val="%3."/>
      <w:lvlJc w:val="right"/>
      <w:pPr>
        <w:ind w:left="2160" w:hanging="180"/>
      </w:pPr>
    </w:lvl>
    <w:lvl w:ilvl="3" w:tplc="17D23798">
      <w:start w:val="1"/>
      <w:numFmt w:val="decimal"/>
      <w:lvlText w:val="%4."/>
      <w:lvlJc w:val="left"/>
      <w:pPr>
        <w:ind w:left="2880" w:hanging="360"/>
      </w:pPr>
    </w:lvl>
    <w:lvl w:ilvl="4" w:tplc="24006E12">
      <w:start w:val="1"/>
      <w:numFmt w:val="lowerLetter"/>
      <w:lvlText w:val="%5."/>
      <w:lvlJc w:val="left"/>
      <w:pPr>
        <w:ind w:left="3600" w:hanging="360"/>
      </w:pPr>
    </w:lvl>
    <w:lvl w:ilvl="5" w:tplc="3F9832BE">
      <w:start w:val="1"/>
      <w:numFmt w:val="lowerRoman"/>
      <w:lvlText w:val="%6."/>
      <w:lvlJc w:val="right"/>
      <w:pPr>
        <w:ind w:left="4320" w:hanging="180"/>
      </w:pPr>
    </w:lvl>
    <w:lvl w:ilvl="6" w:tplc="F8545A64">
      <w:start w:val="1"/>
      <w:numFmt w:val="decimal"/>
      <w:lvlText w:val="%7."/>
      <w:lvlJc w:val="left"/>
      <w:pPr>
        <w:ind w:left="5040" w:hanging="360"/>
      </w:pPr>
    </w:lvl>
    <w:lvl w:ilvl="7" w:tplc="4B16EB42">
      <w:start w:val="1"/>
      <w:numFmt w:val="lowerLetter"/>
      <w:lvlText w:val="%8."/>
      <w:lvlJc w:val="left"/>
      <w:pPr>
        <w:ind w:left="5760" w:hanging="360"/>
      </w:pPr>
    </w:lvl>
    <w:lvl w:ilvl="8" w:tplc="F2BA8A1A">
      <w:start w:val="1"/>
      <w:numFmt w:val="lowerRoman"/>
      <w:lvlText w:val="%9."/>
      <w:lvlJc w:val="right"/>
      <w:pPr>
        <w:ind w:left="6480" w:hanging="180"/>
      </w:pPr>
    </w:lvl>
  </w:abstractNum>
  <w:abstractNum w:abstractNumId="12" w15:restartNumberingAfterBreak="0">
    <w:nsid w:val="2AF3543A"/>
    <w:multiLevelType w:val="hybridMultilevel"/>
    <w:tmpl w:val="D7EE781C"/>
    <w:lvl w:ilvl="0" w:tplc="1CAC5BC2">
      <w:start w:val="1"/>
      <w:numFmt w:val="bullet"/>
      <w:lvlText w:val="o"/>
      <w:lvlJc w:val="left"/>
      <w:pPr>
        <w:ind w:left="720" w:hanging="360"/>
      </w:pPr>
      <w:rPr>
        <w:rFonts w:ascii="Courier New" w:hAnsi="Courier New" w:hint="default"/>
      </w:rPr>
    </w:lvl>
    <w:lvl w:ilvl="1" w:tplc="8746332E">
      <w:start w:val="1"/>
      <w:numFmt w:val="bullet"/>
      <w:lvlText w:val="o"/>
      <w:lvlJc w:val="left"/>
      <w:pPr>
        <w:ind w:left="1440" w:hanging="360"/>
      </w:pPr>
      <w:rPr>
        <w:rFonts w:ascii="Courier New" w:hAnsi="Courier New" w:hint="default"/>
      </w:rPr>
    </w:lvl>
    <w:lvl w:ilvl="2" w:tplc="D49E64D6">
      <w:start w:val="1"/>
      <w:numFmt w:val="bullet"/>
      <w:lvlText w:val=""/>
      <w:lvlJc w:val="left"/>
      <w:pPr>
        <w:ind w:left="2160" w:hanging="360"/>
      </w:pPr>
      <w:rPr>
        <w:rFonts w:ascii="Wingdings" w:hAnsi="Wingdings" w:hint="default"/>
      </w:rPr>
    </w:lvl>
    <w:lvl w:ilvl="3" w:tplc="FD540468">
      <w:start w:val="1"/>
      <w:numFmt w:val="bullet"/>
      <w:lvlText w:val=""/>
      <w:lvlJc w:val="left"/>
      <w:pPr>
        <w:ind w:left="2880" w:hanging="360"/>
      </w:pPr>
      <w:rPr>
        <w:rFonts w:ascii="Symbol" w:hAnsi="Symbol" w:hint="default"/>
      </w:rPr>
    </w:lvl>
    <w:lvl w:ilvl="4" w:tplc="52BEC7D6">
      <w:start w:val="1"/>
      <w:numFmt w:val="bullet"/>
      <w:lvlText w:val="o"/>
      <w:lvlJc w:val="left"/>
      <w:pPr>
        <w:ind w:left="3600" w:hanging="360"/>
      </w:pPr>
      <w:rPr>
        <w:rFonts w:ascii="Courier New" w:hAnsi="Courier New" w:hint="default"/>
      </w:rPr>
    </w:lvl>
    <w:lvl w:ilvl="5" w:tplc="F5C2CBF8">
      <w:start w:val="1"/>
      <w:numFmt w:val="bullet"/>
      <w:lvlText w:val=""/>
      <w:lvlJc w:val="left"/>
      <w:pPr>
        <w:ind w:left="4320" w:hanging="360"/>
      </w:pPr>
      <w:rPr>
        <w:rFonts w:ascii="Wingdings" w:hAnsi="Wingdings" w:hint="default"/>
      </w:rPr>
    </w:lvl>
    <w:lvl w:ilvl="6" w:tplc="7D64F24A">
      <w:start w:val="1"/>
      <w:numFmt w:val="bullet"/>
      <w:lvlText w:val=""/>
      <w:lvlJc w:val="left"/>
      <w:pPr>
        <w:ind w:left="5040" w:hanging="360"/>
      </w:pPr>
      <w:rPr>
        <w:rFonts w:ascii="Symbol" w:hAnsi="Symbol" w:hint="default"/>
      </w:rPr>
    </w:lvl>
    <w:lvl w:ilvl="7" w:tplc="9D44D524">
      <w:start w:val="1"/>
      <w:numFmt w:val="bullet"/>
      <w:lvlText w:val="o"/>
      <w:lvlJc w:val="left"/>
      <w:pPr>
        <w:ind w:left="5760" w:hanging="360"/>
      </w:pPr>
      <w:rPr>
        <w:rFonts w:ascii="Courier New" w:hAnsi="Courier New" w:hint="default"/>
      </w:rPr>
    </w:lvl>
    <w:lvl w:ilvl="8" w:tplc="63F63BCC">
      <w:start w:val="1"/>
      <w:numFmt w:val="bullet"/>
      <w:lvlText w:val=""/>
      <w:lvlJc w:val="left"/>
      <w:pPr>
        <w:ind w:left="6480" w:hanging="360"/>
      </w:pPr>
      <w:rPr>
        <w:rFonts w:ascii="Wingdings" w:hAnsi="Wingdings" w:hint="default"/>
      </w:rPr>
    </w:lvl>
  </w:abstractNum>
  <w:abstractNum w:abstractNumId="13" w15:restartNumberingAfterBreak="0">
    <w:nsid w:val="31F0027E"/>
    <w:multiLevelType w:val="hybridMultilevel"/>
    <w:tmpl w:val="8C704910"/>
    <w:lvl w:ilvl="0" w:tplc="F97ED9A4">
      <w:start w:val="1"/>
      <w:numFmt w:val="bullet"/>
      <w:lvlText w:val=""/>
      <w:lvlJc w:val="left"/>
      <w:pPr>
        <w:ind w:left="720" w:hanging="360"/>
      </w:pPr>
      <w:rPr>
        <w:rFonts w:ascii="Symbol" w:hAnsi="Symbol" w:hint="default"/>
      </w:rPr>
    </w:lvl>
    <w:lvl w:ilvl="1" w:tplc="11F6718E" w:tentative="1">
      <w:start w:val="1"/>
      <w:numFmt w:val="bullet"/>
      <w:lvlText w:val="o"/>
      <w:lvlJc w:val="left"/>
      <w:pPr>
        <w:ind w:left="1440" w:hanging="360"/>
      </w:pPr>
      <w:rPr>
        <w:rFonts w:ascii="Courier New" w:hAnsi="Courier New" w:cs="Courier New" w:hint="default"/>
      </w:rPr>
    </w:lvl>
    <w:lvl w:ilvl="2" w:tplc="AEE41332" w:tentative="1">
      <w:start w:val="1"/>
      <w:numFmt w:val="bullet"/>
      <w:lvlText w:val=""/>
      <w:lvlJc w:val="left"/>
      <w:pPr>
        <w:ind w:left="2160" w:hanging="360"/>
      </w:pPr>
      <w:rPr>
        <w:rFonts w:ascii="Wingdings" w:hAnsi="Wingdings" w:hint="default"/>
      </w:rPr>
    </w:lvl>
    <w:lvl w:ilvl="3" w:tplc="BC42C14C" w:tentative="1">
      <w:start w:val="1"/>
      <w:numFmt w:val="bullet"/>
      <w:lvlText w:val=""/>
      <w:lvlJc w:val="left"/>
      <w:pPr>
        <w:ind w:left="2880" w:hanging="360"/>
      </w:pPr>
      <w:rPr>
        <w:rFonts w:ascii="Symbol" w:hAnsi="Symbol" w:hint="default"/>
      </w:rPr>
    </w:lvl>
    <w:lvl w:ilvl="4" w:tplc="1B0608D0" w:tentative="1">
      <w:start w:val="1"/>
      <w:numFmt w:val="bullet"/>
      <w:lvlText w:val="o"/>
      <w:lvlJc w:val="left"/>
      <w:pPr>
        <w:ind w:left="3600" w:hanging="360"/>
      </w:pPr>
      <w:rPr>
        <w:rFonts w:ascii="Courier New" w:hAnsi="Courier New" w:cs="Courier New" w:hint="default"/>
      </w:rPr>
    </w:lvl>
    <w:lvl w:ilvl="5" w:tplc="735E593E" w:tentative="1">
      <w:start w:val="1"/>
      <w:numFmt w:val="bullet"/>
      <w:lvlText w:val=""/>
      <w:lvlJc w:val="left"/>
      <w:pPr>
        <w:ind w:left="4320" w:hanging="360"/>
      </w:pPr>
      <w:rPr>
        <w:rFonts w:ascii="Wingdings" w:hAnsi="Wingdings" w:hint="default"/>
      </w:rPr>
    </w:lvl>
    <w:lvl w:ilvl="6" w:tplc="13061980" w:tentative="1">
      <w:start w:val="1"/>
      <w:numFmt w:val="bullet"/>
      <w:lvlText w:val=""/>
      <w:lvlJc w:val="left"/>
      <w:pPr>
        <w:ind w:left="5040" w:hanging="360"/>
      </w:pPr>
      <w:rPr>
        <w:rFonts w:ascii="Symbol" w:hAnsi="Symbol" w:hint="default"/>
      </w:rPr>
    </w:lvl>
    <w:lvl w:ilvl="7" w:tplc="97949B84" w:tentative="1">
      <w:start w:val="1"/>
      <w:numFmt w:val="bullet"/>
      <w:lvlText w:val="o"/>
      <w:lvlJc w:val="left"/>
      <w:pPr>
        <w:ind w:left="5760" w:hanging="360"/>
      </w:pPr>
      <w:rPr>
        <w:rFonts w:ascii="Courier New" w:hAnsi="Courier New" w:cs="Courier New" w:hint="default"/>
      </w:rPr>
    </w:lvl>
    <w:lvl w:ilvl="8" w:tplc="C0DC487E" w:tentative="1">
      <w:start w:val="1"/>
      <w:numFmt w:val="bullet"/>
      <w:lvlText w:val=""/>
      <w:lvlJc w:val="left"/>
      <w:pPr>
        <w:ind w:left="6480" w:hanging="360"/>
      </w:pPr>
      <w:rPr>
        <w:rFonts w:ascii="Wingdings" w:hAnsi="Wingdings" w:hint="default"/>
      </w:rPr>
    </w:lvl>
  </w:abstractNum>
  <w:abstractNum w:abstractNumId="14" w15:restartNumberingAfterBreak="0">
    <w:nsid w:val="3514787D"/>
    <w:multiLevelType w:val="hybridMultilevel"/>
    <w:tmpl w:val="2DE284DE"/>
    <w:lvl w:ilvl="0" w:tplc="D43A65E2">
      <w:start w:val="1"/>
      <w:numFmt w:val="decimal"/>
      <w:lvlText w:val="%1."/>
      <w:lvlJc w:val="left"/>
      <w:pPr>
        <w:ind w:left="720" w:hanging="360"/>
      </w:pPr>
    </w:lvl>
    <w:lvl w:ilvl="1" w:tplc="25963D4E">
      <w:start w:val="1"/>
      <w:numFmt w:val="lowerLetter"/>
      <w:lvlText w:val="%2."/>
      <w:lvlJc w:val="left"/>
      <w:pPr>
        <w:ind w:left="1440" w:hanging="360"/>
      </w:pPr>
    </w:lvl>
    <w:lvl w:ilvl="2" w:tplc="402C240A">
      <w:start w:val="1"/>
      <w:numFmt w:val="lowerRoman"/>
      <w:lvlText w:val="%3."/>
      <w:lvlJc w:val="right"/>
      <w:pPr>
        <w:ind w:left="2160" w:hanging="180"/>
      </w:pPr>
    </w:lvl>
    <w:lvl w:ilvl="3" w:tplc="E55CA8EC">
      <w:start w:val="1"/>
      <w:numFmt w:val="decimal"/>
      <w:lvlText w:val="%4."/>
      <w:lvlJc w:val="left"/>
      <w:pPr>
        <w:ind w:left="2880" w:hanging="360"/>
      </w:pPr>
    </w:lvl>
    <w:lvl w:ilvl="4" w:tplc="11962C3C">
      <w:start w:val="1"/>
      <w:numFmt w:val="lowerLetter"/>
      <w:lvlText w:val="%5."/>
      <w:lvlJc w:val="left"/>
      <w:pPr>
        <w:ind w:left="3600" w:hanging="360"/>
      </w:pPr>
    </w:lvl>
    <w:lvl w:ilvl="5" w:tplc="8788E75C">
      <w:start w:val="1"/>
      <w:numFmt w:val="lowerRoman"/>
      <w:lvlText w:val="%6."/>
      <w:lvlJc w:val="right"/>
      <w:pPr>
        <w:ind w:left="4320" w:hanging="180"/>
      </w:pPr>
    </w:lvl>
    <w:lvl w:ilvl="6" w:tplc="767C00CE">
      <w:start w:val="1"/>
      <w:numFmt w:val="decimal"/>
      <w:lvlText w:val="%7."/>
      <w:lvlJc w:val="left"/>
      <w:pPr>
        <w:ind w:left="5040" w:hanging="360"/>
      </w:pPr>
    </w:lvl>
    <w:lvl w:ilvl="7" w:tplc="3652532A">
      <w:start w:val="1"/>
      <w:numFmt w:val="lowerLetter"/>
      <w:lvlText w:val="%8."/>
      <w:lvlJc w:val="left"/>
      <w:pPr>
        <w:ind w:left="5760" w:hanging="360"/>
      </w:pPr>
    </w:lvl>
    <w:lvl w:ilvl="8" w:tplc="C414EE56">
      <w:start w:val="1"/>
      <w:numFmt w:val="lowerRoman"/>
      <w:lvlText w:val="%9."/>
      <w:lvlJc w:val="right"/>
      <w:pPr>
        <w:ind w:left="6480" w:hanging="180"/>
      </w:pPr>
    </w:lvl>
  </w:abstractNum>
  <w:abstractNum w:abstractNumId="15" w15:restartNumberingAfterBreak="0">
    <w:nsid w:val="39FB1FAB"/>
    <w:multiLevelType w:val="hybridMultilevel"/>
    <w:tmpl w:val="6B4A5F46"/>
    <w:lvl w:ilvl="0" w:tplc="2C9A99F2">
      <w:numFmt w:val="bullet"/>
      <w:lvlText w:val="-"/>
      <w:lvlJc w:val="left"/>
      <w:pPr>
        <w:ind w:left="782" w:hanging="360"/>
      </w:pPr>
      <w:rPr>
        <w:rFonts w:ascii="Verdana" w:eastAsia="Times New Roman" w:hAnsi="Verdana" w:cs="Times New Roman" w:hint="default"/>
      </w:rPr>
    </w:lvl>
    <w:lvl w:ilvl="1" w:tplc="7C80A53E" w:tentative="1">
      <w:start w:val="1"/>
      <w:numFmt w:val="bullet"/>
      <w:lvlText w:val="o"/>
      <w:lvlJc w:val="left"/>
      <w:pPr>
        <w:ind w:left="1502" w:hanging="360"/>
      </w:pPr>
      <w:rPr>
        <w:rFonts w:ascii="Courier New" w:hAnsi="Courier New" w:cs="Courier New" w:hint="default"/>
      </w:rPr>
    </w:lvl>
    <w:lvl w:ilvl="2" w:tplc="BAE8D5DC" w:tentative="1">
      <w:start w:val="1"/>
      <w:numFmt w:val="bullet"/>
      <w:lvlText w:val=""/>
      <w:lvlJc w:val="left"/>
      <w:pPr>
        <w:ind w:left="2222" w:hanging="360"/>
      </w:pPr>
      <w:rPr>
        <w:rFonts w:ascii="Wingdings" w:hAnsi="Wingdings" w:hint="default"/>
      </w:rPr>
    </w:lvl>
    <w:lvl w:ilvl="3" w:tplc="02026646" w:tentative="1">
      <w:start w:val="1"/>
      <w:numFmt w:val="bullet"/>
      <w:lvlText w:val=""/>
      <w:lvlJc w:val="left"/>
      <w:pPr>
        <w:ind w:left="2942" w:hanging="360"/>
      </w:pPr>
      <w:rPr>
        <w:rFonts w:ascii="Symbol" w:hAnsi="Symbol" w:hint="default"/>
      </w:rPr>
    </w:lvl>
    <w:lvl w:ilvl="4" w:tplc="F01857D4" w:tentative="1">
      <w:start w:val="1"/>
      <w:numFmt w:val="bullet"/>
      <w:lvlText w:val="o"/>
      <w:lvlJc w:val="left"/>
      <w:pPr>
        <w:ind w:left="3662" w:hanging="360"/>
      </w:pPr>
      <w:rPr>
        <w:rFonts w:ascii="Courier New" w:hAnsi="Courier New" w:cs="Courier New" w:hint="default"/>
      </w:rPr>
    </w:lvl>
    <w:lvl w:ilvl="5" w:tplc="B0D8C2B2" w:tentative="1">
      <w:start w:val="1"/>
      <w:numFmt w:val="bullet"/>
      <w:lvlText w:val=""/>
      <w:lvlJc w:val="left"/>
      <w:pPr>
        <w:ind w:left="4382" w:hanging="360"/>
      </w:pPr>
      <w:rPr>
        <w:rFonts w:ascii="Wingdings" w:hAnsi="Wingdings" w:hint="default"/>
      </w:rPr>
    </w:lvl>
    <w:lvl w:ilvl="6" w:tplc="C332039E" w:tentative="1">
      <w:start w:val="1"/>
      <w:numFmt w:val="bullet"/>
      <w:lvlText w:val=""/>
      <w:lvlJc w:val="left"/>
      <w:pPr>
        <w:ind w:left="5102" w:hanging="360"/>
      </w:pPr>
      <w:rPr>
        <w:rFonts w:ascii="Symbol" w:hAnsi="Symbol" w:hint="default"/>
      </w:rPr>
    </w:lvl>
    <w:lvl w:ilvl="7" w:tplc="3E14CF4A" w:tentative="1">
      <w:start w:val="1"/>
      <w:numFmt w:val="bullet"/>
      <w:lvlText w:val="o"/>
      <w:lvlJc w:val="left"/>
      <w:pPr>
        <w:ind w:left="5822" w:hanging="360"/>
      </w:pPr>
      <w:rPr>
        <w:rFonts w:ascii="Courier New" w:hAnsi="Courier New" w:cs="Courier New" w:hint="default"/>
      </w:rPr>
    </w:lvl>
    <w:lvl w:ilvl="8" w:tplc="F7483676" w:tentative="1">
      <w:start w:val="1"/>
      <w:numFmt w:val="bullet"/>
      <w:lvlText w:val=""/>
      <w:lvlJc w:val="left"/>
      <w:pPr>
        <w:ind w:left="6542" w:hanging="360"/>
      </w:pPr>
      <w:rPr>
        <w:rFonts w:ascii="Wingdings" w:hAnsi="Wingdings" w:hint="default"/>
      </w:rPr>
    </w:lvl>
  </w:abstractNum>
  <w:abstractNum w:abstractNumId="16" w15:restartNumberingAfterBreak="0">
    <w:nsid w:val="3ABD34EA"/>
    <w:multiLevelType w:val="hybridMultilevel"/>
    <w:tmpl w:val="18EC8E94"/>
    <w:lvl w:ilvl="0" w:tplc="4AF8A344">
      <w:start w:val="1"/>
      <w:numFmt w:val="bullet"/>
      <w:lvlText w:val=""/>
      <w:lvlJc w:val="left"/>
      <w:pPr>
        <w:ind w:left="1440" w:hanging="360"/>
      </w:pPr>
      <w:rPr>
        <w:rFonts w:ascii="Symbol" w:hAnsi="Symbol"/>
      </w:rPr>
    </w:lvl>
    <w:lvl w:ilvl="1" w:tplc="089ED2A6">
      <w:start w:val="1"/>
      <w:numFmt w:val="bullet"/>
      <w:lvlText w:val=""/>
      <w:lvlJc w:val="left"/>
      <w:pPr>
        <w:ind w:left="2160" w:hanging="360"/>
      </w:pPr>
      <w:rPr>
        <w:rFonts w:ascii="Symbol" w:hAnsi="Symbol"/>
      </w:rPr>
    </w:lvl>
    <w:lvl w:ilvl="2" w:tplc="B82ACABC">
      <w:start w:val="1"/>
      <w:numFmt w:val="bullet"/>
      <w:lvlText w:val=""/>
      <w:lvlJc w:val="left"/>
      <w:pPr>
        <w:ind w:left="2160" w:hanging="360"/>
      </w:pPr>
      <w:rPr>
        <w:rFonts w:ascii="Symbol" w:hAnsi="Symbol"/>
      </w:rPr>
    </w:lvl>
    <w:lvl w:ilvl="3" w:tplc="20FE20BE">
      <w:start w:val="1"/>
      <w:numFmt w:val="bullet"/>
      <w:lvlText w:val=""/>
      <w:lvlJc w:val="left"/>
      <w:pPr>
        <w:ind w:left="2160" w:hanging="360"/>
      </w:pPr>
      <w:rPr>
        <w:rFonts w:ascii="Symbol" w:hAnsi="Symbol"/>
      </w:rPr>
    </w:lvl>
    <w:lvl w:ilvl="4" w:tplc="8CC02000">
      <w:start w:val="1"/>
      <w:numFmt w:val="bullet"/>
      <w:lvlText w:val=""/>
      <w:lvlJc w:val="left"/>
      <w:pPr>
        <w:ind w:left="2160" w:hanging="360"/>
      </w:pPr>
      <w:rPr>
        <w:rFonts w:ascii="Symbol" w:hAnsi="Symbol"/>
      </w:rPr>
    </w:lvl>
    <w:lvl w:ilvl="5" w:tplc="29A03ED2">
      <w:start w:val="1"/>
      <w:numFmt w:val="bullet"/>
      <w:lvlText w:val=""/>
      <w:lvlJc w:val="left"/>
      <w:pPr>
        <w:ind w:left="2160" w:hanging="360"/>
      </w:pPr>
      <w:rPr>
        <w:rFonts w:ascii="Symbol" w:hAnsi="Symbol"/>
      </w:rPr>
    </w:lvl>
    <w:lvl w:ilvl="6" w:tplc="5F72FA40">
      <w:start w:val="1"/>
      <w:numFmt w:val="bullet"/>
      <w:lvlText w:val=""/>
      <w:lvlJc w:val="left"/>
      <w:pPr>
        <w:ind w:left="2160" w:hanging="360"/>
      </w:pPr>
      <w:rPr>
        <w:rFonts w:ascii="Symbol" w:hAnsi="Symbol"/>
      </w:rPr>
    </w:lvl>
    <w:lvl w:ilvl="7" w:tplc="328CABE0">
      <w:start w:val="1"/>
      <w:numFmt w:val="bullet"/>
      <w:lvlText w:val=""/>
      <w:lvlJc w:val="left"/>
      <w:pPr>
        <w:ind w:left="2160" w:hanging="360"/>
      </w:pPr>
      <w:rPr>
        <w:rFonts w:ascii="Symbol" w:hAnsi="Symbol"/>
      </w:rPr>
    </w:lvl>
    <w:lvl w:ilvl="8" w:tplc="4B5EC1B2">
      <w:start w:val="1"/>
      <w:numFmt w:val="bullet"/>
      <w:lvlText w:val=""/>
      <w:lvlJc w:val="left"/>
      <w:pPr>
        <w:ind w:left="2160" w:hanging="360"/>
      </w:pPr>
      <w:rPr>
        <w:rFonts w:ascii="Symbol" w:hAnsi="Symbol"/>
      </w:rPr>
    </w:lvl>
  </w:abstractNum>
  <w:abstractNum w:abstractNumId="17" w15:restartNumberingAfterBreak="0">
    <w:nsid w:val="3C7A4A54"/>
    <w:multiLevelType w:val="hybridMultilevel"/>
    <w:tmpl w:val="6E68F7C4"/>
    <w:lvl w:ilvl="0" w:tplc="DCA6490A">
      <w:start w:val="1"/>
      <w:numFmt w:val="bullet"/>
      <w:lvlText w:val="-"/>
      <w:lvlJc w:val="left"/>
      <w:pPr>
        <w:ind w:left="720" w:hanging="360"/>
      </w:pPr>
      <w:rPr>
        <w:rFonts w:ascii="Verdana" w:eastAsia="DejaVu Sans" w:hAnsi="Verdana" w:cs="Lohit Hindi" w:hint="default"/>
      </w:rPr>
    </w:lvl>
    <w:lvl w:ilvl="1" w:tplc="75E67FDC" w:tentative="1">
      <w:start w:val="1"/>
      <w:numFmt w:val="bullet"/>
      <w:lvlText w:val="o"/>
      <w:lvlJc w:val="left"/>
      <w:pPr>
        <w:ind w:left="1440" w:hanging="360"/>
      </w:pPr>
      <w:rPr>
        <w:rFonts w:ascii="Courier New" w:hAnsi="Courier New" w:cs="Courier New" w:hint="default"/>
      </w:rPr>
    </w:lvl>
    <w:lvl w:ilvl="2" w:tplc="90348FFE" w:tentative="1">
      <w:start w:val="1"/>
      <w:numFmt w:val="bullet"/>
      <w:lvlText w:val=""/>
      <w:lvlJc w:val="left"/>
      <w:pPr>
        <w:ind w:left="2160" w:hanging="360"/>
      </w:pPr>
      <w:rPr>
        <w:rFonts w:ascii="Wingdings" w:hAnsi="Wingdings" w:hint="default"/>
      </w:rPr>
    </w:lvl>
    <w:lvl w:ilvl="3" w:tplc="78642232" w:tentative="1">
      <w:start w:val="1"/>
      <w:numFmt w:val="bullet"/>
      <w:lvlText w:val=""/>
      <w:lvlJc w:val="left"/>
      <w:pPr>
        <w:ind w:left="2880" w:hanging="360"/>
      </w:pPr>
      <w:rPr>
        <w:rFonts w:ascii="Symbol" w:hAnsi="Symbol" w:hint="default"/>
      </w:rPr>
    </w:lvl>
    <w:lvl w:ilvl="4" w:tplc="223CB0F8" w:tentative="1">
      <w:start w:val="1"/>
      <w:numFmt w:val="bullet"/>
      <w:lvlText w:val="o"/>
      <w:lvlJc w:val="left"/>
      <w:pPr>
        <w:ind w:left="3600" w:hanging="360"/>
      </w:pPr>
      <w:rPr>
        <w:rFonts w:ascii="Courier New" w:hAnsi="Courier New" w:cs="Courier New" w:hint="default"/>
      </w:rPr>
    </w:lvl>
    <w:lvl w:ilvl="5" w:tplc="BDE20C04" w:tentative="1">
      <w:start w:val="1"/>
      <w:numFmt w:val="bullet"/>
      <w:lvlText w:val=""/>
      <w:lvlJc w:val="left"/>
      <w:pPr>
        <w:ind w:left="4320" w:hanging="360"/>
      </w:pPr>
      <w:rPr>
        <w:rFonts w:ascii="Wingdings" w:hAnsi="Wingdings" w:hint="default"/>
      </w:rPr>
    </w:lvl>
    <w:lvl w:ilvl="6" w:tplc="6DF6F1C0" w:tentative="1">
      <w:start w:val="1"/>
      <w:numFmt w:val="bullet"/>
      <w:lvlText w:val=""/>
      <w:lvlJc w:val="left"/>
      <w:pPr>
        <w:ind w:left="5040" w:hanging="360"/>
      </w:pPr>
      <w:rPr>
        <w:rFonts w:ascii="Symbol" w:hAnsi="Symbol" w:hint="default"/>
      </w:rPr>
    </w:lvl>
    <w:lvl w:ilvl="7" w:tplc="1652B1F8" w:tentative="1">
      <w:start w:val="1"/>
      <w:numFmt w:val="bullet"/>
      <w:lvlText w:val="o"/>
      <w:lvlJc w:val="left"/>
      <w:pPr>
        <w:ind w:left="5760" w:hanging="360"/>
      </w:pPr>
      <w:rPr>
        <w:rFonts w:ascii="Courier New" w:hAnsi="Courier New" w:cs="Courier New" w:hint="default"/>
      </w:rPr>
    </w:lvl>
    <w:lvl w:ilvl="8" w:tplc="295AB180" w:tentative="1">
      <w:start w:val="1"/>
      <w:numFmt w:val="bullet"/>
      <w:lvlText w:val=""/>
      <w:lvlJc w:val="left"/>
      <w:pPr>
        <w:ind w:left="6480" w:hanging="360"/>
      </w:pPr>
      <w:rPr>
        <w:rFonts w:ascii="Wingdings" w:hAnsi="Wingdings" w:hint="default"/>
      </w:rPr>
    </w:lvl>
  </w:abstractNum>
  <w:abstractNum w:abstractNumId="18" w15:restartNumberingAfterBreak="0">
    <w:nsid w:val="460A2F86"/>
    <w:multiLevelType w:val="hybridMultilevel"/>
    <w:tmpl w:val="C3C29126"/>
    <w:lvl w:ilvl="0" w:tplc="68F4DB16">
      <w:start w:val="1"/>
      <w:numFmt w:val="bullet"/>
      <w:pStyle w:val="Lijstopsomteken"/>
      <w:lvlText w:val="•"/>
      <w:lvlJc w:val="left"/>
      <w:pPr>
        <w:tabs>
          <w:tab w:val="num" w:pos="227"/>
        </w:tabs>
        <w:ind w:left="227" w:hanging="227"/>
      </w:pPr>
      <w:rPr>
        <w:rFonts w:ascii="Verdana" w:hAnsi="Verdana" w:hint="default"/>
      </w:rPr>
    </w:lvl>
    <w:lvl w:ilvl="1" w:tplc="6040E942">
      <w:start w:val="1"/>
      <w:numFmt w:val="bullet"/>
      <w:lvlText w:val="o"/>
      <w:lvlJc w:val="left"/>
      <w:pPr>
        <w:tabs>
          <w:tab w:val="num" w:pos="1440"/>
        </w:tabs>
        <w:ind w:left="1440" w:hanging="360"/>
      </w:pPr>
      <w:rPr>
        <w:rFonts w:ascii="Courier New" w:hAnsi="Courier New" w:cs="Arial" w:hint="default"/>
      </w:rPr>
    </w:lvl>
    <w:lvl w:ilvl="2" w:tplc="0A54BA68" w:tentative="1">
      <w:start w:val="1"/>
      <w:numFmt w:val="bullet"/>
      <w:lvlText w:val=""/>
      <w:lvlJc w:val="left"/>
      <w:pPr>
        <w:tabs>
          <w:tab w:val="num" w:pos="2160"/>
        </w:tabs>
        <w:ind w:left="2160" w:hanging="360"/>
      </w:pPr>
      <w:rPr>
        <w:rFonts w:ascii="Wingdings" w:hAnsi="Wingdings" w:hint="default"/>
      </w:rPr>
    </w:lvl>
    <w:lvl w:ilvl="3" w:tplc="9728580A" w:tentative="1">
      <w:start w:val="1"/>
      <w:numFmt w:val="bullet"/>
      <w:lvlText w:val=""/>
      <w:lvlJc w:val="left"/>
      <w:pPr>
        <w:tabs>
          <w:tab w:val="num" w:pos="2880"/>
        </w:tabs>
        <w:ind w:left="2880" w:hanging="360"/>
      </w:pPr>
      <w:rPr>
        <w:rFonts w:ascii="Symbol" w:hAnsi="Symbol" w:hint="default"/>
      </w:rPr>
    </w:lvl>
    <w:lvl w:ilvl="4" w:tplc="EDF6BDB8" w:tentative="1">
      <w:start w:val="1"/>
      <w:numFmt w:val="bullet"/>
      <w:lvlText w:val="o"/>
      <w:lvlJc w:val="left"/>
      <w:pPr>
        <w:tabs>
          <w:tab w:val="num" w:pos="3600"/>
        </w:tabs>
        <w:ind w:left="3600" w:hanging="360"/>
      </w:pPr>
      <w:rPr>
        <w:rFonts w:ascii="Courier New" w:hAnsi="Courier New" w:cs="Arial" w:hint="default"/>
      </w:rPr>
    </w:lvl>
    <w:lvl w:ilvl="5" w:tplc="B04CFD34" w:tentative="1">
      <w:start w:val="1"/>
      <w:numFmt w:val="bullet"/>
      <w:lvlText w:val=""/>
      <w:lvlJc w:val="left"/>
      <w:pPr>
        <w:tabs>
          <w:tab w:val="num" w:pos="4320"/>
        </w:tabs>
        <w:ind w:left="4320" w:hanging="360"/>
      </w:pPr>
      <w:rPr>
        <w:rFonts w:ascii="Wingdings" w:hAnsi="Wingdings" w:hint="default"/>
      </w:rPr>
    </w:lvl>
    <w:lvl w:ilvl="6" w:tplc="5142D5CA" w:tentative="1">
      <w:start w:val="1"/>
      <w:numFmt w:val="bullet"/>
      <w:lvlText w:val=""/>
      <w:lvlJc w:val="left"/>
      <w:pPr>
        <w:tabs>
          <w:tab w:val="num" w:pos="5040"/>
        </w:tabs>
        <w:ind w:left="5040" w:hanging="360"/>
      </w:pPr>
      <w:rPr>
        <w:rFonts w:ascii="Symbol" w:hAnsi="Symbol" w:hint="default"/>
      </w:rPr>
    </w:lvl>
    <w:lvl w:ilvl="7" w:tplc="207C8C28" w:tentative="1">
      <w:start w:val="1"/>
      <w:numFmt w:val="bullet"/>
      <w:lvlText w:val="o"/>
      <w:lvlJc w:val="left"/>
      <w:pPr>
        <w:tabs>
          <w:tab w:val="num" w:pos="5760"/>
        </w:tabs>
        <w:ind w:left="5760" w:hanging="360"/>
      </w:pPr>
      <w:rPr>
        <w:rFonts w:ascii="Courier New" w:hAnsi="Courier New" w:cs="Arial" w:hint="default"/>
      </w:rPr>
    </w:lvl>
    <w:lvl w:ilvl="8" w:tplc="6B504B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702BD4"/>
    <w:multiLevelType w:val="hybridMultilevel"/>
    <w:tmpl w:val="18721DF0"/>
    <w:lvl w:ilvl="0" w:tplc="CCE40270">
      <w:start w:val="1"/>
      <w:numFmt w:val="bullet"/>
      <w:lvlText w:val=""/>
      <w:lvlJc w:val="left"/>
      <w:pPr>
        <w:ind w:left="720" w:hanging="360"/>
      </w:pPr>
      <w:rPr>
        <w:rFonts w:ascii="Symbol" w:hAnsi="Symbol" w:hint="default"/>
      </w:rPr>
    </w:lvl>
    <w:lvl w:ilvl="1" w:tplc="CF22D402">
      <w:start w:val="1"/>
      <w:numFmt w:val="bullet"/>
      <w:lvlText w:val="o"/>
      <w:lvlJc w:val="left"/>
      <w:pPr>
        <w:ind w:left="1440" w:hanging="360"/>
      </w:pPr>
      <w:rPr>
        <w:rFonts w:ascii="Courier New" w:hAnsi="Courier New" w:hint="default"/>
      </w:rPr>
    </w:lvl>
    <w:lvl w:ilvl="2" w:tplc="FC82BD46">
      <w:start w:val="1"/>
      <w:numFmt w:val="bullet"/>
      <w:lvlText w:val=""/>
      <w:lvlJc w:val="left"/>
      <w:pPr>
        <w:ind w:left="2160" w:hanging="360"/>
      </w:pPr>
      <w:rPr>
        <w:rFonts w:ascii="Wingdings" w:hAnsi="Wingdings" w:hint="default"/>
      </w:rPr>
    </w:lvl>
    <w:lvl w:ilvl="3" w:tplc="9B383280">
      <w:start w:val="1"/>
      <w:numFmt w:val="bullet"/>
      <w:lvlText w:val=""/>
      <w:lvlJc w:val="left"/>
      <w:pPr>
        <w:ind w:left="2880" w:hanging="360"/>
      </w:pPr>
      <w:rPr>
        <w:rFonts w:ascii="Symbol" w:hAnsi="Symbol" w:hint="default"/>
      </w:rPr>
    </w:lvl>
    <w:lvl w:ilvl="4" w:tplc="E1AE59AE">
      <w:start w:val="1"/>
      <w:numFmt w:val="bullet"/>
      <w:lvlText w:val="o"/>
      <w:lvlJc w:val="left"/>
      <w:pPr>
        <w:ind w:left="3600" w:hanging="360"/>
      </w:pPr>
      <w:rPr>
        <w:rFonts w:ascii="Courier New" w:hAnsi="Courier New" w:hint="default"/>
      </w:rPr>
    </w:lvl>
    <w:lvl w:ilvl="5" w:tplc="D8189A96">
      <w:start w:val="1"/>
      <w:numFmt w:val="bullet"/>
      <w:lvlText w:val=""/>
      <w:lvlJc w:val="left"/>
      <w:pPr>
        <w:ind w:left="4320" w:hanging="360"/>
      </w:pPr>
      <w:rPr>
        <w:rFonts w:ascii="Wingdings" w:hAnsi="Wingdings" w:hint="default"/>
      </w:rPr>
    </w:lvl>
    <w:lvl w:ilvl="6" w:tplc="03CC268E">
      <w:start w:val="1"/>
      <w:numFmt w:val="bullet"/>
      <w:lvlText w:val=""/>
      <w:lvlJc w:val="left"/>
      <w:pPr>
        <w:ind w:left="5040" w:hanging="360"/>
      </w:pPr>
      <w:rPr>
        <w:rFonts w:ascii="Symbol" w:hAnsi="Symbol" w:hint="default"/>
      </w:rPr>
    </w:lvl>
    <w:lvl w:ilvl="7" w:tplc="7F682B1E">
      <w:start w:val="1"/>
      <w:numFmt w:val="bullet"/>
      <w:lvlText w:val="o"/>
      <w:lvlJc w:val="left"/>
      <w:pPr>
        <w:ind w:left="5760" w:hanging="360"/>
      </w:pPr>
      <w:rPr>
        <w:rFonts w:ascii="Courier New" w:hAnsi="Courier New" w:hint="default"/>
      </w:rPr>
    </w:lvl>
    <w:lvl w:ilvl="8" w:tplc="7B060980">
      <w:start w:val="1"/>
      <w:numFmt w:val="bullet"/>
      <w:lvlText w:val=""/>
      <w:lvlJc w:val="left"/>
      <w:pPr>
        <w:ind w:left="6480" w:hanging="360"/>
      </w:pPr>
      <w:rPr>
        <w:rFonts w:ascii="Wingdings" w:hAnsi="Wingdings" w:hint="default"/>
      </w:rPr>
    </w:lvl>
  </w:abstractNum>
  <w:abstractNum w:abstractNumId="20" w15:restartNumberingAfterBreak="0">
    <w:nsid w:val="54E63235"/>
    <w:multiLevelType w:val="hybridMultilevel"/>
    <w:tmpl w:val="D6ECCBAE"/>
    <w:lvl w:ilvl="0" w:tplc="CB308C2C">
      <w:start w:val="1"/>
      <w:numFmt w:val="bullet"/>
      <w:lvlText w:val="o"/>
      <w:lvlJc w:val="left"/>
      <w:pPr>
        <w:ind w:left="720" w:hanging="360"/>
      </w:pPr>
      <w:rPr>
        <w:rFonts w:ascii="Courier New" w:hAnsi="Courier New" w:hint="default"/>
      </w:rPr>
    </w:lvl>
    <w:lvl w:ilvl="1" w:tplc="EE40A1D0">
      <w:start w:val="1"/>
      <w:numFmt w:val="bullet"/>
      <w:lvlText w:val="o"/>
      <w:lvlJc w:val="left"/>
      <w:pPr>
        <w:ind w:left="1440" w:hanging="360"/>
      </w:pPr>
      <w:rPr>
        <w:rFonts w:ascii="Courier New" w:hAnsi="Courier New" w:hint="default"/>
      </w:rPr>
    </w:lvl>
    <w:lvl w:ilvl="2" w:tplc="25EAD4EC">
      <w:start w:val="1"/>
      <w:numFmt w:val="bullet"/>
      <w:lvlText w:val=""/>
      <w:lvlJc w:val="left"/>
      <w:pPr>
        <w:ind w:left="2160" w:hanging="360"/>
      </w:pPr>
      <w:rPr>
        <w:rFonts w:ascii="Wingdings" w:hAnsi="Wingdings" w:hint="default"/>
      </w:rPr>
    </w:lvl>
    <w:lvl w:ilvl="3" w:tplc="024463C4">
      <w:start w:val="1"/>
      <w:numFmt w:val="bullet"/>
      <w:lvlText w:val=""/>
      <w:lvlJc w:val="left"/>
      <w:pPr>
        <w:ind w:left="2880" w:hanging="360"/>
      </w:pPr>
      <w:rPr>
        <w:rFonts w:ascii="Symbol" w:hAnsi="Symbol" w:hint="default"/>
      </w:rPr>
    </w:lvl>
    <w:lvl w:ilvl="4" w:tplc="E266E956">
      <w:start w:val="1"/>
      <w:numFmt w:val="bullet"/>
      <w:lvlText w:val="o"/>
      <w:lvlJc w:val="left"/>
      <w:pPr>
        <w:ind w:left="3600" w:hanging="360"/>
      </w:pPr>
      <w:rPr>
        <w:rFonts w:ascii="Courier New" w:hAnsi="Courier New" w:hint="default"/>
      </w:rPr>
    </w:lvl>
    <w:lvl w:ilvl="5" w:tplc="28A6B30E">
      <w:start w:val="1"/>
      <w:numFmt w:val="bullet"/>
      <w:lvlText w:val=""/>
      <w:lvlJc w:val="left"/>
      <w:pPr>
        <w:ind w:left="4320" w:hanging="360"/>
      </w:pPr>
      <w:rPr>
        <w:rFonts w:ascii="Wingdings" w:hAnsi="Wingdings" w:hint="default"/>
      </w:rPr>
    </w:lvl>
    <w:lvl w:ilvl="6" w:tplc="920C6954">
      <w:start w:val="1"/>
      <w:numFmt w:val="bullet"/>
      <w:lvlText w:val=""/>
      <w:lvlJc w:val="left"/>
      <w:pPr>
        <w:ind w:left="5040" w:hanging="360"/>
      </w:pPr>
      <w:rPr>
        <w:rFonts w:ascii="Symbol" w:hAnsi="Symbol" w:hint="default"/>
      </w:rPr>
    </w:lvl>
    <w:lvl w:ilvl="7" w:tplc="57141742">
      <w:start w:val="1"/>
      <w:numFmt w:val="bullet"/>
      <w:lvlText w:val="o"/>
      <w:lvlJc w:val="left"/>
      <w:pPr>
        <w:ind w:left="5760" w:hanging="360"/>
      </w:pPr>
      <w:rPr>
        <w:rFonts w:ascii="Courier New" w:hAnsi="Courier New" w:hint="default"/>
      </w:rPr>
    </w:lvl>
    <w:lvl w:ilvl="8" w:tplc="A6522040">
      <w:start w:val="1"/>
      <w:numFmt w:val="bullet"/>
      <w:lvlText w:val=""/>
      <w:lvlJc w:val="left"/>
      <w:pPr>
        <w:ind w:left="6480" w:hanging="360"/>
      </w:pPr>
      <w:rPr>
        <w:rFonts w:ascii="Wingdings" w:hAnsi="Wingdings" w:hint="default"/>
      </w:rPr>
    </w:lvl>
  </w:abstractNum>
  <w:abstractNum w:abstractNumId="21" w15:restartNumberingAfterBreak="0">
    <w:nsid w:val="62407F94"/>
    <w:multiLevelType w:val="hybridMultilevel"/>
    <w:tmpl w:val="46F21588"/>
    <w:lvl w:ilvl="0" w:tplc="00C6F616">
      <w:start w:val="1"/>
      <w:numFmt w:val="bullet"/>
      <w:lvlText w:val=""/>
      <w:lvlJc w:val="left"/>
      <w:pPr>
        <w:ind w:left="720" w:hanging="360"/>
      </w:pPr>
      <w:rPr>
        <w:rFonts w:ascii="Wingdings" w:hAnsi="Wingdings" w:hint="default"/>
      </w:rPr>
    </w:lvl>
    <w:lvl w:ilvl="1" w:tplc="2BA0F82A">
      <w:start w:val="1"/>
      <w:numFmt w:val="bullet"/>
      <w:lvlText w:val="o"/>
      <w:lvlJc w:val="left"/>
      <w:pPr>
        <w:ind w:left="1440" w:hanging="360"/>
      </w:pPr>
      <w:rPr>
        <w:rFonts w:ascii="Courier New" w:hAnsi="Courier New" w:hint="default"/>
      </w:rPr>
    </w:lvl>
    <w:lvl w:ilvl="2" w:tplc="1BCE0774">
      <w:start w:val="1"/>
      <w:numFmt w:val="bullet"/>
      <w:lvlText w:val=""/>
      <w:lvlJc w:val="left"/>
      <w:pPr>
        <w:ind w:left="2160" w:hanging="360"/>
      </w:pPr>
      <w:rPr>
        <w:rFonts w:ascii="Wingdings" w:hAnsi="Wingdings" w:hint="default"/>
      </w:rPr>
    </w:lvl>
    <w:lvl w:ilvl="3" w:tplc="49442F86">
      <w:start w:val="1"/>
      <w:numFmt w:val="bullet"/>
      <w:lvlText w:val=""/>
      <w:lvlJc w:val="left"/>
      <w:pPr>
        <w:ind w:left="2880" w:hanging="360"/>
      </w:pPr>
      <w:rPr>
        <w:rFonts w:ascii="Symbol" w:hAnsi="Symbol" w:hint="default"/>
      </w:rPr>
    </w:lvl>
    <w:lvl w:ilvl="4" w:tplc="9AC898AC">
      <w:start w:val="1"/>
      <w:numFmt w:val="bullet"/>
      <w:lvlText w:val="o"/>
      <w:lvlJc w:val="left"/>
      <w:pPr>
        <w:ind w:left="3600" w:hanging="360"/>
      </w:pPr>
      <w:rPr>
        <w:rFonts w:ascii="Courier New" w:hAnsi="Courier New" w:hint="default"/>
      </w:rPr>
    </w:lvl>
    <w:lvl w:ilvl="5" w:tplc="9216E8B6">
      <w:start w:val="1"/>
      <w:numFmt w:val="bullet"/>
      <w:lvlText w:val=""/>
      <w:lvlJc w:val="left"/>
      <w:pPr>
        <w:ind w:left="4320" w:hanging="360"/>
      </w:pPr>
      <w:rPr>
        <w:rFonts w:ascii="Wingdings" w:hAnsi="Wingdings" w:hint="default"/>
      </w:rPr>
    </w:lvl>
    <w:lvl w:ilvl="6" w:tplc="32E000C0">
      <w:start w:val="1"/>
      <w:numFmt w:val="bullet"/>
      <w:lvlText w:val=""/>
      <w:lvlJc w:val="left"/>
      <w:pPr>
        <w:ind w:left="5040" w:hanging="360"/>
      </w:pPr>
      <w:rPr>
        <w:rFonts w:ascii="Symbol" w:hAnsi="Symbol" w:hint="default"/>
      </w:rPr>
    </w:lvl>
    <w:lvl w:ilvl="7" w:tplc="2D74251E">
      <w:start w:val="1"/>
      <w:numFmt w:val="bullet"/>
      <w:lvlText w:val="o"/>
      <w:lvlJc w:val="left"/>
      <w:pPr>
        <w:ind w:left="5760" w:hanging="360"/>
      </w:pPr>
      <w:rPr>
        <w:rFonts w:ascii="Courier New" w:hAnsi="Courier New" w:hint="default"/>
      </w:rPr>
    </w:lvl>
    <w:lvl w:ilvl="8" w:tplc="37622734">
      <w:start w:val="1"/>
      <w:numFmt w:val="bullet"/>
      <w:lvlText w:val=""/>
      <w:lvlJc w:val="left"/>
      <w:pPr>
        <w:ind w:left="6480" w:hanging="360"/>
      </w:pPr>
      <w:rPr>
        <w:rFonts w:ascii="Wingdings" w:hAnsi="Wingdings" w:hint="default"/>
      </w:rPr>
    </w:lvl>
  </w:abstractNum>
  <w:abstractNum w:abstractNumId="22" w15:restartNumberingAfterBreak="0">
    <w:nsid w:val="7867550B"/>
    <w:multiLevelType w:val="hybridMultilevel"/>
    <w:tmpl w:val="BDCCF0DA"/>
    <w:lvl w:ilvl="0" w:tplc="3942FB9A">
      <w:start w:val="1"/>
      <w:numFmt w:val="bullet"/>
      <w:lvlText w:val=""/>
      <w:lvlJc w:val="left"/>
      <w:pPr>
        <w:ind w:left="720" w:hanging="360"/>
      </w:pPr>
      <w:rPr>
        <w:rFonts w:ascii="Symbol" w:hAnsi="Symbol" w:hint="default"/>
      </w:rPr>
    </w:lvl>
    <w:lvl w:ilvl="1" w:tplc="D7905B80" w:tentative="1">
      <w:start w:val="1"/>
      <w:numFmt w:val="bullet"/>
      <w:lvlText w:val="o"/>
      <w:lvlJc w:val="left"/>
      <w:pPr>
        <w:ind w:left="1440" w:hanging="360"/>
      </w:pPr>
      <w:rPr>
        <w:rFonts w:ascii="Courier New" w:hAnsi="Courier New" w:cs="Courier New" w:hint="default"/>
      </w:rPr>
    </w:lvl>
    <w:lvl w:ilvl="2" w:tplc="BF98D230" w:tentative="1">
      <w:start w:val="1"/>
      <w:numFmt w:val="bullet"/>
      <w:lvlText w:val=""/>
      <w:lvlJc w:val="left"/>
      <w:pPr>
        <w:ind w:left="2160" w:hanging="360"/>
      </w:pPr>
      <w:rPr>
        <w:rFonts w:ascii="Wingdings" w:hAnsi="Wingdings" w:hint="default"/>
      </w:rPr>
    </w:lvl>
    <w:lvl w:ilvl="3" w:tplc="3B3CB6BC" w:tentative="1">
      <w:start w:val="1"/>
      <w:numFmt w:val="bullet"/>
      <w:lvlText w:val=""/>
      <w:lvlJc w:val="left"/>
      <w:pPr>
        <w:ind w:left="2880" w:hanging="360"/>
      </w:pPr>
      <w:rPr>
        <w:rFonts w:ascii="Symbol" w:hAnsi="Symbol" w:hint="default"/>
      </w:rPr>
    </w:lvl>
    <w:lvl w:ilvl="4" w:tplc="B9DEF43E" w:tentative="1">
      <w:start w:val="1"/>
      <w:numFmt w:val="bullet"/>
      <w:lvlText w:val="o"/>
      <w:lvlJc w:val="left"/>
      <w:pPr>
        <w:ind w:left="3600" w:hanging="360"/>
      </w:pPr>
      <w:rPr>
        <w:rFonts w:ascii="Courier New" w:hAnsi="Courier New" w:cs="Courier New" w:hint="default"/>
      </w:rPr>
    </w:lvl>
    <w:lvl w:ilvl="5" w:tplc="A33CE4C6" w:tentative="1">
      <w:start w:val="1"/>
      <w:numFmt w:val="bullet"/>
      <w:lvlText w:val=""/>
      <w:lvlJc w:val="left"/>
      <w:pPr>
        <w:ind w:left="4320" w:hanging="360"/>
      </w:pPr>
      <w:rPr>
        <w:rFonts w:ascii="Wingdings" w:hAnsi="Wingdings" w:hint="default"/>
      </w:rPr>
    </w:lvl>
    <w:lvl w:ilvl="6" w:tplc="0D98D268" w:tentative="1">
      <w:start w:val="1"/>
      <w:numFmt w:val="bullet"/>
      <w:lvlText w:val=""/>
      <w:lvlJc w:val="left"/>
      <w:pPr>
        <w:ind w:left="5040" w:hanging="360"/>
      </w:pPr>
      <w:rPr>
        <w:rFonts w:ascii="Symbol" w:hAnsi="Symbol" w:hint="default"/>
      </w:rPr>
    </w:lvl>
    <w:lvl w:ilvl="7" w:tplc="5AF61A4A" w:tentative="1">
      <w:start w:val="1"/>
      <w:numFmt w:val="bullet"/>
      <w:lvlText w:val="o"/>
      <w:lvlJc w:val="left"/>
      <w:pPr>
        <w:ind w:left="5760" w:hanging="360"/>
      </w:pPr>
      <w:rPr>
        <w:rFonts w:ascii="Courier New" w:hAnsi="Courier New" w:cs="Courier New" w:hint="default"/>
      </w:rPr>
    </w:lvl>
    <w:lvl w:ilvl="8" w:tplc="11C62B5C" w:tentative="1">
      <w:start w:val="1"/>
      <w:numFmt w:val="bullet"/>
      <w:lvlText w:val=""/>
      <w:lvlJc w:val="left"/>
      <w:pPr>
        <w:ind w:left="6480" w:hanging="360"/>
      </w:pPr>
      <w:rPr>
        <w:rFonts w:ascii="Wingdings" w:hAnsi="Wingdings" w:hint="default"/>
      </w:rPr>
    </w:lvl>
  </w:abstractNum>
  <w:abstractNum w:abstractNumId="23" w15:restartNumberingAfterBreak="0">
    <w:nsid w:val="7A6C4473"/>
    <w:multiLevelType w:val="hybridMultilevel"/>
    <w:tmpl w:val="6A10635C"/>
    <w:lvl w:ilvl="0" w:tplc="2B98DF24">
      <w:start w:val="1"/>
      <w:numFmt w:val="bullet"/>
      <w:lvlText w:val=""/>
      <w:lvlJc w:val="left"/>
      <w:pPr>
        <w:tabs>
          <w:tab w:val="num" w:pos="720"/>
        </w:tabs>
        <w:ind w:left="720" w:hanging="360"/>
      </w:pPr>
      <w:rPr>
        <w:rFonts w:ascii="Wingdings" w:hAnsi="Wingdings" w:hint="default"/>
      </w:rPr>
    </w:lvl>
    <w:lvl w:ilvl="1" w:tplc="FF12E194" w:tentative="1">
      <w:start w:val="1"/>
      <w:numFmt w:val="bullet"/>
      <w:lvlText w:val=""/>
      <w:lvlJc w:val="left"/>
      <w:pPr>
        <w:tabs>
          <w:tab w:val="num" w:pos="1440"/>
        </w:tabs>
        <w:ind w:left="1440" w:hanging="360"/>
      </w:pPr>
      <w:rPr>
        <w:rFonts w:ascii="Wingdings" w:hAnsi="Wingdings" w:hint="default"/>
      </w:rPr>
    </w:lvl>
    <w:lvl w:ilvl="2" w:tplc="78028A66" w:tentative="1">
      <w:start w:val="1"/>
      <w:numFmt w:val="bullet"/>
      <w:lvlText w:val=""/>
      <w:lvlJc w:val="left"/>
      <w:pPr>
        <w:tabs>
          <w:tab w:val="num" w:pos="2160"/>
        </w:tabs>
        <w:ind w:left="2160" w:hanging="360"/>
      </w:pPr>
      <w:rPr>
        <w:rFonts w:ascii="Wingdings" w:hAnsi="Wingdings" w:hint="default"/>
      </w:rPr>
    </w:lvl>
    <w:lvl w:ilvl="3" w:tplc="CF4C3704" w:tentative="1">
      <w:start w:val="1"/>
      <w:numFmt w:val="bullet"/>
      <w:lvlText w:val=""/>
      <w:lvlJc w:val="left"/>
      <w:pPr>
        <w:tabs>
          <w:tab w:val="num" w:pos="2880"/>
        </w:tabs>
        <w:ind w:left="2880" w:hanging="360"/>
      </w:pPr>
      <w:rPr>
        <w:rFonts w:ascii="Wingdings" w:hAnsi="Wingdings" w:hint="default"/>
      </w:rPr>
    </w:lvl>
    <w:lvl w:ilvl="4" w:tplc="0D26ED58" w:tentative="1">
      <w:start w:val="1"/>
      <w:numFmt w:val="bullet"/>
      <w:lvlText w:val=""/>
      <w:lvlJc w:val="left"/>
      <w:pPr>
        <w:tabs>
          <w:tab w:val="num" w:pos="3600"/>
        </w:tabs>
        <w:ind w:left="3600" w:hanging="360"/>
      </w:pPr>
      <w:rPr>
        <w:rFonts w:ascii="Wingdings" w:hAnsi="Wingdings" w:hint="default"/>
      </w:rPr>
    </w:lvl>
    <w:lvl w:ilvl="5" w:tplc="FC6ED02C" w:tentative="1">
      <w:start w:val="1"/>
      <w:numFmt w:val="bullet"/>
      <w:lvlText w:val=""/>
      <w:lvlJc w:val="left"/>
      <w:pPr>
        <w:tabs>
          <w:tab w:val="num" w:pos="4320"/>
        </w:tabs>
        <w:ind w:left="4320" w:hanging="360"/>
      </w:pPr>
      <w:rPr>
        <w:rFonts w:ascii="Wingdings" w:hAnsi="Wingdings" w:hint="default"/>
      </w:rPr>
    </w:lvl>
    <w:lvl w:ilvl="6" w:tplc="A19A3C6A" w:tentative="1">
      <w:start w:val="1"/>
      <w:numFmt w:val="bullet"/>
      <w:lvlText w:val=""/>
      <w:lvlJc w:val="left"/>
      <w:pPr>
        <w:tabs>
          <w:tab w:val="num" w:pos="5040"/>
        </w:tabs>
        <w:ind w:left="5040" w:hanging="360"/>
      </w:pPr>
      <w:rPr>
        <w:rFonts w:ascii="Wingdings" w:hAnsi="Wingdings" w:hint="default"/>
      </w:rPr>
    </w:lvl>
    <w:lvl w:ilvl="7" w:tplc="04EAD886" w:tentative="1">
      <w:start w:val="1"/>
      <w:numFmt w:val="bullet"/>
      <w:lvlText w:val=""/>
      <w:lvlJc w:val="left"/>
      <w:pPr>
        <w:tabs>
          <w:tab w:val="num" w:pos="5760"/>
        </w:tabs>
        <w:ind w:left="5760" w:hanging="360"/>
      </w:pPr>
      <w:rPr>
        <w:rFonts w:ascii="Wingdings" w:hAnsi="Wingdings" w:hint="default"/>
      </w:rPr>
    </w:lvl>
    <w:lvl w:ilvl="8" w:tplc="1FA45B6E" w:tentative="1">
      <w:start w:val="1"/>
      <w:numFmt w:val="bullet"/>
      <w:lvlText w:val=""/>
      <w:lvlJc w:val="left"/>
      <w:pPr>
        <w:tabs>
          <w:tab w:val="num" w:pos="6480"/>
        </w:tabs>
        <w:ind w:left="6480" w:hanging="360"/>
      </w:pPr>
      <w:rPr>
        <w:rFonts w:ascii="Wingdings" w:hAnsi="Wingdings" w:hint="default"/>
      </w:rPr>
    </w:lvl>
  </w:abstractNum>
  <w:num w:numId="1" w16cid:durableId="1041629598">
    <w:abstractNumId w:val="14"/>
  </w:num>
  <w:num w:numId="2" w16cid:durableId="1036855135">
    <w:abstractNumId w:val="12"/>
  </w:num>
  <w:num w:numId="3" w16cid:durableId="2095124001">
    <w:abstractNumId w:val="20"/>
  </w:num>
  <w:num w:numId="4" w16cid:durableId="2068647484">
    <w:abstractNumId w:val="9"/>
  </w:num>
  <w:num w:numId="5" w16cid:durableId="1211384251">
    <w:abstractNumId w:val="3"/>
  </w:num>
  <w:num w:numId="6" w16cid:durableId="1887136530">
    <w:abstractNumId w:val="21"/>
  </w:num>
  <w:num w:numId="7" w16cid:durableId="664943438">
    <w:abstractNumId w:val="19"/>
  </w:num>
  <w:num w:numId="8" w16cid:durableId="415596423">
    <w:abstractNumId w:val="6"/>
  </w:num>
  <w:num w:numId="9" w16cid:durableId="1887914748">
    <w:abstractNumId w:val="11"/>
  </w:num>
  <w:num w:numId="10" w16cid:durableId="1597444094">
    <w:abstractNumId w:val="0"/>
  </w:num>
  <w:num w:numId="11" w16cid:durableId="1134563658">
    <w:abstractNumId w:val="1"/>
  </w:num>
  <w:num w:numId="12" w16cid:durableId="1707481787">
    <w:abstractNumId w:val="7"/>
  </w:num>
  <w:num w:numId="13" w16cid:durableId="1736390088">
    <w:abstractNumId w:val="2"/>
  </w:num>
  <w:num w:numId="14" w16cid:durableId="1223637982">
    <w:abstractNumId w:val="8"/>
  </w:num>
  <w:num w:numId="15" w16cid:durableId="1322661020">
    <w:abstractNumId w:val="16"/>
  </w:num>
  <w:num w:numId="16" w16cid:durableId="365061534">
    <w:abstractNumId w:val="17"/>
  </w:num>
  <w:num w:numId="17" w16cid:durableId="1482497955">
    <w:abstractNumId w:val="22"/>
  </w:num>
  <w:num w:numId="18" w16cid:durableId="221716414">
    <w:abstractNumId w:val="10"/>
  </w:num>
  <w:num w:numId="19" w16cid:durableId="1955555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2393921">
    <w:abstractNumId w:val="4"/>
  </w:num>
  <w:num w:numId="21" w16cid:durableId="2119374607">
    <w:abstractNumId w:val="23"/>
  </w:num>
  <w:num w:numId="22" w16cid:durableId="1347442482">
    <w:abstractNumId w:val="5"/>
  </w:num>
  <w:num w:numId="23" w16cid:durableId="1081562855">
    <w:abstractNumId w:val="13"/>
  </w:num>
  <w:num w:numId="24" w16cid:durableId="840512949">
    <w:abstractNumId w:val="18"/>
  </w:num>
  <w:num w:numId="25" w16cid:durableId="111204491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BE"/>
    <w:rsid w:val="00001816"/>
    <w:rsid w:val="00011254"/>
    <w:rsid w:val="00020489"/>
    <w:rsid w:val="00021CB2"/>
    <w:rsid w:val="0002309D"/>
    <w:rsid w:val="00024416"/>
    <w:rsid w:val="000260C0"/>
    <w:rsid w:val="0003000C"/>
    <w:rsid w:val="000310E4"/>
    <w:rsid w:val="00031933"/>
    <w:rsid w:val="0003697D"/>
    <w:rsid w:val="000418A5"/>
    <w:rsid w:val="000446B0"/>
    <w:rsid w:val="000460C5"/>
    <w:rsid w:val="0004703D"/>
    <w:rsid w:val="00052105"/>
    <w:rsid w:val="0007333F"/>
    <w:rsid w:val="00076E64"/>
    <w:rsid w:val="00082ACE"/>
    <w:rsid w:val="000837E8"/>
    <w:rsid w:val="00091FD2"/>
    <w:rsid w:val="0009577D"/>
    <w:rsid w:val="00097A8E"/>
    <w:rsid w:val="00097CA7"/>
    <w:rsid w:val="000A245D"/>
    <w:rsid w:val="000A510F"/>
    <w:rsid w:val="000A7ECD"/>
    <w:rsid w:val="000B0226"/>
    <w:rsid w:val="000B2C3C"/>
    <w:rsid w:val="000B50A5"/>
    <w:rsid w:val="000B6418"/>
    <w:rsid w:val="000C0D41"/>
    <w:rsid w:val="000C2FDA"/>
    <w:rsid w:val="000C409F"/>
    <w:rsid w:val="000C61C6"/>
    <w:rsid w:val="000D1E66"/>
    <w:rsid w:val="000D59CD"/>
    <w:rsid w:val="000E00EB"/>
    <w:rsid w:val="000E0E42"/>
    <w:rsid w:val="000E1A06"/>
    <w:rsid w:val="000E720A"/>
    <w:rsid w:val="000F65A7"/>
    <w:rsid w:val="000F7159"/>
    <w:rsid w:val="00101A28"/>
    <w:rsid w:val="00107CF7"/>
    <w:rsid w:val="001126E7"/>
    <w:rsid w:val="00112C7F"/>
    <w:rsid w:val="00113DE9"/>
    <w:rsid w:val="0011628D"/>
    <w:rsid w:val="001222CD"/>
    <w:rsid w:val="001270BA"/>
    <w:rsid w:val="001330B7"/>
    <w:rsid w:val="001357BF"/>
    <w:rsid w:val="00144155"/>
    <w:rsid w:val="001452D6"/>
    <w:rsid w:val="001457C3"/>
    <w:rsid w:val="00150660"/>
    <w:rsid w:val="00152689"/>
    <w:rsid w:val="0016348A"/>
    <w:rsid w:val="00164D7A"/>
    <w:rsid w:val="00166272"/>
    <w:rsid w:val="00166927"/>
    <w:rsid w:val="001710F4"/>
    <w:rsid w:val="001721D8"/>
    <w:rsid w:val="00173F91"/>
    <w:rsid w:val="00175852"/>
    <w:rsid w:val="00193647"/>
    <w:rsid w:val="00195806"/>
    <w:rsid w:val="00197D6A"/>
    <w:rsid w:val="001A2E1D"/>
    <w:rsid w:val="001B1AB2"/>
    <w:rsid w:val="001B1C46"/>
    <w:rsid w:val="001C09DE"/>
    <w:rsid w:val="001C2151"/>
    <w:rsid w:val="001C318F"/>
    <w:rsid w:val="001C401C"/>
    <w:rsid w:val="001C58D7"/>
    <w:rsid w:val="001C7381"/>
    <w:rsid w:val="001D4A42"/>
    <w:rsid w:val="001D69A6"/>
    <w:rsid w:val="001E0AE1"/>
    <w:rsid w:val="001E2FE1"/>
    <w:rsid w:val="001F5A89"/>
    <w:rsid w:val="00203585"/>
    <w:rsid w:val="00203B91"/>
    <w:rsid w:val="00206C3D"/>
    <w:rsid w:val="0020734E"/>
    <w:rsid w:val="00207555"/>
    <w:rsid w:val="0021019D"/>
    <w:rsid w:val="00222690"/>
    <w:rsid w:val="00222F57"/>
    <w:rsid w:val="00231C29"/>
    <w:rsid w:val="00237C39"/>
    <w:rsid w:val="002410D2"/>
    <w:rsid w:val="00251410"/>
    <w:rsid w:val="00253FD0"/>
    <w:rsid w:val="00253FFB"/>
    <w:rsid w:val="002644CB"/>
    <w:rsid w:val="002649A2"/>
    <w:rsid w:val="00264B94"/>
    <w:rsid w:val="00265C00"/>
    <w:rsid w:val="0027368D"/>
    <w:rsid w:val="00276098"/>
    <w:rsid w:val="002822B0"/>
    <w:rsid w:val="002831C5"/>
    <w:rsid w:val="002870F7"/>
    <w:rsid w:val="0029175D"/>
    <w:rsid w:val="00295736"/>
    <w:rsid w:val="002B1860"/>
    <w:rsid w:val="002C2EB9"/>
    <w:rsid w:val="002C44EC"/>
    <w:rsid w:val="002C5F31"/>
    <w:rsid w:val="002D0765"/>
    <w:rsid w:val="002D0FFF"/>
    <w:rsid w:val="002D22A2"/>
    <w:rsid w:val="002D46A3"/>
    <w:rsid w:val="002D718E"/>
    <w:rsid w:val="002E03FD"/>
    <w:rsid w:val="002E6DDE"/>
    <w:rsid w:val="00310CBA"/>
    <w:rsid w:val="00310FC9"/>
    <w:rsid w:val="003122ED"/>
    <w:rsid w:val="00320303"/>
    <w:rsid w:val="00320FF4"/>
    <w:rsid w:val="00323EAF"/>
    <w:rsid w:val="003268E3"/>
    <w:rsid w:val="00327A64"/>
    <w:rsid w:val="003305EE"/>
    <w:rsid w:val="00336172"/>
    <w:rsid w:val="0033638F"/>
    <w:rsid w:val="00336E20"/>
    <w:rsid w:val="00337F9E"/>
    <w:rsid w:val="00345004"/>
    <w:rsid w:val="00346607"/>
    <w:rsid w:val="00346AD1"/>
    <w:rsid w:val="00350D2E"/>
    <w:rsid w:val="00352926"/>
    <w:rsid w:val="00353EE6"/>
    <w:rsid w:val="0035409A"/>
    <w:rsid w:val="00354202"/>
    <w:rsid w:val="00355ADA"/>
    <w:rsid w:val="00361394"/>
    <w:rsid w:val="0037032F"/>
    <w:rsid w:val="003754EE"/>
    <w:rsid w:val="00375C66"/>
    <w:rsid w:val="00377309"/>
    <w:rsid w:val="00381267"/>
    <w:rsid w:val="00387259"/>
    <w:rsid w:val="0039033A"/>
    <w:rsid w:val="00393FF7"/>
    <w:rsid w:val="0039466D"/>
    <w:rsid w:val="003A2A46"/>
    <w:rsid w:val="003A474C"/>
    <w:rsid w:val="003C5CCF"/>
    <w:rsid w:val="003C64E4"/>
    <w:rsid w:val="003D21A4"/>
    <w:rsid w:val="003E2923"/>
    <w:rsid w:val="003E2ADD"/>
    <w:rsid w:val="003E3634"/>
    <w:rsid w:val="003F0AF4"/>
    <w:rsid w:val="003F2C8F"/>
    <w:rsid w:val="003F48BA"/>
    <w:rsid w:val="003F6BE4"/>
    <w:rsid w:val="003F7775"/>
    <w:rsid w:val="00400D1F"/>
    <w:rsid w:val="0040148F"/>
    <w:rsid w:val="00402297"/>
    <w:rsid w:val="00402720"/>
    <w:rsid w:val="004028CD"/>
    <w:rsid w:val="0040647A"/>
    <w:rsid w:val="004142C9"/>
    <w:rsid w:val="00417F1A"/>
    <w:rsid w:val="00420AD3"/>
    <w:rsid w:val="0043007B"/>
    <w:rsid w:val="0044141A"/>
    <w:rsid w:val="00442A80"/>
    <w:rsid w:val="004441CA"/>
    <w:rsid w:val="00462DBA"/>
    <w:rsid w:val="00471487"/>
    <w:rsid w:val="00482350"/>
    <w:rsid w:val="00484560"/>
    <w:rsid w:val="004851C1"/>
    <w:rsid w:val="0048568F"/>
    <w:rsid w:val="0048593D"/>
    <w:rsid w:val="00490DAD"/>
    <w:rsid w:val="00497759"/>
    <w:rsid w:val="004A5AE5"/>
    <w:rsid w:val="004B2259"/>
    <w:rsid w:val="004B2591"/>
    <w:rsid w:val="004B5D81"/>
    <w:rsid w:val="004C5C70"/>
    <w:rsid w:val="004D2234"/>
    <w:rsid w:val="004D4C03"/>
    <w:rsid w:val="004E4EFC"/>
    <w:rsid w:val="004F25F1"/>
    <w:rsid w:val="0050319F"/>
    <w:rsid w:val="005056E4"/>
    <w:rsid w:val="0050694B"/>
    <w:rsid w:val="00510A7B"/>
    <w:rsid w:val="00510D72"/>
    <w:rsid w:val="005116AD"/>
    <w:rsid w:val="005153E6"/>
    <w:rsid w:val="00520DBE"/>
    <w:rsid w:val="005237FC"/>
    <w:rsid w:val="005263FF"/>
    <w:rsid w:val="00532FA0"/>
    <w:rsid w:val="00534D4E"/>
    <w:rsid w:val="0053701D"/>
    <w:rsid w:val="005372C8"/>
    <w:rsid w:val="00537603"/>
    <w:rsid w:val="00541745"/>
    <w:rsid w:val="00541FB4"/>
    <w:rsid w:val="00542A8F"/>
    <w:rsid w:val="00542C56"/>
    <w:rsid w:val="00542F1E"/>
    <w:rsid w:val="00545068"/>
    <w:rsid w:val="00551AD2"/>
    <w:rsid w:val="005553C6"/>
    <w:rsid w:val="00556FEE"/>
    <w:rsid w:val="005622B3"/>
    <w:rsid w:val="005676EF"/>
    <w:rsid w:val="00582FAF"/>
    <w:rsid w:val="005875BE"/>
    <w:rsid w:val="00593167"/>
    <w:rsid w:val="00595108"/>
    <w:rsid w:val="00597870"/>
    <w:rsid w:val="005A6238"/>
    <w:rsid w:val="005B0884"/>
    <w:rsid w:val="005B1DF8"/>
    <w:rsid w:val="005B56BA"/>
    <w:rsid w:val="005B657E"/>
    <w:rsid w:val="005C3997"/>
    <w:rsid w:val="005C5983"/>
    <w:rsid w:val="005D23A2"/>
    <w:rsid w:val="005D3741"/>
    <w:rsid w:val="005D3A9D"/>
    <w:rsid w:val="005E1752"/>
    <w:rsid w:val="005E21EE"/>
    <w:rsid w:val="005E39AA"/>
    <w:rsid w:val="005E4FB8"/>
    <w:rsid w:val="005E6597"/>
    <w:rsid w:val="00603009"/>
    <w:rsid w:val="006030F3"/>
    <w:rsid w:val="0060576C"/>
    <w:rsid w:val="006135BD"/>
    <w:rsid w:val="006148DB"/>
    <w:rsid w:val="006166C0"/>
    <w:rsid w:val="00622165"/>
    <w:rsid w:val="00622E1B"/>
    <w:rsid w:val="00626277"/>
    <w:rsid w:val="006313EE"/>
    <w:rsid w:val="00632D3D"/>
    <w:rsid w:val="0063402E"/>
    <w:rsid w:val="0063433D"/>
    <w:rsid w:val="00651779"/>
    <w:rsid w:val="006562C1"/>
    <w:rsid w:val="006578D9"/>
    <w:rsid w:val="0066386B"/>
    <w:rsid w:val="00666C2C"/>
    <w:rsid w:val="00667545"/>
    <w:rsid w:val="00673E75"/>
    <w:rsid w:val="00676A8A"/>
    <w:rsid w:val="00684D9C"/>
    <w:rsid w:val="00692F94"/>
    <w:rsid w:val="00697196"/>
    <w:rsid w:val="006A68CC"/>
    <w:rsid w:val="006B185F"/>
    <w:rsid w:val="006B2AC3"/>
    <w:rsid w:val="006B62BA"/>
    <w:rsid w:val="006B6F1D"/>
    <w:rsid w:val="006B7B39"/>
    <w:rsid w:val="006C40CA"/>
    <w:rsid w:val="006C47AB"/>
    <w:rsid w:val="006C52F0"/>
    <w:rsid w:val="006C6782"/>
    <w:rsid w:val="006D5008"/>
    <w:rsid w:val="006D59D6"/>
    <w:rsid w:val="006E0AE8"/>
    <w:rsid w:val="006E2190"/>
    <w:rsid w:val="006E373C"/>
    <w:rsid w:val="006E6098"/>
    <w:rsid w:val="006E7E60"/>
    <w:rsid w:val="006F2140"/>
    <w:rsid w:val="006F3F2B"/>
    <w:rsid w:val="00714DFF"/>
    <w:rsid w:val="00731ABD"/>
    <w:rsid w:val="00733D87"/>
    <w:rsid w:val="007366D4"/>
    <w:rsid w:val="007419B4"/>
    <w:rsid w:val="007430E5"/>
    <w:rsid w:val="007440E5"/>
    <w:rsid w:val="00744296"/>
    <w:rsid w:val="00751356"/>
    <w:rsid w:val="00752280"/>
    <w:rsid w:val="00752F21"/>
    <w:rsid w:val="00762BD5"/>
    <w:rsid w:val="00765BE7"/>
    <w:rsid w:val="00776A34"/>
    <w:rsid w:val="00785058"/>
    <w:rsid w:val="00792751"/>
    <w:rsid w:val="007A2822"/>
    <w:rsid w:val="007A7CBC"/>
    <w:rsid w:val="007B2F2C"/>
    <w:rsid w:val="007B6569"/>
    <w:rsid w:val="007B6A41"/>
    <w:rsid w:val="007C311E"/>
    <w:rsid w:val="007C6DE1"/>
    <w:rsid w:val="007E1A74"/>
    <w:rsid w:val="007E37F7"/>
    <w:rsid w:val="007E5484"/>
    <w:rsid w:val="007E79C7"/>
    <w:rsid w:val="007F02EE"/>
    <w:rsid w:val="007F07EE"/>
    <w:rsid w:val="007F1C45"/>
    <w:rsid w:val="007F3CBE"/>
    <w:rsid w:val="00805AC3"/>
    <w:rsid w:val="0080793D"/>
    <w:rsid w:val="00807BEE"/>
    <w:rsid w:val="00810AE3"/>
    <w:rsid w:val="008118E1"/>
    <w:rsid w:val="0081402A"/>
    <w:rsid w:val="00820301"/>
    <w:rsid w:val="0082156F"/>
    <w:rsid w:val="00823057"/>
    <w:rsid w:val="008234E0"/>
    <w:rsid w:val="00823FB5"/>
    <w:rsid w:val="008256F9"/>
    <w:rsid w:val="008303CF"/>
    <w:rsid w:val="00830D29"/>
    <w:rsid w:val="00836739"/>
    <w:rsid w:val="0084297B"/>
    <w:rsid w:val="00842C08"/>
    <w:rsid w:val="00845EA0"/>
    <w:rsid w:val="0084746D"/>
    <w:rsid w:val="008474AA"/>
    <w:rsid w:val="008551C4"/>
    <w:rsid w:val="00855378"/>
    <w:rsid w:val="008561A4"/>
    <w:rsid w:val="00856783"/>
    <w:rsid w:val="00856AB1"/>
    <w:rsid w:val="00857DFE"/>
    <w:rsid w:val="00860698"/>
    <w:rsid w:val="00860D28"/>
    <w:rsid w:val="00860F69"/>
    <w:rsid w:val="00862258"/>
    <w:rsid w:val="0086402C"/>
    <w:rsid w:val="0087034D"/>
    <w:rsid w:val="0087566A"/>
    <w:rsid w:val="00876107"/>
    <w:rsid w:val="00876F9B"/>
    <w:rsid w:val="00885F41"/>
    <w:rsid w:val="008873F6"/>
    <w:rsid w:val="008943AE"/>
    <w:rsid w:val="008963DC"/>
    <w:rsid w:val="008976B8"/>
    <w:rsid w:val="00897D47"/>
    <w:rsid w:val="008B1888"/>
    <w:rsid w:val="008B20AD"/>
    <w:rsid w:val="008B3308"/>
    <w:rsid w:val="008B6F8B"/>
    <w:rsid w:val="008C5652"/>
    <w:rsid w:val="008C63DA"/>
    <w:rsid w:val="008D0368"/>
    <w:rsid w:val="008D6806"/>
    <w:rsid w:val="008D7163"/>
    <w:rsid w:val="008F20DC"/>
    <w:rsid w:val="008F2F1A"/>
    <w:rsid w:val="008F3997"/>
    <w:rsid w:val="008F42CA"/>
    <w:rsid w:val="008F518D"/>
    <w:rsid w:val="009004CD"/>
    <w:rsid w:val="009031B6"/>
    <w:rsid w:val="00905B74"/>
    <w:rsid w:val="00911B35"/>
    <w:rsid w:val="00914033"/>
    <w:rsid w:val="00916777"/>
    <w:rsid w:val="00917A3A"/>
    <w:rsid w:val="00920F08"/>
    <w:rsid w:val="00923DB8"/>
    <w:rsid w:val="0092671B"/>
    <w:rsid w:val="0092720F"/>
    <w:rsid w:val="009319D8"/>
    <w:rsid w:val="0093295D"/>
    <w:rsid w:val="00933EB2"/>
    <w:rsid w:val="00944035"/>
    <w:rsid w:val="00947A1A"/>
    <w:rsid w:val="00951FBB"/>
    <w:rsid w:val="00956162"/>
    <w:rsid w:val="00956931"/>
    <w:rsid w:val="00973A88"/>
    <w:rsid w:val="00974B51"/>
    <w:rsid w:val="00976042"/>
    <w:rsid w:val="0097678B"/>
    <w:rsid w:val="00980003"/>
    <w:rsid w:val="00984C22"/>
    <w:rsid w:val="00986AB4"/>
    <w:rsid w:val="009902F6"/>
    <w:rsid w:val="0099324B"/>
    <w:rsid w:val="009957C9"/>
    <w:rsid w:val="009A5751"/>
    <w:rsid w:val="009A5E96"/>
    <w:rsid w:val="009A79F7"/>
    <w:rsid w:val="009B013A"/>
    <w:rsid w:val="009B13B5"/>
    <w:rsid w:val="009B660A"/>
    <w:rsid w:val="009C0097"/>
    <w:rsid w:val="009C2E90"/>
    <w:rsid w:val="009C4E3F"/>
    <w:rsid w:val="009C5187"/>
    <w:rsid w:val="009D5080"/>
    <w:rsid w:val="009D6A4F"/>
    <w:rsid w:val="009F1AAD"/>
    <w:rsid w:val="00A00D8C"/>
    <w:rsid w:val="00A0414F"/>
    <w:rsid w:val="00A104A0"/>
    <w:rsid w:val="00A152FD"/>
    <w:rsid w:val="00A1655B"/>
    <w:rsid w:val="00A16646"/>
    <w:rsid w:val="00A179ED"/>
    <w:rsid w:val="00A23638"/>
    <w:rsid w:val="00A37B68"/>
    <w:rsid w:val="00A41360"/>
    <w:rsid w:val="00A41CBB"/>
    <w:rsid w:val="00A430AA"/>
    <w:rsid w:val="00A51CBC"/>
    <w:rsid w:val="00A51E82"/>
    <w:rsid w:val="00A5314E"/>
    <w:rsid w:val="00A61C46"/>
    <w:rsid w:val="00A66216"/>
    <w:rsid w:val="00A7426F"/>
    <w:rsid w:val="00A7525E"/>
    <w:rsid w:val="00A754CC"/>
    <w:rsid w:val="00A76AC9"/>
    <w:rsid w:val="00A85CC9"/>
    <w:rsid w:val="00A90F70"/>
    <w:rsid w:val="00A91D96"/>
    <w:rsid w:val="00A94DF5"/>
    <w:rsid w:val="00A97E20"/>
    <w:rsid w:val="00AB0484"/>
    <w:rsid w:val="00AB0944"/>
    <w:rsid w:val="00AB1BD4"/>
    <w:rsid w:val="00AB307C"/>
    <w:rsid w:val="00AC7FD1"/>
    <w:rsid w:val="00AE40DE"/>
    <w:rsid w:val="00AE4FDE"/>
    <w:rsid w:val="00AF1C16"/>
    <w:rsid w:val="00AF38A6"/>
    <w:rsid w:val="00AF6EFE"/>
    <w:rsid w:val="00AF7BBA"/>
    <w:rsid w:val="00B03B65"/>
    <w:rsid w:val="00B03F0D"/>
    <w:rsid w:val="00B03F88"/>
    <w:rsid w:val="00B05778"/>
    <w:rsid w:val="00B0581A"/>
    <w:rsid w:val="00B06BA0"/>
    <w:rsid w:val="00B10BF2"/>
    <w:rsid w:val="00B12606"/>
    <w:rsid w:val="00B14EC8"/>
    <w:rsid w:val="00B2304A"/>
    <w:rsid w:val="00B358C7"/>
    <w:rsid w:val="00B35C86"/>
    <w:rsid w:val="00B46797"/>
    <w:rsid w:val="00B5432D"/>
    <w:rsid w:val="00B55ED8"/>
    <w:rsid w:val="00B666A6"/>
    <w:rsid w:val="00B71559"/>
    <w:rsid w:val="00B72098"/>
    <w:rsid w:val="00B75583"/>
    <w:rsid w:val="00B83679"/>
    <w:rsid w:val="00B8449A"/>
    <w:rsid w:val="00B85BD2"/>
    <w:rsid w:val="00BA1A70"/>
    <w:rsid w:val="00BA5099"/>
    <w:rsid w:val="00BA5EC9"/>
    <w:rsid w:val="00BB30E0"/>
    <w:rsid w:val="00BB3D89"/>
    <w:rsid w:val="00BC2764"/>
    <w:rsid w:val="00BC6C8D"/>
    <w:rsid w:val="00BC6CDF"/>
    <w:rsid w:val="00BD1EE2"/>
    <w:rsid w:val="00BD2A15"/>
    <w:rsid w:val="00BD407B"/>
    <w:rsid w:val="00BD5525"/>
    <w:rsid w:val="00BE0865"/>
    <w:rsid w:val="00BE19E6"/>
    <w:rsid w:val="00BE4A07"/>
    <w:rsid w:val="00BF3DEE"/>
    <w:rsid w:val="00C0126B"/>
    <w:rsid w:val="00C03DAB"/>
    <w:rsid w:val="00C05C42"/>
    <w:rsid w:val="00C05D4F"/>
    <w:rsid w:val="00C1044C"/>
    <w:rsid w:val="00C2062B"/>
    <w:rsid w:val="00C20FE0"/>
    <w:rsid w:val="00C21DCE"/>
    <w:rsid w:val="00C23ED2"/>
    <w:rsid w:val="00C25320"/>
    <w:rsid w:val="00C25507"/>
    <w:rsid w:val="00C34707"/>
    <w:rsid w:val="00C37295"/>
    <w:rsid w:val="00C44E02"/>
    <w:rsid w:val="00C454C8"/>
    <w:rsid w:val="00C46153"/>
    <w:rsid w:val="00C50FB3"/>
    <w:rsid w:val="00C518F7"/>
    <w:rsid w:val="00C53ED3"/>
    <w:rsid w:val="00C55224"/>
    <w:rsid w:val="00C57FA2"/>
    <w:rsid w:val="00C61CDC"/>
    <w:rsid w:val="00C63ABE"/>
    <w:rsid w:val="00C641E9"/>
    <w:rsid w:val="00C65898"/>
    <w:rsid w:val="00C70269"/>
    <w:rsid w:val="00C708C2"/>
    <w:rsid w:val="00C74236"/>
    <w:rsid w:val="00C80DD8"/>
    <w:rsid w:val="00C876D8"/>
    <w:rsid w:val="00C907B9"/>
    <w:rsid w:val="00C90FEB"/>
    <w:rsid w:val="00C9562D"/>
    <w:rsid w:val="00CA0194"/>
    <w:rsid w:val="00CA2A90"/>
    <w:rsid w:val="00CA60E5"/>
    <w:rsid w:val="00CB373B"/>
    <w:rsid w:val="00CB5CED"/>
    <w:rsid w:val="00CB6417"/>
    <w:rsid w:val="00CB6A67"/>
    <w:rsid w:val="00CC0A97"/>
    <w:rsid w:val="00CC1EA1"/>
    <w:rsid w:val="00CC3CED"/>
    <w:rsid w:val="00CC3DC2"/>
    <w:rsid w:val="00CC485E"/>
    <w:rsid w:val="00CD2BD4"/>
    <w:rsid w:val="00CD4580"/>
    <w:rsid w:val="00CE0F35"/>
    <w:rsid w:val="00CE1DF8"/>
    <w:rsid w:val="00D057C6"/>
    <w:rsid w:val="00D079E1"/>
    <w:rsid w:val="00D15E74"/>
    <w:rsid w:val="00D175B7"/>
    <w:rsid w:val="00D270D0"/>
    <w:rsid w:val="00D30938"/>
    <w:rsid w:val="00D334A0"/>
    <w:rsid w:val="00D3639F"/>
    <w:rsid w:val="00D37871"/>
    <w:rsid w:val="00D41847"/>
    <w:rsid w:val="00D42CF6"/>
    <w:rsid w:val="00D45BD2"/>
    <w:rsid w:val="00D52146"/>
    <w:rsid w:val="00D6559C"/>
    <w:rsid w:val="00D65680"/>
    <w:rsid w:val="00D66632"/>
    <w:rsid w:val="00D71D19"/>
    <w:rsid w:val="00D72ED2"/>
    <w:rsid w:val="00D73355"/>
    <w:rsid w:val="00D81FD8"/>
    <w:rsid w:val="00D83FB6"/>
    <w:rsid w:val="00D8671A"/>
    <w:rsid w:val="00D91DDE"/>
    <w:rsid w:val="00D94188"/>
    <w:rsid w:val="00D9714C"/>
    <w:rsid w:val="00DA0B66"/>
    <w:rsid w:val="00DA427C"/>
    <w:rsid w:val="00DA6306"/>
    <w:rsid w:val="00DB4A41"/>
    <w:rsid w:val="00DC0389"/>
    <w:rsid w:val="00DC268E"/>
    <w:rsid w:val="00DC40C5"/>
    <w:rsid w:val="00DC4389"/>
    <w:rsid w:val="00DC4830"/>
    <w:rsid w:val="00DC5208"/>
    <w:rsid w:val="00DC684A"/>
    <w:rsid w:val="00DD1218"/>
    <w:rsid w:val="00DD2491"/>
    <w:rsid w:val="00DD7E12"/>
    <w:rsid w:val="00DE25C8"/>
    <w:rsid w:val="00DE3D6A"/>
    <w:rsid w:val="00DE40F8"/>
    <w:rsid w:val="00DE69D0"/>
    <w:rsid w:val="00DE79E5"/>
    <w:rsid w:val="00DF3FEC"/>
    <w:rsid w:val="00DF58E4"/>
    <w:rsid w:val="00E03C45"/>
    <w:rsid w:val="00E04936"/>
    <w:rsid w:val="00E11BC1"/>
    <w:rsid w:val="00E11E27"/>
    <w:rsid w:val="00E16C88"/>
    <w:rsid w:val="00E3065C"/>
    <w:rsid w:val="00E34D84"/>
    <w:rsid w:val="00E35788"/>
    <w:rsid w:val="00E37972"/>
    <w:rsid w:val="00E415CB"/>
    <w:rsid w:val="00E4277E"/>
    <w:rsid w:val="00E42D35"/>
    <w:rsid w:val="00E4767B"/>
    <w:rsid w:val="00E51E2A"/>
    <w:rsid w:val="00E53AEE"/>
    <w:rsid w:val="00E54129"/>
    <w:rsid w:val="00E60FB0"/>
    <w:rsid w:val="00E627A8"/>
    <w:rsid w:val="00E635CA"/>
    <w:rsid w:val="00E66CB7"/>
    <w:rsid w:val="00E80ECB"/>
    <w:rsid w:val="00E81908"/>
    <w:rsid w:val="00E83FF5"/>
    <w:rsid w:val="00E863CA"/>
    <w:rsid w:val="00EA7913"/>
    <w:rsid w:val="00EA7A05"/>
    <w:rsid w:val="00ED3DAE"/>
    <w:rsid w:val="00ED7C3B"/>
    <w:rsid w:val="00ED7E5F"/>
    <w:rsid w:val="00EE271C"/>
    <w:rsid w:val="00EE760E"/>
    <w:rsid w:val="00EE7AE2"/>
    <w:rsid w:val="00EF116A"/>
    <w:rsid w:val="00EF441C"/>
    <w:rsid w:val="00EF7122"/>
    <w:rsid w:val="00F0111F"/>
    <w:rsid w:val="00F01AB8"/>
    <w:rsid w:val="00F13451"/>
    <w:rsid w:val="00F14354"/>
    <w:rsid w:val="00F20F5B"/>
    <w:rsid w:val="00F24BE4"/>
    <w:rsid w:val="00F25B4C"/>
    <w:rsid w:val="00F25E04"/>
    <w:rsid w:val="00F32E5C"/>
    <w:rsid w:val="00F5177E"/>
    <w:rsid w:val="00F60FAD"/>
    <w:rsid w:val="00F61891"/>
    <w:rsid w:val="00F6592D"/>
    <w:rsid w:val="00F670D0"/>
    <w:rsid w:val="00F7440B"/>
    <w:rsid w:val="00F75989"/>
    <w:rsid w:val="00F82290"/>
    <w:rsid w:val="00F903CD"/>
    <w:rsid w:val="00F91F2A"/>
    <w:rsid w:val="00F965DF"/>
    <w:rsid w:val="00F97F38"/>
    <w:rsid w:val="00FA0B8E"/>
    <w:rsid w:val="00FA5FE0"/>
    <w:rsid w:val="00FA6200"/>
    <w:rsid w:val="00FB365C"/>
    <w:rsid w:val="00FB3D23"/>
    <w:rsid w:val="00FB50BF"/>
    <w:rsid w:val="00FB6BF1"/>
    <w:rsid w:val="00FC0649"/>
    <w:rsid w:val="00FC31ED"/>
    <w:rsid w:val="00FC6587"/>
    <w:rsid w:val="00FC7B9F"/>
    <w:rsid w:val="00FD09EA"/>
    <w:rsid w:val="00FD202C"/>
    <w:rsid w:val="00FD2AFE"/>
    <w:rsid w:val="00FD55B8"/>
    <w:rsid w:val="00FE1842"/>
    <w:rsid w:val="00FE2464"/>
    <w:rsid w:val="00FE44FE"/>
    <w:rsid w:val="00FE76A7"/>
    <w:rsid w:val="00FF0080"/>
    <w:rsid w:val="00FF346D"/>
    <w:rsid w:val="00FF72E1"/>
    <w:rsid w:val="0140B0EA"/>
    <w:rsid w:val="02A4F1E3"/>
    <w:rsid w:val="03371D58"/>
    <w:rsid w:val="0440ADAE"/>
    <w:rsid w:val="055B78F4"/>
    <w:rsid w:val="0A5D397D"/>
    <w:rsid w:val="0C79F8D1"/>
    <w:rsid w:val="0D1AA460"/>
    <w:rsid w:val="0D7CF191"/>
    <w:rsid w:val="0E5A4EAE"/>
    <w:rsid w:val="1103CF1B"/>
    <w:rsid w:val="17612E33"/>
    <w:rsid w:val="181404FB"/>
    <w:rsid w:val="1A1042D8"/>
    <w:rsid w:val="1CB4567D"/>
    <w:rsid w:val="1EB77FC7"/>
    <w:rsid w:val="1F261160"/>
    <w:rsid w:val="220AC512"/>
    <w:rsid w:val="25ED57C5"/>
    <w:rsid w:val="2952A80C"/>
    <w:rsid w:val="29C99AF9"/>
    <w:rsid w:val="2AB625AC"/>
    <w:rsid w:val="2FB9FCEC"/>
    <w:rsid w:val="3210A525"/>
    <w:rsid w:val="3593EBBC"/>
    <w:rsid w:val="38A59335"/>
    <w:rsid w:val="38EF0E11"/>
    <w:rsid w:val="3A19F0A2"/>
    <w:rsid w:val="3C668A44"/>
    <w:rsid w:val="42A8699F"/>
    <w:rsid w:val="44A55841"/>
    <w:rsid w:val="44F1BA87"/>
    <w:rsid w:val="484011B6"/>
    <w:rsid w:val="49A4F9FE"/>
    <w:rsid w:val="49C44C18"/>
    <w:rsid w:val="4A1B8B42"/>
    <w:rsid w:val="4B4080B6"/>
    <w:rsid w:val="4B80FE90"/>
    <w:rsid w:val="4C7360BD"/>
    <w:rsid w:val="4F0D7052"/>
    <w:rsid w:val="4F9AAE18"/>
    <w:rsid w:val="539931A1"/>
    <w:rsid w:val="562D80B0"/>
    <w:rsid w:val="56A591A7"/>
    <w:rsid w:val="5A7C806D"/>
    <w:rsid w:val="5B1F7705"/>
    <w:rsid w:val="5D27F44B"/>
    <w:rsid w:val="5EE933F9"/>
    <w:rsid w:val="61E2BF40"/>
    <w:rsid w:val="621917DA"/>
    <w:rsid w:val="70B339D7"/>
    <w:rsid w:val="70DD1FBF"/>
    <w:rsid w:val="74FBFE66"/>
    <w:rsid w:val="76979360"/>
    <w:rsid w:val="773AB231"/>
    <w:rsid w:val="79414B30"/>
    <w:rsid w:val="7D7A00DB"/>
    <w:rsid w:val="7EC6F584"/>
    <w:rsid w:val="7FF9E9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A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0"/>
      </w:numPr>
      <w:tabs>
        <w:tab w:val="num" w:pos="360"/>
      </w:tabs>
    </w:pPr>
  </w:style>
  <w:style w:type="paragraph" w:customStyle="1" w:styleId="Artikelstreepjeinspringen">
    <w:name w:val="Artikel streepje inspringen"/>
    <w:basedOn w:val="Standaard"/>
    <w:next w:val="Standaard"/>
    <w:pPr>
      <w:numPr>
        <w:ilvl w:val="4"/>
        <w:numId w:val="10"/>
      </w:numPr>
      <w:tabs>
        <w:tab w:val="num" w:pos="360"/>
      </w:tabs>
    </w:pPr>
  </w:style>
  <w:style w:type="paragraph" w:customStyle="1" w:styleId="Artikelnummer">
    <w:name w:val="Artikelnummer"/>
    <w:basedOn w:val="Standaard"/>
    <w:pPr>
      <w:numPr>
        <w:numId w:val="10"/>
      </w:numPr>
      <w:spacing w:before="360"/>
    </w:pPr>
    <w:rPr>
      <w:b/>
    </w:rPr>
  </w:style>
  <w:style w:type="paragraph" w:customStyle="1" w:styleId="Comparitienummer">
    <w:name w:val="Comparitienummer"/>
    <w:basedOn w:val="Standaard"/>
    <w:next w:val="Standaard"/>
    <w:pPr>
      <w:numPr>
        <w:numId w:val="11"/>
      </w:numPr>
      <w:tabs>
        <w:tab w:val="num" w:pos="360"/>
      </w:tabs>
    </w:pPr>
  </w:style>
  <w:style w:type="numbering" w:customStyle="1" w:styleId="Genummerdelijst">
    <w:name w:val="Genummerde lijst"/>
    <w:pPr>
      <w:numPr>
        <w:numId w:val="12"/>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0"/>
      </w:numPr>
      <w:tabs>
        <w:tab w:val="left" w:pos="419"/>
      </w:tabs>
    </w:pPr>
  </w:style>
  <w:style w:type="paragraph" w:customStyle="1" w:styleId="Lidnummerabc">
    <w:name w:val="Lidnummer abc"/>
    <w:basedOn w:val="Standaard"/>
    <w:pPr>
      <w:numPr>
        <w:ilvl w:val="2"/>
        <w:numId w:val="10"/>
      </w:numPr>
      <w:tabs>
        <w:tab w:val="left" w:pos="402"/>
      </w:tabs>
    </w:pPr>
  </w:style>
  <w:style w:type="numbering" w:customStyle="1" w:styleId="Lijstmetopsommingstekens">
    <w:name w:val="Lijst met opsommingstekens"/>
    <w:pPr>
      <w:numPr>
        <w:numId w:val="13"/>
      </w:numPr>
    </w:pPr>
  </w:style>
  <w:style w:type="paragraph" w:customStyle="1" w:styleId="Nummering">
    <w:name w:val="Nummering"/>
    <w:basedOn w:val="Standaard"/>
    <w:uiPriority w:val="3"/>
    <w:qFormat/>
    <w:pPr>
      <w:numPr>
        <w:numId w:val="12"/>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13"/>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3A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3ABE"/>
    <w:rPr>
      <w:rFonts w:ascii="Verdana" w:hAnsi="Verdana"/>
      <w:color w:val="000000"/>
      <w:sz w:val="18"/>
      <w:szCs w:val="18"/>
    </w:rPr>
  </w:style>
  <w:style w:type="paragraph" w:styleId="Voettekst">
    <w:name w:val="footer"/>
    <w:basedOn w:val="Standaard"/>
    <w:link w:val="VoettekstChar"/>
    <w:uiPriority w:val="99"/>
    <w:unhideWhenUsed/>
    <w:rsid w:val="00C63AB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3ABE"/>
    <w:rPr>
      <w:rFonts w:ascii="Verdana" w:hAnsi="Verdana"/>
      <w:color w:val="000000"/>
      <w:sz w:val="18"/>
      <w:szCs w:val="18"/>
    </w:rPr>
  </w:style>
  <w:style w:type="paragraph" w:styleId="Lijstalinea">
    <w:name w:val="List Paragraph"/>
    <w:basedOn w:val="Standaard"/>
    <w:uiPriority w:val="34"/>
    <w:qFormat/>
    <w:pPr>
      <w:ind w:left="720"/>
      <w:contextualSpacing/>
    </w:pPr>
  </w:style>
  <w:style w:type="table" w:styleId="Rastertabel1licht-Accent1">
    <w:name w:val="Grid Table 1 Light Accent 1"/>
    <w:basedOn w:val="Standaardtabel"/>
    <w:uiPriority w:val="46"/>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Voetnootmarkering">
    <w:name w:val="footnote reference"/>
    <w:basedOn w:val="Standaardalinea-lettertype"/>
    <w:uiPriority w:val="99"/>
    <w:semiHidden/>
    <w:unhideWhenUsed/>
    <w:rPr>
      <w:vertAlign w:val="superscript"/>
    </w:rPr>
  </w:style>
  <w:style w:type="character" w:customStyle="1" w:styleId="VoetnoottekstChar">
    <w:name w:val="Voetnoottekst Char"/>
    <w:basedOn w:val="Standaardalinea-lettertype"/>
    <w:link w:val="Voetnoottekst"/>
    <w:uiPriority w:val="99"/>
    <w:semiHidden/>
    <w:rPr>
      <w:sz w:val="20"/>
      <w:szCs w:val="20"/>
    </w:rPr>
  </w:style>
  <w:style w:type="paragraph" w:styleId="Voetnoottekst">
    <w:name w:val="footnote text"/>
    <w:basedOn w:val="Standaard"/>
    <w:link w:val="VoetnoottekstChar"/>
    <w:uiPriority w:val="99"/>
    <w:semiHidden/>
    <w:unhideWhenUsed/>
    <w:pPr>
      <w:spacing w:line="240" w:lineRule="auto"/>
    </w:pPr>
    <w:rPr>
      <w:sz w:val="20"/>
      <w:szCs w:val="20"/>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color w:val="00000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FE44FE"/>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3F2C8F"/>
    <w:rPr>
      <w:b/>
      <w:bCs/>
    </w:rPr>
  </w:style>
  <w:style w:type="character" w:customStyle="1" w:styleId="OnderwerpvanopmerkingChar">
    <w:name w:val="Onderwerp van opmerking Char"/>
    <w:basedOn w:val="TekstopmerkingChar"/>
    <w:link w:val="Onderwerpvanopmerking"/>
    <w:uiPriority w:val="99"/>
    <w:semiHidden/>
    <w:rsid w:val="003F2C8F"/>
    <w:rPr>
      <w:rFonts w:ascii="Verdana" w:hAnsi="Verdana"/>
      <w:b/>
      <w:bCs/>
      <w:color w:val="000000"/>
    </w:rPr>
  </w:style>
  <w:style w:type="character" w:styleId="Onopgelostemelding">
    <w:name w:val="Unresolved Mention"/>
    <w:basedOn w:val="Standaardalinea-lettertype"/>
    <w:uiPriority w:val="99"/>
    <w:semiHidden/>
    <w:unhideWhenUsed/>
    <w:rsid w:val="00ED7C3B"/>
    <w:rPr>
      <w:color w:val="605E5C"/>
      <w:shd w:val="clear" w:color="auto" w:fill="E1DFDD"/>
    </w:rPr>
  </w:style>
  <w:style w:type="paragraph" w:styleId="Geenafstand">
    <w:name w:val="No Spacing"/>
    <w:uiPriority w:val="1"/>
    <w:qFormat/>
    <w:rsid w:val="00402297"/>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510A7B"/>
    <w:rPr>
      <w:color w:val="96607D" w:themeColor="followedHyperlink"/>
      <w:u w:val="single"/>
    </w:rPr>
  </w:style>
  <w:style w:type="paragraph" w:styleId="Lijstopsomteken">
    <w:name w:val="List Bullet"/>
    <w:basedOn w:val="Standaard"/>
    <w:rsid w:val="00830D29"/>
    <w:pPr>
      <w:numPr>
        <w:numId w:val="24"/>
      </w:numPr>
      <w:tabs>
        <w:tab w:val="clear" w:pos="227"/>
      </w:tabs>
      <w:autoSpaceDN/>
      <w:textAlignment w:val="auto"/>
    </w:pPr>
    <w:rPr>
      <w:rFonts w:eastAsia="Times New Roman" w:cs="Times New Roman"/>
      <w:noProof/>
      <w:color w:val="auto"/>
      <w:szCs w:val="24"/>
    </w:rPr>
  </w:style>
  <w:style w:type="paragraph" w:customStyle="1" w:styleId="Huisstijl-Toezendgegevens">
    <w:name w:val="Huisstijl - Toezendgegevens"/>
    <w:basedOn w:val="Standaard"/>
    <w:rsid w:val="00DC40C5"/>
    <w:pPr>
      <w:widowControl w:val="0"/>
      <w:suppressAutoHyphens/>
      <w:spacing w:line="240" w:lineRule="exact"/>
    </w:pPr>
    <w:rPr>
      <w:color w:val="auto"/>
      <w:kern w:val="3"/>
      <w:szCs w:val="24"/>
      <w:lang w:eastAsia="zh-CN" w:bidi="hi-IN"/>
    </w:rPr>
  </w:style>
  <w:style w:type="paragraph" w:customStyle="1" w:styleId="Huisstijl-Referentiegegevens">
    <w:name w:val="Huisstijl - Referentiegegevens"/>
    <w:basedOn w:val="Standaard"/>
    <w:rsid w:val="00DC40C5"/>
    <w:pPr>
      <w:widowControl w:val="0"/>
      <w:suppressAutoHyphens/>
      <w:spacing w:line="180" w:lineRule="exact"/>
    </w:pPr>
    <w:rPr>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6Z07016&amp;did=2026D15831" TargetMode="External"/><Relationship Id="rId2" Type="http://schemas.openxmlformats.org/officeDocument/2006/relationships/hyperlink" Target="https://wp-hetpotentieelpakken.s3.eu-central-1.amazonaws.com/2025/02/2409_VWS-Rapport_v12_compressed-1.pdf" TargetMode="External"/><Relationship Id="rId1" Type="http://schemas.openxmlformats.org/officeDocument/2006/relationships/hyperlink" Target="https://www.azwinfo.nl/longread/de-staat-van-de-arbeidsmarkt-zorg-en-welzijn-2025-trendrapporta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7361</ap:Words>
  <ap:Characters>40490</ap:Characters>
  <ap:DocSecurity>0</ap:DocSecurity>
  <ap:Lines>337</ap:Lines>
  <ap:Paragraphs>95</ap:Paragraphs>
  <ap:ScaleCrop>false</ap:ScaleCrop>
  <ap:LinksUpToDate>false</ap:LinksUpToDate>
  <ap:CharactersWithSpaces>47756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2026-06-02T08:41:00.0000000Z</dcterms:created>
  <dcterms:modified xsi:type="dcterms:W3CDTF">2026-06-02T08:41:00.0000000Z</dcterms:modified>
  <dc:description>------------------------</dc:description>
  <version/>
  <category/>
</coreProperties>
</file>