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4F1B" w:rsidR="00572FCF" w:rsidP="00314F1B" w:rsidRDefault="00D7354A" w14:paraId="1E23BD79" w14:textId="4F4848F6">
      <w:pPr>
        <w:spacing w:line="276" w:lineRule="auto"/>
      </w:pPr>
      <w:bookmarkStart w:name="_GoBack" w:id="0"/>
      <w:bookmarkEnd w:id="0"/>
      <w:r w:rsidRPr="00314F1B">
        <w:t>Geachte v</w:t>
      </w:r>
      <w:r w:rsidRPr="00314F1B" w:rsidR="00572FCF">
        <w:t>oorzitter</w:t>
      </w:r>
      <w:r w:rsidRPr="00314F1B">
        <w:t>,</w:t>
      </w:r>
    </w:p>
    <w:p w:rsidRPr="00314F1B" w:rsidR="00572FCF" w:rsidP="00314F1B" w:rsidRDefault="00572FCF" w14:paraId="4A19BC47" w14:textId="77777777">
      <w:pPr>
        <w:spacing w:line="276" w:lineRule="auto"/>
      </w:pPr>
    </w:p>
    <w:p w:rsidRPr="00314F1B" w:rsidR="00572FCF" w:rsidP="00314F1B" w:rsidRDefault="00572FCF" w14:paraId="61F6F51E" w14:textId="5EFAF1B7">
      <w:pPr>
        <w:spacing w:line="276" w:lineRule="auto"/>
      </w:pPr>
      <w:r w:rsidRPr="00314F1B">
        <w:rPr>
          <w:lang w:eastAsia="zh-CN"/>
        </w:rPr>
        <w:t xml:space="preserve">Hierbij ontvangt </w:t>
      </w:r>
      <w:r w:rsidR="00386092">
        <w:rPr>
          <w:lang w:eastAsia="zh-CN"/>
        </w:rPr>
        <w:t>de Kamer</w:t>
      </w:r>
      <w:r w:rsidRPr="00314F1B">
        <w:rPr>
          <w:lang w:eastAsia="zh-CN"/>
        </w:rPr>
        <w:t xml:space="preserve">, conform </w:t>
      </w:r>
      <w:r w:rsidRPr="00314F1B" w:rsidR="00D7354A">
        <w:rPr>
          <w:lang w:eastAsia="zh-CN"/>
        </w:rPr>
        <w:t xml:space="preserve">de </w:t>
      </w:r>
      <w:r w:rsidRPr="00314F1B">
        <w:rPr>
          <w:lang w:eastAsia="zh-CN"/>
        </w:rPr>
        <w:t xml:space="preserve">toezegging tijdens het </w:t>
      </w:r>
      <w:r w:rsidRPr="00F93854" w:rsidR="0063157D">
        <w:rPr>
          <w:lang w:eastAsia="zh-CN"/>
        </w:rPr>
        <w:t>commissiedebat s</w:t>
      </w:r>
      <w:r w:rsidRPr="00314F1B">
        <w:rPr>
          <w:lang w:eastAsia="zh-CN"/>
        </w:rPr>
        <w:t xml:space="preserve">poor op 18 december </w:t>
      </w:r>
      <w:r w:rsidR="00314F1B">
        <w:rPr>
          <w:lang w:eastAsia="zh-CN"/>
        </w:rPr>
        <w:t>jl.</w:t>
      </w:r>
      <w:r w:rsidRPr="00314F1B">
        <w:rPr>
          <w:lang w:eastAsia="zh-CN"/>
        </w:rPr>
        <w:t xml:space="preserve">, het </w:t>
      </w:r>
      <w:r w:rsidRPr="00314F1B" w:rsidR="00F34CB5">
        <w:rPr>
          <w:lang w:eastAsia="zh-CN"/>
        </w:rPr>
        <w:t>rapport</w:t>
      </w:r>
      <w:r w:rsidRPr="00314F1B">
        <w:rPr>
          <w:lang w:eastAsia="zh-CN"/>
        </w:rPr>
        <w:t xml:space="preserve"> van ProRail over kaderovereenkomsten</w:t>
      </w:r>
      <w:r w:rsidRPr="00314F1B">
        <w:t>.</w:t>
      </w:r>
      <w:r w:rsidRPr="00314F1B" w:rsidR="005F7495">
        <w:rPr>
          <w:rStyle w:val="FootnoteReference"/>
        </w:rPr>
        <w:footnoteReference w:id="1"/>
      </w:r>
      <w:r w:rsidRPr="00314F1B" w:rsidR="000E2794">
        <w:t xml:space="preserve"> Met deze brief </w:t>
      </w:r>
      <w:r w:rsidR="0000339F">
        <w:t xml:space="preserve">wordt </w:t>
      </w:r>
      <w:r w:rsidRPr="00314F1B" w:rsidR="000E2794">
        <w:t xml:space="preserve">invulling </w:t>
      </w:r>
      <w:r w:rsidR="0000339F">
        <w:t xml:space="preserve">gegeven </w:t>
      </w:r>
      <w:r w:rsidRPr="00314F1B" w:rsidR="000E2794">
        <w:t xml:space="preserve">aan </w:t>
      </w:r>
      <w:r w:rsidRPr="00314F1B" w:rsidR="000E2794">
        <w:rPr>
          <w:lang w:eastAsia="zh-CN"/>
        </w:rPr>
        <w:t xml:space="preserve">de motie van het lid Veltman </w:t>
      </w:r>
      <w:r w:rsidRPr="00314F1B" w:rsidR="001D124D">
        <w:rPr>
          <w:lang w:eastAsia="zh-CN"/>
        </w:rPr>
        <w:t xml:space="preserve">en de motie van de leden Veltman en </w:t>
      </w:r>
      <w:r w:rsidRPr="00314F1B" w:rsidR="0038275D">
        <w:rPr>
          <w:lang w:eastAsia="zh-CN"/>
        </w:rPr>
        <w:t>Olger v</w:t>
      </w:r>
      <w:r w:rsidRPr="00314F1B" w:rsidR="001D124D">
        <w:rPr>
          <w:lang w:eastAsia="zh-CN"/>
        </w:rPr>
        <w:t xml:space="preserve">an Dijk </w:t>
      </w:r>
      <w:r w:rsidRPr="00314F1B" w:rsidR="000E2794">
        <w:rPr>
          <w:lang w:eastAsia="zh-CN"/>
        </w:rPr>
        <w:t>over dit onderwerp</w:t>
      </w:r>
      <w:r w:rsidRPr="00314F1B" w:rsidR="000E2794">
        <w:rPr>
          <w:rStyle w:val="FootnoteReference"/>
          <w:lang w:eastAsia="zh-CN"/>
        </w:rPr>
        <w:footnoteReference w:id="2"/>
      </w:r>
      <w:r w:rsidRPr="00314F1B" w:rsidR="000E2794">
        <w:rPr>
          <w:lang w:eastAsia="zh-CN"/>
        </w:rPr>
        <w:t>.</w:t>
      </w:r>
    </w:p>
    <w:p w:rsidRPr="00314F1B" w:rsidR="00572FCF" w:rsidP="00314F1B" w:rsidRDefault="00572FCF" w14:paraId="6DAAB827" w14:textId="77777777">
      <w:pPr>
        <w:spacing w:line="276" w:lineRule="auto"/>
      </w:pPr>
    </w:p>
    <w:p w:rsidRPr="00C5303B" w:rsidR="001F2173" w:rsidP="00314F1B" w:rsidRDefault="001F2173" w14:paraId="2A18FE30" w14:textId="11062770">
      <w:pPr>
        <w:spacing w:line="276" w:lineRule="auto"/>
        <w:rPr>
          <w:color w:val="auto"/>
        </w:rPr>
      </w:pPr>
      <w:r>
        <w:t>Verder wordt d</w:t>
      </w:r>
      <w:r w:rsidRPr="00314F1B">
        <w:t xml:space="preserve">e </w:t>
      </w:r>
      <w:r>
        <w:t>K</w:t>
      </w:r>
      <w:r w:rsidRPr="00314F1B">
        <w:t>amer</w:t>
      </w:r>
      <w:r>
        <w:t xml:space="preserve"> in deze brief ge</w:t>
      </w:r>
      <w:r w:rsidRPr="00314F1B">
        <w:t>ïnformeerd over de nieuwe Europese verordening spoorweginfrastructuurcapaciteit</w:t>
      </w:r>
      <w:r>
        <w:t xml:space="preserve"> en </w:t>
      </w:r>
      <w:r w:rsidRPr="00314F1B">
        <w:t>de Nederlandse implementatie ervan</w:t>
      </w:r>
      <w:r>
        <w:t xml:space="preserve">. </w:t>
      </w:r>
      <w:r w:rsidRPr="00C5303B">
        <w:t xml:space="preserve">Recent </w:t>
      </w:r>
      <w:r w:rsidRPr="00C5303B" w:rsidR="005B2054">
        <w:t xml:space="preserve">is de </w:t>
      </w:r>
      <w:r w:rsidRPr="00C5303B">
        <w:t>Kamer geïnformeerd over de voortgang van het programma Toekomstige Marktordening Spoor</w:t>
      </w:r>
      <w:r w:rsidRPr="00C5303B" w:rsidR="00C868A7">
        <w:t xml:space="preserve"> (verder: TMS)</w:t>
      </w:r>
      <w:r w:rsidRPr="00C5303B">
        <w:t>.</w:t>
      </w:r>
      <w:r w:rsidRPr="00C5303B" w:rsidR="00775ED7">
        <w:rPr>
          <w:rStyle w:val="FootnoteReference"/>
        </w:rPr>
        <w:footnoteReference w:id="3"/>
      </w:r>
      <w:r w:rsidRPr="00C5303B">
        <w:t xml:space="preserve"> Parallel aan dit programma wordt gewerkt aan de voorbereiding van de implementatie van de verordening spoorweginfrastructuurcapaciteit. </w:t>
      </w:r>
      <w:r w:rsidRPr="00C5303B" w:rsidR="005F6B5D">
        <w:t xml:space="preserve">In deze brief worden de hoofdlijnen van deze verordening toegelicht. Daarbij komt ook de relatie met de toekomstige marktordening spoor aan de orde. </w:t>
      </w:r>
      <w:r w:rsidRPr="00C5303B">
        <w:t>Met de verordening verandert de manier waarop spoorwegcapaciteit wordt verdeeld. Onder de nieuwe verordening kan beleidssturing gegeven worden aan ProRail voor de verdeling van spoorcapaciteit. Voor de</w:t>
      </w:r>
      <w:r w:rsidRPr="00C5303B" w:rsidR="009000AA">
        <w:t>ze</w:t>
      </w:r>
      <w:r w:rsidRPr="00C5303B">
        <w:t xml:space="preserve"> beleidssturing </w:t>
      </w:r>
      <w:r w:rsidRPr="00C5303B" w:rsidR="006C6973">
        <w:t>worden</w:t>
      </w:r>
      <w:r w:rsidRPr="00C5303B">
        <w:t xml:space="preserve"> dezelfde doelen </w:t>
      </w:r>
      <w:r w:rsidRPr="00C5303B" w:rsidR="006C6973">
        <w:t xml:space="preserve">gehanteerd </w:t>
      </w:r>
      <w:r w:rsidRPr="00C5303B">
        <w:t xml:space="preserve">als voor de toekomstige marktordening op </w:t>
      </w:r>
      <w:r w:rsidRPr="00C5303B" w:rsidR="009000AA">
        <w:t xml:space="preserve">het </w:t>
      </w:r>
      <w:r w:rsidRPr="00C5303B">
        <w:t xml:space="preserve">spoor. Daarnaast </w:t>
      </w:r>
      <w:r w:rsidRPr="00C5303B" w:rsidR="003F1CBA">
        <w:t xml:space="preserve">worden </w:t>
      </w:r>
      <w:r w:rsidRPr="00C5303B">
        <w:t>hierin uiteraard de doelen voor goederenvervoer en internationaal personenvervoer</w:t>
      </w:r>
      <w:r w:rsidRPr="00C5303B" w:rsidR="009000AA">
        <w:t xml:space="preserve"> mee</w:t>
      </w:r>
      <w:r w:rsidRPr="00C5303B" w:rsidR="003F1CBA">
        <w:t>genomen</w:t>
      </w:r>
      <w:r w:rsidRPr="00C5303B">
        <w:t>.</w:t>
      </w:r>
      <w:r w:rsidRPr="00C5303B" w:rsidR="00C031D7">
        <w:t xml:space="preserve"> </w:t>
      </w:r>
    </w:p>
    <w:p w:rsidRPr="00314F1B" w:rsidR="00F667A6" w:rsidP="00314F1B" w:rsidRDefault="001F2173" w14:paraId="675D2B4D" w14:textId="5222254C">
      <w:pPr>
        <w:spacing w:line="276" w:lineRule="auto"/>
      </w:pPr>
      <w:r w:rsidRPr="00C5303B">
        <w:rPr>
          <w:color w:val="auto"/>
        </w:rPr>
        <w:t>Voorts</w:t>
      </w:r>
      <w:r w:rsidRPr="00C5303B" w:rsidR="0029064F">
        <w:rPr>
          <w:color w:val="auto"/>
        </w:rPr>
        <w:t xml:space="preserve"> wordt </w:t>
      </w:r>
      <w:r w:rsidRPr="00C5303B">
        <w:rPr>
          <w:color w:val="auto"/>
        </w:rPr>
        <w:t xml:space="preserve">de Kamer </w:t>
      </w:r>
      <w:r w:rsidRPr="00C5303B" w:rsidR="0029064F">
        <w:rPr>
          <w:color w:val="auto"/>
        </w:rPr>
        <w:t xml:space="preserve">geïnformeerd </w:t>
      </w:r>
      <w:r w:rsidRPr="00C5303B">
        <w:rPr>
          <w:color w:val="auto"/>
        </w:rPr>
        <w:t>over ontwikkelingen op het gebied van</w:t>
      </w:r>
      <w:r w:rsidRPr="00C5303B" w:rsidR="00913258">
        <w:rPr>
          <w:color w:val="auto"/>
        </w:rPr>
        <w:t xml:space="preserve"> internationa</w:t>
      </w:r>
      <w:r w:rsidRPr="00C5303B" w:rsidR="005F1FED">
        <w:rPr>
          <w:color w:val="auto"/>
        </w:rPr>
        <w:t>al reizigersvervoer</w:t>
      </w:r>
      <w:r w:rsidRPr="00C5303B" w:rsidR="005F1FED">
        <w:rPr>
          <w:rStyle w:val="FootnoteReference"/>
          <w:color w:val="auto"/>
        </w:rPr>
        <w:footnoteReference w:id="4"/>
      </w:r>
      <w:r w:rsidRPr="00C5303B" w:rsidR="005F1FED">
        <w:rPr>
          <w:color w:val="auto"/>
        </w:rPr>
        <w:t xml:space="preserve"> en internationale </w:t>
      </w:r>
      <w:r w:rsidRPr="00C5303B" w:rsidR="00F81C69">
        <w:t>nachttreinen</w:t>
      </w:r>
      <w:r w:rsidRPr="00C5303B" w:rsidR="0063157D">
        <w:t>.</w:t>
      </w:r>
      <w:r w:rsidRPr="00314F1B" w:rsidR="00F667A6">
        <w:t xml:space="preserve"> Hiermee wordt invulling gegeven aan de mot</w:t>
      </w:r>
      <w:r w:rsidRPr="00314F1B" w:rsidR="00637E88">
        <w:t>i</w:t>
      </w:r>
      <w:r w:rsidRPr="00314F1B" w:rsidR="00F667A6">
        <w:t xml:space="preserve">e van de leden </w:t>
      </w:r>
      <w:r w:rsidRPr="00314F1B" w:rsidR="00F667A6">
        <w:rPr>
          <w:lang w:eastAsia="zh-CN"/>
        </w:rPr>
        <w:t>Kröger en Dassen en de motie van de leden Dassen en Koekoek over internationaal reizigersvervoer per spoor</w:t>
      </w:r>
      <w:r w:rsidRPr="00314F1B" w:rsidR="00F667A6">
        <w:rPr>
          <w:rStyle w:val="FootnoteReference"/>
          <w:lang w:eastAsia="zh-CN"/>
        </w:rPr>
        <w:footnoteReference w:id="5"/>
      </w:r>
      <w:r w:rsidRPr="00314F1B" w:rsidR="00F667A6">
        <w:rPr>
          <w:lang w:eastAsia="zh-CN"/>
        </w:rPr>
        <w:t>.</w:t>
      </w:r>
    </w:p>
    <w:p w:rsidRPr="00314F1B" w:rsidR="00D7354A" w:rsidP="00314F1B" w:rsidRDefault="00D7354A" w14:paraId="76420238" w14:textId="65F0A521">
      <w:pPr>
        <w:spacing w:line="276" w:lineRule="auto"/>
      </w:pPr>
    </w:p>
    <w:p w:rsidRPr="00314F1B" w:rsidR="005E217C" w:rsidP="00314F1B" w:rsidRDefault="003C4CD3" w14:paraId="44943A15" w14:textId="7B0CAB9A">
      <w:pPr>
        <w:pStyle w:val="ListParagraph"/>
        <w:numPr>
          <w:ilvl w:val="0"/>
          <w:numId w:val="24"/>
        </w:numPr>
        <w:spacing w:line="276" w:lineRule="auto"/>
        <w:rPr>
          <w:b/>
          <w:bCs/>
        </w:rPr>
      </w:pPr>
      <w:r w:rsidRPr="00314F1B">
        <w:rPr>
          <w:b/>
          <w:bCs/>
        </w:rPr>
        <w:t>EU-verordening</w:t>
      </w:r>
      <w:r w:rsidRPr="00314F1B" w:rsidR="005E217C">
        <w:rPr>
          <w:b/>
          <w:bCs/>
        </w:rPr>
        <w:t xml:space="preserve"> spoorweginfrastructuurcapaciteit</w:t>
      </w:r>
    </w:p>
    <w:p w:rsidRPr="00314F1B" w:rsidR="00112D34" w:rsidP="00314F1B" w:rsidRDefault="00637E88" w14:paraId="1CEF201B" w14:textId="5BF5F031">
      <w:pPr>
        <w:spacing w:line="276" w:lineRule="auto"/>
        <w:rPr>
          <w:bCs/>
        </w:rPr>
      </w:pPr>
      <w:r w:rsidRPr="00314F1B">
        <w:t>Het</w:t>
      </w:r>
      <w:r w:rsidRPr="00314F1B">
        <w:rPr>
          <w:bCs/>
        </w:rPr>
        <w:t xml:space="preserve"> nieuwe Europese kader voor capaciteitsmanagement</w:t>
      </w:r>
      <w:r w:rsidRPr="00314F1B" w:rsidR="001B3705">
        <w:rPr>
          <w:bCs/>
        </w:rPr>
        <w:t>,</w:t>
      </w:r>
      <w:r w:rsidRPr="00314F1B">
        <w:rPr>
          <w:bCs/>
        </w:rPr>
        <w:t xml:space="preserve"> </w:t>
      </w:r>
      <w:r w:rsidRPr="00314F1B" w:rsidR="00B40698">
        <w:rPr>
          <w:bCs/>
        </w:rPr>
        <w:t xml:space="preserve">dat naar verwachting </w:t>
      </w:r>
      <w:r w:rsidRPr="00314F1B" w:rsidR="00112D34">
        <w:rPr>
          <w:bCs/>
        </w:rPr>
        <w:t>per</w:t>
      </w:r>
      <w:r w:rsidRPr="00314F1B" w:rsidR="00B40698">
        <w:rPr>
          <w:bCs/>
        </w:rPr>
        <w:t xml:space="preserve"> </w:t>
      </w:r>
      <w:r w:rsidRPr="00314F1B" w:rsidR="00B11D07">
        <w:rPr>
          <w:bCs/>
        </w:rPr>
        <w:t xml:space="preserve">medio </w:t>
      </w:r>
      <w:r w:rsidRPr="00314F1B" w:rsidR="00B40698">
        <w:rPr>
          <w:bCs/>
        </w:rPr>
        <w:t>juni</w:t>
      </w:r>
      <w:r w:rsidRPr="00314F1B" w:rsidR="00112D34">
        <w:rPr>
          <w:bCs/>
        </w:rPr>
        <w:t xml:space="preserve"> aanstaande rechtstreeks en gefaseerd</w:t>
      </w:r>
      <w:r w:rsidRPr="00314F1B" w:rsidR="00D71E66">
        <w:rPr>
          <w:bCs/>
        </w:rPr>
        <w:t xml:space="preserve"> tot het jaar 2031</w:t>
      </w:r>
      <w:r w:rsidRPr="00314F1B" w:rsidR="00B40698">
        <w:rPr>
          <w:bCs/>
        </w:rPr>
        <w:t xml:space="preserve"> in werking tr</w:t>
      </w:r>
      <w:r w:rsidRPr="00314F1B" w:rsidR="002573A6">
        <w:rPr>
          <w:bCs/>
        </w:rPr>
        <w:t>e</w:t>
      </w:r>
      <w:r w:rsidRPr="00314F1B" w:rsidR="00B40698">
        <w:rPr>
          <w:bCs/>
        </w:rPr>
        <w:t>ed</w:t>
      </w:r>
      <w:r w:rsidRPr="00314F1B" w:rsidR="002573A6">
        <w:rPr>
          <w:bCs/>
        </w:rPr>
        <w:t>t</w:t>
      </w:r>
      <w:r w:rsidRPr="00314F1B" w:rsidR="00B40698">
        <w:rPr>
          <w:bCs/>
        </w:rPr>
        <w:t xml:space="preserve">, </w:t>
      </w:r>
      <w:r w:rsidRPr="00314F1B">
        <w:rPr>
          <w:bCs/>
        </w:rPr>
        <w:t>moderniseert de manier waarop spoor</w:t>
      </w:r>
      <w:r w:rsidRPr="00314F1B" w:rsidR="001B3705">
        <w:rPr>
          <w:bCs/>
        </w:rPr>
        <w:t>weg</w:t>
      </w:r>
      <w:r w:rsidRPr="00314F1B">
        <w:rPr>
          <w:bCs/>
        </w:rPr>
        <w:t xml:space="preserve">capaciteit wordt verdeeld in </w:t>
      </w:r>
      <w:r w:rsidRPr="00314F1B" w:rsidR="001B3705">
        <w:rPr>
          <w:bCs/>
        </w:rPr>
        <w:lastRenderedPageBreak/>
        <w:t>Europa</w:t>
      </w:r>
      <w:r w:rsidRPr="00314F1B">
        <w:rPr>
          <w:bCs/>
        </w:rPr>
        <w:t xml:space="preserve">. </w:t>
      </w:r>
      <w:r w:rsidRPr="00314F1B" w:rsidR="006B5E19">
        <w:rPr>
          <w:bCs/>
        </w:rPr>
        <w:t xml:space="preserve">Voor Nederland is </w:t>
      </w:r>
      <w:r w:rsidRPr="00314F1B" w:rsidR="00B94F06">
        <w:rPr>
          <w:bCs/>
        </w:rPr>
        <w:t>dit</w:t>
      </w:r>
      <w:r w:rsidRPr="00314F1B" w:rsidR="006B5E19">
        <w:rPr>
          <w:bCs/>
        </w:rPr>
        <w:t xml:space="preserve"> van groot belang gezien </w:t>
      </w:r>
      <w:r w:rsidR="00314F1B">
        <w:rPr>
          <w:bCs/>
        </w:rPr>
        <w:t>ons</w:t>
      </w:r>
      <w:r w:rsidRPr="00314F1B" w:rsidR="006B5E19">
        <w:rPr>
          <w:bCs/>
        </w:rPr>
        <w:t xml:space="preserve"> druk bereden spoornetwerk en de gewenste ontwikkeling van internationale treindiensten voor goederen- en passagiersvervoer. Het is voor </w:t>
      </w:r>
      <w:r w:rsidR="00314F1B">
        <w:rPr>
          <w:bCs/>
        </w:rPr>
        <w:t>ons</w:t>
      </w:r>
      <w:r w:rsidRPr="00314F1B" w:rsidR="006B5E19">
        <w:rPr>
          <w:bCs/>
        </w:rPr>
        <w:t xml:space="preserve"> belangrijk</w:t>
      </w:r>
      <w:r w:rsidRPr="00314F1B" w:rsidR="00925544">
        <w:rPr>
          <w:bCs/>
        </w:rPr>
        <w:t xml:space="preserve"> om ook de binnenlandse reiziger zekerheid te bieden en</w:t>
      </w:r>
      <w:r w:rsidRPr="00314F1B" w:rsidR="006B5E19">
        <w:rPr>
          <w:bCs/>
        </w:rPr>
        <w:t xml:space="preserve"> bij schaarse capaciteit voldoende waarborgen te hebben voor de uitvoering van binnenlands spoorvervoer</w:t>
      </w:r>
      <w:r w:rsidRPr="00314F1B" w:rsidR="00925544">
        <w:rPr>
          <w:bCs/>
        </w:rPr>
        <w:t>.</w:t>
      </w:r>
      <w:r w:rsidRPr="00314F1B" w:rsidR="006B5E19">
        <w:rPr>
          <w:rStyle w:val="FootnoteReference"/>
          <w:bCs/>
        </w:rPr>
        <w:footnoteReference w:id="6"/>
      </w:r>
      <w:r w:rsidRPr="00314F1B" w:rsidR="006B5E19">
        <w:t xml:space="preserve"> Daarom</w:t>
      </w:r>
      <w:r w:rsidRPr="00314F1B" w:rsidR="006B5E19">
        <w:rPr>
          <w:bCs/>
        </w:rPr>
        <w:t xml:space="preserve"> </w:t>
      </w:r>
      <w:r w:rsidRPr="00314F1B" w:rsidR="004C5B60">
        <w:rPr>
          <w:bCs/>
        </w:rPr>
        <w:t>zijn</w:t>
      </w:r>
      <w:r w:rsidRPr="00314F1B" w:rsidR="006B5E19">
        <w:rPr>
          <w:bCs/>
        </w:rPr>
        <w:t xml:space="preserve"> voldoende bevoegdheden </w:t>
      </w:r>
      <w:r w:rsidRPr="00314F1B" w:rsidR="004C5B60">
        <w:rPr>
          <w:bCs/>
        </w:rPr>
        <w:t>voor de lidstaten van belang</w:t>
      </w:r>
      <w:r w:rsidRPr="00314F1B" w:rsidR="006B5E19">
        <w:rPr>
          <w:bCs/>
        </w:rPr>
        <w:t xml:space="preserve"> voor beleidssturing van de infrastructuurbeheerders. </w:t>
      </w:r>
      <w:r w:rsidRPr="00314F1B" w:rsidR="00B11D07">
        <w:t>Het BNC-fiche</w:t>
      </w:r>
      <w:r w:rsidRPr="00314F1B" w:rsidR="00B11D07">
        <w:rPr>
          <w:rStyle w:val="FootnoteReference"/>
        </w:rPr>
        <w:footnoteReference w:id="7"/>
      </w:r>
      <w:r w:rsidRPr="00314F1B" w:rsidR="00B11D07">
        <w:t xml:space="preserve"> en het gemeenschappelijk standpunt</w:t>
      </w:r>
      <w:r w:rsidRPr="00314F1B" w:rsidR="00B11D07">
        <w:rPr>
          <w:bCs/>
        </w:rPr>
        <w:t xml:space="preserve"> van de EU Transportraad 18 juni 2024</w:t>
      </w:r>
      <w:r w:rsidRPr="00314F1B" w:rsidR="00B11D07">
        <w:rPr>
          <w:rStyle w:val="FootnoteReference"/>
          <w:bCs/>
        </w:rPr>
        <w:footnoteReference w:id="8"/>
      </w:r>
      <w:r w:rsidRPr="00314F1B" w:rsidR="00B11D07">
        <w:rPr>
          <w:bCs/>
        </w:rPr>
        <w:t xml:space="preserve"> zijn voor Nederland leidend geweest in de onderhandelingen in de Raad, en in de triloog met het Europees Parlement (EP</w:t>
      </w:r>
      <w:r w:rsidRPr="00314F1B" w:rsidR="00D71E66">
        <w:rPr>
          <w:bCs/>
        </w:rPr>
        <w:t>)</w:t>
      </w:r>
      <w:r w:rsidRPr="00314F1B" w:rsidR="00B11D07">
        <w:rPr>
          <w:bCs/>
        </w:rPr>
        <w:t xml:space="preserve"> en de Europese Commissie (EC).</w:t>
      </w:r>
    </w:p>
    <w:p w:rsidRPr="00314F1B" w:rsidR="00112D34" w:rsidP="00314F1B" w:rsidRDefault="00112D34" w14:paraId="12E3B749" w14:textId="77777777">
      <w:pPr>
        <w:spacing w:line="276" w:lineRule="auto"/>
        <w:rPr>
          <w:bCs/>
        </w:rPr>
      </w:pPr>
    </w:p>
    <w:p w:rsidRPr="00314F1B" w:rsidR="00F8460F" w:rsidP="00314F1B" w:rsidRDefault="00112D34" w14:paraId="7D532880" w14:textId="58CEA318">
      <w:pPr>
        <w:spacing w:line="276" w:lineRule="auto"/>
        <w:rPr>
          <w:bCs/>
        </w:rPr>
      </w:pPr>
      <w:r w:rsidRPr="00314F1B">
        <w:rPr>
          <w:bCs/>
        </w:rPr>
        <w:t>In het eindakkoord zijn voldoende</w:t>
      </w:r>
      <w:r w:rsidRPr="00314F1B" w:rsidR="006B5E19">
        <w:rPr>
          <w:bCs/>
        </w:rPr>
        <w:t xml:space="preserve"> bevoegdheden </w:t>
      </w:r>
      <w:r w:rsidRPr="00314F1B">
        <w:rPr>
          <w:bCs/>
        </w:rPr>
        <w:t>voor</w:t>
      </w:r>
      <w:r w:rsidRPr="00314F1B" w:rsidR="006B5E19">
        <w:rPr>
          <w:bCs/>
        </w:rPr>
        <w:t xml:space="preserve"> lidstaten verkregen</w:t>
      </w:r>
      <w:r w:rsidRPr="00314F1B">
        <w:rPr>
          <w:bCs/>
        </w:rPr>
        <w:t>, omdat een lidstaat een infrastructuurbeheerder via</w:t>
      </w:r>
      <w:r w:rsidRPr="00314F1B" w:rsidR="00084738">
        <w:rPr>
          <w:bCs/>
        </w:rPr>
        <w:t xml:space="preserve"> </w:t>
      </w:r>
      <w:r w:rsidRPr="00314F1B" w:rsidR="006B5E19">
        <w:rPr>
          <w:bCs/>
        </w:rPr>
        <w:t>bindende ‘strategic guidance’ (strategische richtsnoeren)</w:t>
      </w:r>
      <w:r w:rsidRPr="00314F1B">
        <w:rPr>
          <w:bCs/>
        </w:rPr>
        <w:t xml:space="preserve"> beleidssturing kan geven </w:t>
      </w:r>
      <w:r w:rsidRPr="00314F1B" w:rsidR="006B5E19">
        <w:rPr>
          <w:bCs/>
        </w:rPr>
        <w:t>op bijvoorbeeld een klokvaste dienstregeling</w:t>
      </w:r>
      <w:r w:rsidRPr="00314F1B">
        <w:rPr>
          <w:bCs/>
        </w:rPr>
        <w:t xml:space="preserve"> (zoals het Nederlandse </w:t>
      </w:r>
      <w:r w:rsidRPr="00314F1B" w:rsidR="006B5E19">
        <w:rPr>
          <w:bCs/>
        </w:rPr>
        <w:t>Basis Uur Patroo</w:t>
      </w:r>
      <w:r w:rsidRPr="00314F1B">
        <w:rPr>
          <w:bCs/>
        </w:rPr>
        <w:t>n)</w:t>
      </w:r>
      <w:r w:rsidRPr="00314F1B" w:rsidR="006B5E19">
        <w:rPr>
          <w:bCs/>
        </w:rPr>
        <w:t xml:space="preserve">. Ook kan de lidstaat meer sturen op het garanderen van minimum volumes voor verschillende deelmarkten (bv. </w:t>
      </w:r>
      <w:r w:rsidRPr="00314F1B" w:rsidR="00910E6B">
        <w:rPr>
          <w:bCs/>
        </w:rPr>
        <w:t xml:space="preserve">binnenlands </w:t>
      </w:r>
      <w:r w:rsidRPr="00314F1B" w:rsidR="006B5E19">
        <w:rPr>
          <w:bCs/>
        </w:rPr>
        <w:t>personen</w:t>
      </w:r>
      <w:r w:rsidRPr="00314F1B" w:rsidR="00910E6B">
        <w:rPr>
          <w:bCs/>
        </w:rPr>
        <w:t>vervoer</w:t>
      </w:r>
      <w:r w:rsidRPr="00314F1B" w:rsidR="006B5E19">
        <w:rPr>
          <w:bCs/>
        </w:rPr>
        <w:t>, goederen</w:t>
      </w:r>
      <w:r w:rsidRPr="00314F1B" w:rsidR="00910E6B">
        <w:rPr>
          <w:bCs/>
        </w:rPr>
        <w:t>vervoer</w:t>
      </w:r>
      <w:r w:rsidRPr="00314F1B" w:rsidR="006B5E19">
        <w:rPr>
          <w:bCs/>
        </w:rPr>
        <w:t>, internationaal</w:t>
      </w:r>
      <w:r w:rsidRPr="00314F1B" w:rsidR="00910E6B">
        <w:rPr>
          <w:bCs/>
        </w:rPr>
        <w:t xml:space="preserve"> personenvervoer</w:t>
      </w:r>
      <w:r w:rsidRPr="00314F1B" w:rsidR="006B5E19">
        <w:rPr>
          <w:bCs/>
        </w:rPr>
        <w:t xml:space="preserve">) op het spoor, conform </w:t>
      </w:r>
      <w:r w:rsidRPr="00314F1B" w:rsidR="00D71E66">
        <w:rPr>
          <w:bCs/>
        </w:rPr>
        <w:t>onze</w:t>
      </w:r>
      <w:r w:rsidRPr="00314F1B" w:rsidR="006B5E19">
        <w:rPr>
          <w:bCs/>
        </w:rPr>
        <w:t xml:space="preserve"> huidige regelgeving</w:t>
      </w:r>
      <w:r w:rsidRPr="00314F1B" w:rsidR="006B5E19">
        <w:rPr>
          <w:rStyle w:val="FootnoteReference"/>
          <w:bCs/>
        </w:rPr>
        <w:footnoteReference w:id="9"/>
      </w:r>
      <w:r w:rsidRPr="00314F1B" w:rsidR="006B5E19">
        <w:rPr>
          <w:bCs/>
        </w:rPr>
        <w:t xml:space="preserve">. </w:t>
      </w:r>
      <w:r w:rsidR="00407BBE">
        <w:rPr>
          <w:bCs/>
        </w:rPr>
        <w:t xml:space="preserve">In de </w:t>
      </w:r>
      <w:r w:rsidR="005F6B5D">
        <w:rPr>
          <w:bCs/>
        </w:rPr>
        <w:t>‘</w:t>
      </w:r>
      <w:r w:rsidR="00407BBE">
        <w:rPr>
          <w:bCs/>
        </w:rPr>
        <w:t>strategic guidance</w:t>
      </w:r>
      <w:r w:rsidR="005F6B5D">
        <w:rPr>
          <w:bCs/>
        </w:rPr>
        <w:t>’</w:t>
      </w:r>
      <w:r w:rsidR="00407BBE">
        <w:rPr>
          <w:bCs/>
        </w:rPr>
        <w:t xml:space="preserve"> zullen, net als bij de toekomstige marktordening, de beleidsdoelen voor het spoor bepalend zijn voor de keuzes. </w:t>
      </w:r>
      <w:r w:rsidRPr="00314F1B" w:rsidR="00F8460F">
        <w:rPr>
          <w:bCs/>
        </w:rPr>
        <w:t>In de verordening is ook een artikel opgenomen over grensoverschrijdende samenwerking tussen lidstaten ter bevordering van internationaal spoorvervoer</w:t>
      </w:r>
      <w:r w:rsidRPr="00314F1B" w:rsidR="00D71E66">
        <w:rPr>
          <w:bCs/>
        </w:rPr>
        <w:t xml:space="preserve"> via een onderlinge coördinatie</w:t>
      </w:r>
      <w:r w:rsidRPr="00314F1B" w:rsidR="00F8460F">
        <w:rPr>
          <w:bCs/>
        </w:rPr>
        <w:t xml:space="preserve">. </w:t>
      </w:r>
      <w:r w:rsidRPr="00314F1B" w:rsidR="00531305">
        <w:rPr>
          <w:bCs/>
        </w:rPr>
        <w:t>Het voo</w:t>
      </w:r>
      <w:r w:rsidRPr="00314F1B" w:rsidR="0038275D">
        <w:rPr>
          <w:bCs/>
        </w:rPr>
        <w:t>r</w:t>
      </w:r>
      <w:r w:rsidRPr="00314F1B" w:rsidR="00531305">
        <w:rPr>
          <w:bCs/>
        </w:rPr>
        <w:t xml:space="preserve">lopige beeld is dat deze coördinatie voor de eerste </w:t>
      </w:r>
      <w:r w:rsidRPr="00314F1B" w:rsidR="0053043C">
        <w:rPr>
          <w:bCs/>
        </w:rPr>
        <w:t>keer</w:t>
      </w:r>
      <w:r w:rsidRPr="00314F1B" w:rsidR="00531305">
        <w:rPr>
          <w:bCs/>
        </w:rPr>
        <w:t xml:space="preserve"> in oktober 2027 dient te worden afgerond.</w:t>
      </w:r>
    </w:p>
    <w:p w:rsidRPr="00314F1B" w:rsidR="00C311EB" w:rsidP="00314F1B" w:rsidRDefault="00C311EB" w14:paraId="3DEE5A9F" w14:textId="77777777">
      <w:pPr>
        <w:spacing w:line="276" w:lineRule="auto"/>
        <w:rPr>
          <w:bCs/>
        </w:rPr>
      </w:pPr>
    </w:p>
    <w:p w:rsidRPr="00314F1B" w:rsidR="00112D34" w:rsidP="00314F1B" w:rsidRDefault="006B5E19" w14:paraId="6D7C2F17" w14:textId="79D506B4">
      <w:pPr>
        <w:spacing w:line="276" w:lineRule="auto"/>
        <w:rPr>
          <w:iCs/>
        </w:rPr>
      </w:pPr>
      <w:r w:rsidRPr="00314F1B">
        <w:rPr>
          <w:bCs/>
        </w:rPr>
        <w:t xml:space="preserve">In ruil </w:t>
      </w:r>
      <w:r w:rsidRPr="00314F1B" w:rsidR="00D71E66">
        <w:rPr>
          <w:bCs/>
        </w:rPr>
        <w:t>voor de ruimte voor lidstaten</w:t>
      </w:r>
      <w:r w:rsidRPr="00314F1B">
        <w:rPr>
          <w:bCs/>
        </w:rPr>
        <w:t xml:space="preserve"> heeft het </w:t>
      </w:r>
      <w:r w:rsidRPr="00314F1B" w:rsidR="00B94F06">
        <w:rPr>
          <w:bCs/>
        </w:rPr>
        <w:t>EP</w:t>
      </w:r>
      <w:r w:rsidRPr="00314F1B">
        <w:rPr>
          <w:bCs/>
        </w:rPr>
        <w:t xml:space="preserve"> een prominentere plaats bedongen voor een geharmoniseerde sociaaleconomische methodologie voor het beslechten van capaciteitsconflicten. Dit leidt tot meer uniforme voorrangsregels in Europa in het geval van schaarse spoorwegcapaciteit. </w:t>
      </w:r>
      <w:r w:rsidRPr="00314F1B">
        <w:rPr>
          <w:iCs/>
        </w:rPr>
        <w:t xml:space="preserve">Dit Europese kader </w:t>
      </w:r>
      <w:r w:rsidRPr="00314F1B" w:rsidR="00112D34">
        <w:rPr>
          <w:iCs/>
        </w:rPr>
        <w:t>wordt</w:t>
      </w:r>
      <w:r w:rsidRPr="00314F1B">
        <w:rPr>
          <w:iCs/>
        </w:rPr>
        <w:t xml:space="preserve"> uitgewerkt door </w:t>
      </w:r>
      <w:r w:rsidRPr="00314F1B" w:rsidR="007A05F4">
        <w:rPr>
          <w:iCs/>
        </w:rPr>
        <w:t>het Europees netwerk van infrastructuurbeheerders (</w:t>
      </w:r>
      <w:r w:rsidRPr="00314F1B">
        <w:rPr>
          <w:iCs/>
        </w:rPr>
        <w:t>ENIM</w:t>
      </w:r>
      <w:r w:rsidRPr="00314F1B" w:rsidR="007A05F4">
        <w:rPr>
          <w:iCs/>
        </w:rPr>
        <w:t>)</w:t>
      </w:r>
      <w:r w:rsidRPr="00314F1B">
        <w:rPr>
          <w:iCs/>
        </w:rPr>
        <w:t xml:space="preserve">. </w:t>
      </w:r>
    </w:p>
    <w:p w:rsidRPr="00314F1B" w:rsidR="00112D34" w:rsidP="00314F1B" w:rsidRDefault="00112D34" w14:paraId="16B756A6" w14:textId="77777777">
      <w:pPr>
        <w:spacing w:line="276" w:lineRule="auto"/>
        <w:rPr>
          <w:iCs/>
        </w:rPr>
      </w:pPr>
    </w:p>
    <w:p w:rsidR="006B5E19" w:rsidP="00314F1B" w:rsidRDefault="006B5E19" w14:paraId="5C29C480" w14:textId="1F32F19C">
      <w:pPr>
        <w:spacing w:line="276" w:lineRule="auto"/>
        <w:rPr>
          <w:iCs/>
        </w:rPr>
      </w:pPr>
      <w:r w:rsidRPr="00314F1B">
        <w:rPr>
          <w:iCs/>
        </w:rPr>
        <w:t xml:space="preserve">In het </w:t>
      </w:r>
      <w:r w:rsidRPr="00314F1B" w:rsidR="001535B2">
        <w:rPr>
          <w:iCs/>
        </w:rPr>
        <w:t>eind</w:t>
      </w:r>
      <w:r w:rsidRPr="00314F1B" w:rsidR="00EA5FEB">
        <w:rPr>
          <w:iCs/>
        </w:rPr>
        <w:t>akkoord</w:t>
      </w:r>
      <w:r w:rsidRPr="00314F1B">
        <w:rPr>
          <w:iCs/>
        </w:rPr>
        <w:t xml:space="preserve"> is dus meer beleidsruimte voor </w:t>
      </w:r>
      <w:r w:rsidRPr="00314F1B" w:rsidR="00D71E66">
        <w:rPr>
          <w:iCs/>
        </w:rPr>
        <w:t xml:space="preserve">een </w:t>
      </w:r>
      <w:r w:rsidRPr="00314F1B" w:rsidR="0040738F">
        <w:rPr>
          <w:iCs/>
        </w:rPr>
        <w:t xml:space="preserve">nationale </w:t>
      </w:r>
      <w:r w:rsidRPr="00314F1B">
        <w:rPr>
          <w:iCs/>
        </w:rPr>
        <w:t xml:space="preserve">lidstaat bedongen, maar die ruimte is kleiner dan we nu </w:t>
      </w:r>
      <w:r w:rsidRPr="00314F1B" w:rsidR="008C0479">
        <w:rPr>
          <w:iCs/>
        </w:rPr>
        <w:t xml:space="preserve">in Nederland </w:t>
      </w:r>
      <w:r w:rsidRPr="00314F1B">
        <w:rPr>
          <w:iCs/>
        </w:rPr>
        <w:t xml:space="preserve">gewend zijn. Dat betekent dat met deze verordening aan </w:t>
      </w:r>
      <w:r w:rsidRPr="00314F1B" w:rsidR="00B94F06">
        <w:rPr>
          <w:iCs/>
        </w:rPr>
        <w:t xml:space="preserve">alle </w:t>
      </w:r>
      <w:r w:rsidRPr="00314F1B">
        <w:rPr>
          <w:iCs/>
        </w:rPr>
        <w:t>concessievervoer – dat in de huidige capaciteitsverdelingsregels in Nederland een belangrijke plaats inneemt –</w:t>
      </w:r>
      <w:r w:rsidR="00E27B3C">
        <w:rPr>
          <w:iCs/>
        </w:rPr>
        <w:t xml:space="preserve"> </w:t>
      </w:r>
      <w:r w:rsidRPr="00314F1B">
        <w:rPr>
          <w:iCs/>
        </w:rPr>
        <w:t>niet zonder meer voorrang kan worden gegeven</w:t>
      </w:r>
      <w:r w:rsidRPr="00314F1B" w:rsidR="00D71E66">
        <w:rPr>
          <w:iCs/>
        </w:rPr>
        <w:t xml:space="preserve"> per 2031</w:t>
      </w:r>
      <w:r w:rsidRPr="00314F1B">
        <w:rPr>
          <w:iCs/>
        </w:rPr>
        <w:t xml:space="preserve">. </w:t>
      </w:r>
      <w:r w:rsidR="00B4124A">
        <w:rPr>
          <w:iCs/>
        </w:rPr>
        <w:t xml:space="preserve">Enkele belangrijke elementen uit de </w:t>
      </w:r>
      <w:r w:rsidR="00AE0990">
        <w:rPr>
          <w:iCs/>
        </w:rPr>
        <w:t>v</w:t>
      </w:r>
      <w:r w:rsidR="00B4124A">
        <w:rPr>
          <w:iCs/>
        </w:rPr>
        <w:t xml:space="preserve">erordening worden hieronder kort weergegeven. </w:t>
      </w:r>
    </w:p>
    <w:p w:rsidR="00314F1B" w:rsidP="00314F1B" w:rsidRDefault="00314F1B" w14:paraId="180121F4" w14:textId="77777777">
      <w:pPr>
        <w:spacing w:line="276" w:lineRule="auto"/>
        <w:rPr>
          <w:iCs/>
        </w:rPr>
      </w:pPr>
    </w:p>
    <w:p w:rsidRPr="00314F1B" w:rsidR="00314F1B" w:rsidP="00314F1B" w:rsidRDefault="00314F1B" w14:paraId="3742B1C5" w14:textId="77777777">
      <w:pPr>
        <w:spacing w:line="276" w:lineRule="auto"/>
        <w:rPr>
          <w:i/>
          <w:iCs/>
        </w:rPr>
      </w:pPr>
      <w:r w:rsidRPr="00314F1B">
        <w:rPr>
          <w:i/>
          <w:iCs/>
        </w:rPr>
        <w:t>Proces uitwerking ‘strategic guidance’</w:t>
      </w:r>
    </w:p>
    <w:p w:rsidRPr="00314F1B" w:rsidR="00314F1B" w:rsidP="00314F1B" w:rsidRDefault="00314F1B" w14:paraId="14AA9927" w14:textId="5B76BC81">
      <w:pPr>
        <w:spacing w:line="276" w:lineRule="auto"/>
      </w:pPr>
      <w:r w:rsidRPr="00314F1B">
        <w:t xml:space="preserve">Met ‘strategic guidance’ kan een lidstaat ervoor zorgen dat de capaciteitsverdeling aansluit bij de algemene doelen van het nationale spoorbeleid en bij de investeringen in infrastructuur. De ‘strategic guidance’ moet in het najaar van 2027 gereed zijn zodat ProRail tijdig beleidssturing ontvangt voor de capaciteitsplanning voor dienstregelingsjaar 2031 en de jaren daarna. Voor de bindende elementen van ‘strategic guidance’ </w:t>
      </w:r>
      <w:r w:rsidR="00402DC3">
        <w:t xml:space="preserve">wordt </w:t>
      </w:r>
      <w:r w:rsidRPr="00314F1B">
        <w:t>een algemene maatregel van bestuur (AMvB) op</w:t>
      </w:r>
      <w:r w:rsidR="00402DC3">
        <w:t>gesteld</w:t>
      </w:r>
      <w:r>
        <w:t>.</w:t>
      </w:r>
      <w:r w:rsidRPr="00314F1B">
        <w:t xml:space="preserve"> </w:t>
      </w:r>
      <w:r w:rsidR="00956AFA">
        <w:t xml:space="preserve">Naar </w:t>
      </w:r>
      <w:r w:rsidRPr="00314F1B">
        <w:t>verwacht</w:t>
      </w:r>
      <w:r w:rsidR="00956AFA">
        <w:t>ing kan</w:t>
      </w:r>
      <w:r w:rsidRPr="00314F1B">
        <w:t xml:space="preserve"> de internetconsultatie aan het einde van dit jaar </w:t>
      </w:r>
      <w:r w:rsidR="00956AFA">
        <w:t>worden ge</w:t>
      </w:r>
      <w:r w:rsidRPr="00314F1B">
        <w:t>houden. Daarna kan</w:t>
      </w:r>
      <w:r w:rsidRPr="007B09F3" w:rsidR="007B09F3">
        <w:t xml:space="preserve"> </w:t>
      </w:r>
      <w:r w:rsidRPr="00314F1B" w:rsidR="007B09F3">
        <w:t>de voorhang in de Tweede Kamer</w:t>
      </w:r>
      <w:r w:rsidR="0065625F">
        <w:t xml:space="preserve"> naar verwachting</w:t>
      </w:r>
      <w:r w:rsidRPr="00314F1B">
        <w:t xml:space="preserve"> </w:t>
      </w:r>
      <w:r w:rsidRPr="00314F1B" w:rsidR="007B09F3">
        <w:t xml:space="preserve">plaatsvinden </w:t>
      </w:r>
      <w:r w:rsidRPr="00314F1B">
        <w:t xml:space="preserve">in het voorjaar van 2027. </w:t>
      </w:r>
    </w:p>
    <w:p w:rsidRPr="00314F1B" w:rsidR="00C311EB" w:rsidP="00314F1B" w:rsidRDefault="00C311EB" w14:paraId="26C9F37B" w14:textId="77777777">
      <w:pPr>
        <w:spacing w:line="276" w:lineRule="auto"/>
        <w:rPr>
          <w:iCs/>
        </w:rPr>
      </w:pPr>
    </w:p>
    <w:p w:rsidRPr="00314F1B" w:rsidR="00F10668" w:rsidP="00314F1B" w:rsidRDefault="00F10668" w14:paraId="219098E3" w14:textId="2C27B163">
      <w:pPr>
        <w:spacing w:line="276" w:lineRule="auto"/>
        <w:rPr>
          <w:bCs/>
          <w:i/>
          <w:iCs/>
        </w:rPr>
      </w:pPr>
      <w:r w:rsidRPr="00314F1B">
        <w:rPr>
          <w:i/>
          <w:iCs/>
        </w:rPr>
        <w:t>Time</w:t>
      </w:r>
      <w:r w:rsidRPr="00314F1B" w:rsidR="00A81406">
        <w:rPr>
          <w:i/>
          <w:iCs/>
        </w:rPr>
        <w:t>t</w:t>
      </w:r>
      <w:r w:rsidRPr="00314F1B">
        <w:rPr>
          <w:i/>
          <w:iCs/>
        </w:rPr>
        <w:t>able Redesign</w:t>
      </w:r>
      <w:r w:rsidRPr="00314F1B">
        <w:t xml:space="preserve"> </w:t>
      </w:r>
      <w:r w:rsidRPr="00314F1B">
        <w:rPr>
          <w:bCs/>
          <w:i/>
          <w:iCs/>
        </w:rPr>
        <w:t>(TTR)</w:t>
      </w:r>
    </w:p>
    <w:p w:rsidRPr="00314F1B" w:rsidR="00F10668" w:rsidP="00314F1B" w:rsidRDefault="00F10668" w14:paraId="434606B8" w14:textId="41BED6D4">
      <w:pPr>
        <w:pStyle w:val="FootnoteText"/>
        <w:spacing w:line="276" w:lineRule="auto"/>
        <w:rPr>
          <w:bCs/>
          <w:sz w:val="18"/>
          <w:szCs w:val="18"/>
        </w:rPr>
      </w:pPr>
      <w:r w:rsidRPr="00314F1B">
        <w:rPr>
          <w:bCs/>
          <w:sz w:val="18"/>
          <w:szCs w:val="18"/>
        </w:rPr>
        <w:t xml:space="preserve">TTR is een Europees programma dat beoogt de capaciteitsplanning op het spoor flexibeler en meer </w:t>
      </w:r>
      <w:r w:rsidRPr="00314F1B" w:rsidR="00B11D07">
        <w:rPr>
          <w:bCs/>
          <w:sz w:val="18"/>
          <w:szCs w:val="18"/>
        </w:rPr>
        <w:t>vraaggestuurd</w:t>
      </w:r>
      <w:r w:rsidRPr="00314F1B">
        <w:rPr>
          <w:bCs/>
          <w:sz w:val="18"/>
          <w:szCs w:val="18"/>
        </w:rPr>
        <w:t xml:space="preserve"> te maken</w:t>
      </w:r>
      <w:r w:rsidRPr="00314F1B" w:rsidR="0040738F">
        <w:rPr>
          <w:bCs/>
          <w:sz w:val="18"/>
          <w:szCs w:val="18"/>
        </w:rPr>
        <w:t xml:space="preserve"> en vormt een basis voor deze ve</w:t>
      </w:r>
      <w:r w:rsidRPr="00314F1B" w:rsidR="00381786">
        <w:rPr>
          <w:bCs/>
          <w:sz w:val="18"/>
          <w:szCs w:val="18"/>
        </w:rPr>
        <w:t>rordening</w:t>
      </w:r>
      <w:r w:rsidRPr="00314F1B">
        <w:rPr>
          <w:bCs/>
          <w:sz w:val="18"/>
          <w:szCs w:val="18"/>
        </w:rPr>
        <w:t xml:space="preserve">. Het kabinet onderschrijft de toepassing van TTR-principes en de digitalisering en automatisering van processen ter verbetering van de </w:t>
      </w:r>
      <w:r w:rsidR="00314F1B">
        <w:rPr>
          <w:bCs/>
          <w:sz w:val="18"/>
          <w:szCs w:val="18"/>
        </w:rPr>
        <w:t>spoor</w:t>
      </w:r>
      <w:r w:rsidRPr="00314F1B">
        <w:rPr>
          <w:bCs/>
          <w:sz w:val="18"/>
          <w:szCs w:val="18"/>
        </w:rPr>
        <w:t>capaciteitsverdeling. De TTR-principes maken een</w:t>
      </w:r>
      <w:r w:rsidR="00314F1B">
        <w:rPr>
          <w:bCs/>
          <w:sz w:val="18"/>
          <w:szCs w:val="18"/>
        </w:rPr>
        <w:t xml:space="preserve"> </w:t>
      </w:r>
      <w:r w:rsidRPr="00314F1B">
        <w:rPr>
          <w:bCs/>
          <w:sz w:val="18"/>
          <w:szCs w:val="18"/>
        </w:rPr>
        <w:t>flexibele</w:t>
      </w:r>
      <w:r w:rsidR="00314F1B">
        <w:rPr>
          <w:bCs/>
          <w:sz w:val="18"/>
          <w:szCs w:val="18"/>
        </w:rPr>
        <w:t>re</w:t>
      </w:r>
      <w:r w:rsidRPr="00314F1B">
        <w:rPr>
          <w:bCs/>
          <w:sz w:val="18"/>
          <w:szCs w:val="18"/>
        </w:rPr>
        <w:t xml:space="preserve"> capaciteits</w:t>
      </w:r>
      <w:r w:rsidR="00314F1B">
        <w:rPr>
          <w:bCs/>
          <w:sz w:val="18"/>
          <w:szCs w:val="18"/>
        </w:rPr>
        <w:t>-</w:t>
      </w:r>
      <w:r w:rsidRPr="00314F1B">
        <w:rPr>
          <w:bCs/>
          <w:sz w:val="18"/>
          <w:szCs w:val="18"/>
        </w:rPr>
        <w:t xml:space="preserve">planning mogelijk, </w:t>
      </w:r>
      <w:r w:rsidR="00314F1B">
        <w:rPr>
          <w:bCs/>
          <w:sz w:val="18"/>
          <w:szCs w:val="18"/>
        </w:rPr>
        <w:t>zodat</w:t>
      </w:r>
      <w:r w:rsidRPr="00314F1B">
        <w:rPr>
          <w:bCs/>
          <w:sz w:val="18"/>
          <w:szCs w:val="18"/>
        </w:rPr>
        <w:t xml:space="preserve"> meer treinen </w:t>
      </w:r>
      <w:r w:rsidR="00314F1B">
        <w:rPr>
          <w:bCs/>
          <w:sz w:val="18"/>
          <w:szCs w:val="18"/>
        </w:rPr>
        <w:t>kunnen</w:t>
      </w:r>
      <w:r w:rsidRPr="00314F1B">
        <w:rPr>
          <w:bCs/>
          <w:sz w:val="18"/>
          <w:szCs w:val="18"/>
        </w:rPr>
        <w:t xml:space="preserve"> rijden tegen lagere kosten. Voor de spoorgoederenvervoersector is dit belangrijk</w:t>
      </w:r>
      <w:r w:rsidRPr="00314F1B" w:rsidR="00B11D07">
        <w:rPr>
          <w:bCs/>
          <w:sz w:val="18"/>
          <w:szCs w:val="18"/>
        </w:rPr>
        <w:t>,</w:t>
      </w:r>
      <w:r w:rsidRPr="00314F1B" w:rsidR="00F96D69">
        <w:rPr>
          <w:bCs/>
          <w:sz w:val="18"/>
          <w:szCs w:val="18"/>
        </w:rPr>
        <w:t xml:space="preserve"> omdat zij korter voor ingang van de nieuwe dienstregeling en gedurende het dienstregelingsjaar capaciteit kunnen reserveren. Voor het internationale personenvervoer per spoor is het belangrijk omdat zij eerder inzicht krijgen in de dienstregeling</w:t>
      </w:r>
      <w:r w:rsidRPr="00314F1B">
        <w:rPr>
          <w:bCs/>
          <w:sz w:val="18"/>
          <w:szCs w:val="18"/>
        </w:rPr>
        <w:t>.</w:t>
      </w:r>
    </w:p>
    <w:p w:rsidRPr="00314F1B" w:rsidR="00F10668" w:rsidP="00314F1B" w:rsidRDefault="00F10668" w14:paraId="774F9CDB" w14:textId="77777777">
      <w:pPr>
        <w:spacing w:line="276" w:lineRule="auto"/>
        <w:rPr>
          <w:i/>
          <w:iCs/>
        </w:rPr>
      </w:pPr>
    </w:p>
    <w:p w:rsidRPr="00314F1B" w:rsidR="006B5E19" w:rsidP="00314F1B" w:rsidRDefault="006B5E19" w14:paraId="50323BB2" w14:textId="707C9AE8">
      <w:pPr>
        <w:spacing w:line="276" w:lineRule="auto"/>
        <w:rPr>
          <w:i/>
          <w:iCs/>
        </w:rPr>
      </w:pPr>
      <w:r w:rsidRPr="00314F1B">
        <w:rPr>
          <w:i/>
          <w:iCs/>
        </w:rPr>
        <w:t>Militaire mobiliteit</w:t>
      </w:r>
    </w:p>
    <w:p w:rsidRPr="00314F1B" w:rsidR="006B5E19" w:rsidP="00314F1B" w:rsidRDefault="00081A0F" w14:paraId="3228EA31" w14:textId="33E1C52F">
      <w:pPr>
        <w:spacing w:line="276" w:lineRule="auto"/>
      </w:pPr>
      <w:r w:rsidRPr="00314F1B">
        <w:t xml:space="preserve">Om prioriteit te kunnen geven aan spoorvervoer voor militaire doeleinden mogen </w:t>
      </w:r>
      <w:r w:rsidRPr="00314F1B" w:rsidR="006B5E19">
        <w:t xml:space="preserve">lidstaten </w:t>
      </w:r>
      <w:r w:rsidRPr="00314F1B">
        <w:t xml:space="preserve">na inwerkingtreding </w:t>
      </w:r>
      <w:r w:rsidRPr="00314F1B" w:rsidR="006B5E19">
        <w:t>afwijken van de regels uit de nieuwe verordening</w:t>
      </w:r>
      <w:r w:rsidRPr="00314F1B">
        <w:t>. Dit geldt</w:t>
      </w:r>
      <w:r w:rsidRPr="00314F1B" w:rsidR="006B5E19">
        <w:t xml:space="preserve"> zowel voor militaire operaties als voor training. </w:t>
      </w:r>
      <w:r w:rsidRPr="00314F1B" w:rsidR="00B94F06">
        <w:t>I</w:t>
      </w:r>
      <w:r w:rsidRPr="00314F1B" w:rsidR="006B5E19">
        <w:t xml:space="preserve">n de huidige geopolitieke context </w:t>
      </w:r>
      <w:r w:rsidRPr="00314F1B" w:rsidR="00B94F06">
        <w:t xml:space="preserve">is deze ruimte </w:t>
      </w:r>
      <w:r w:rsidRPr="00314F1B" w:rsidR="006B5E19">
        <w:t>van groot belang</w:t>
      </w:r>
      <w:r w:rsidRPr="00314F1B" w:rsidR="00B94F06">
        <w:t xml:space="preserve">, aangezien Europees </w:t>
      </w:r>
      <w:r w:rsidRPr="00314F1B" w:rsidR="006B5E19">
        <w:t>militair vervoer veelal</w:t>
      </w:r>
      <w:r w:rsidRPr="00314F1B" w:rsidR="00B94F06">
        <w:t xml:space="preserve"> start</w:t>
      </w:r>
      <w:r w:rsidRPr="00314F1B" w:rsidR="006B5E19">
        <w:t xml:space="preserve"> bij Nederlandse zeehavens. </w:t>
      </w:r>
      <w:r w:rsidR="003F5608">
        <w:t>Het kabinet is blij dat deze mogelijkheid</w:t>
      </w:r>
      <w:r w:rsidR="00333F51">
        <w:t xml:space="preserve"> </w:t>
      </w:r>
      <w:r w:rsidR="003F5608">
        <w:t xml:space="preserve">nu Europees is geregeld. </w:t>
      </w:r>
    </w:p>
    <w:p w:rsidRPr="00314F1B" w:rsidR="0040738F" w:rsidP="00314F1B" w:rsidRDefault="0040738F" w14:paraId="74CCDFD7" w14:textId="77777777">
      <w:pPr>
        <w:spacing w:line="276" w:lineRule="auto"/>
        <w:rPr>
          <w:bCs/>
        </w:rPr>
      </w:pPr>
    </w:p>
    <w:p w:rsidRPr="00314F1B" w:rsidR="0040738F" w:rsidP="00314F1B" w:rsidRDefault="0040738F" w14:paraId="72B41EC2" w14:textId="77777777">
      <w:pPr>
        <w:spacing w:line="276" w:lineRule="auto"/>
        <w:rPr>
          <w:bCs/>
          <w:i/>
          <w:iCs/>
        </w:rPr>
      </w:pPr>
      <w:r w:rsidRPr="00314F1B">
        <w:rPr>
          <w:bCs/>
          <w:i/>
          <w:iCs/>
        </w:rPr>
        <w:t>Annuleringsheffing</w:t>
      </w:r>
    </w:p>
    <w:p w:rsidRPr="00314F1B" w:rsidR="0040738F" w:rsidP="00314F1B" w:rsidRDefault="0040738F" w14:paraId="67459E0A" w14:textId="4B746AAD">
      <w:pPr>
        <w:spacing w:line="276" w:lineRule="auto"/>
        <w:rPr>
          <w:bCs/>
        </w:rPr>
      </w:pPr>
      <w:r w:rsidRPr="00314F1B">
        <w:rPr>
          <w:bCs/>
        </w:rPr>
        <w:t xml:space="preserve">Het eindpakket bevat een wederkerige annuleringsheffing. De infrastructuur-beheerder en de vervoerder betalen een boete als zij capaciteit intrekken na toekenning of het niet gebruiken en dit een significante impact heeft op de operaties van de ander. Zowel het EP als de EC vinden dit instrument een effectieve prikkel voor het beter benutten van beschikbare capaciteit. De financiële risico’s voor beide partijen zijn beperkt via het instellen van plafonds aan de boetes, en het duidelijk definiëren van uitzonderingsvoorwaarden, zoals force majeure bepalingen en het mogen intrekken van capaciteit indien een vervoerder een risico oplevert voor de nationale veiligheid. Ook heeft de infrastructuur-beheerder mogelijkheden om af te wijken van de planning voor tijdelijke capaciteitsbeperkingen, </w:t>
      </w:r>
      <w:r w:rsidR="00A849CD">
        <w:rPr>
          <w:bCs/>
        </w:rPr>
        <w:t>bijvoorbeeld</w:t>
      </w:r>
      <w:r w:rsidRPr="00314F1B">
        <w:rPr>
          <w:bCs/>
        </w:rPr>
        <w:t xml:space="preserve"> om redenen van veiligheid.</w:t>
      </w:r>
    </w:p>
    <w:p w:rsidRPr="00314F1B" w:rsidR="006B5E19" w:rsidP="00314F1B" w:rsidRDefault="006B5E19" w14:paraId="66AD1B10" w14:textId="77777777">
      <w:pPr>
        <w:spacing w:line="276" w:lineRule="auto"/>
      </w:pPr>
    </w:p>
    <w:p w:rsidRPr="00314F1B" w:rsidR="0040738F" w:rsidP="00314F1B" w:rsidRDefault="0040738F" w14:paraId="3FC949B0" w14:textId="77777777">
      <w:pPr>
        <w:spacing w:line="276" w:lineRule="auto"/>
        <w:rPr>
          <w:i/>
          <w:iCs/>
        </w:rPr>
      </w:pPr>
      <w:r w:rsidRPr="00314F1B">
        <w:rPr>
          <w:i/>
          <w:iCs/>
        </w:rPr>
        <w:t>Versterking rol infrastructuurbeheerder</w:t>
      </w:r>
    </w:p>
    <w:p w:rsidRPr="00314F1B" w:rsidR="0040738F" w:rsidP="00314F1B" w:rsidRDefault="0040738F" w14:paraId="281CB736" w14:textId="2A5B04FA">
      <w:pPr>
        <w:spacing w:line="276" w:lineRule="auto"/>
        <w:rPr>
          <w:lang w:eastAsia="zh-CN"/>
        </w:rPr>
      </w:pPr>
      <w:r w:rsidRPr="00314F1B">
        <w:t xml:space="preserve">Met de verordening worden de bevoegdheden van de infrastructuurbeheerder versterkt. Er komen </w:t>
      </w:r>
      <w:r w:rsidRPr="00314F1B">
        <w:rPr>
          <w:lang w:eastAsia="zh-CN"/>
        </w:rPr>
        <w:t>geharmoniseerde processen inzake capaciteitsverdeling en verkeersleiding. Deze worden uitgewerkt in de ENIM.</w:t>
      </w:r>
      <w:r w:rsidRPr="00314F1B">
        <w:t xml:space="preserve"> </w:t>
      </w:r>
      <w:r w:rsidRPr="00314F1B">
        <w:rPr>
          <w:lang w:eastAsia="zh-CN"/>
        </w:rPr>
        <w:t xml:space="preserve">Eén van de onderdelen hiervan is het gebruik van (multi-netwerk-)kaderovereenkomsten. In een kaderovereenkomst kunnen capaciteitsafspraken gemaakt worden tussen een infrastructuurbeheerder en een vervoerder. Dit kan (meer) zekerheid opleveren dat de betreffende capaciteit meerjarig kan worden aangeboden. Verderop in de brief </w:t>
      </w:r>
      <w:r w:rsidR="003053B3">
        <w:rPr>
          <w:lang w:eastAsia="zh-CN"/>
        </w:rPr>
        <w:t xml:space="preserve">wordt uitgebreider stilgestaan bij het </w:t>
      </w:r>
      <w:r w:rsidRPr="00314F1B">
        <w:rPr>
          <w:lang w:eastAsia="zh-CN"/>
        </w:rPr>
        <w:t xml:space="preserve">onderzoek </w:t>
      </w:r>
      <w:r w:rsidRPr="00314F1B" w:rsidR="00252F67">
        <w:rPr>
          <w:lang w:eastAsia="zh-CN"/>
        </w:rPr>
        <w:t>van</w:t>
      </w:r>
      <w:r w:rsidRPr="00314F1B">
        <w:rPr>
          <w:lang w:eastAsia="zh-CN"/>
        </w:rPr>
        <w:t xml:space="preserve"> ProRail naar kaderovereenkomsten.</w:t>
      </w:r>
    </w:p>
    <w:p w:rsidRPr="00314F1B" w:rsidR="00DA4FF3" w:rsidP="00314F1B" w:rsidRDefault="00DA4FF3" w14:paraId="549CCFEC" w14:textId="77777777">
      <w:pPr>
        <w:spacing w:line="276" w:lineRule="auto"/>
      </w:pPr>
    </w:p>
    <w:p w:rsidR="00613C7E" w:rsidRDefault="00613C7E" w14:paraId="2124DE55" w14:textId="77777777">
      <w:pPr>
        <w:spacing w:line="240" w:lineRule="auto"/>
        <w:rPr>
          <w:bCs/>
          <w:i/>
          <w:iCs/>
        </w:rPr>
      </w:pPr>
      <w:r>
        <w:rPr>
          <w:bCs/>
          <w:i/>
          <w:iCs/>
        </w:rPr>
        <w:br w:type="page"/>
      </w:r>
    </w:p>
    <w:p w:rsidRPr="00314F1B" w:rsidR="006B5E19" w:rsidP="00314F1B" w:rsidRDefault="006B5E19" w14:paraId="7467924E" w14:textId="7B706021">
      <w:pPr>
        <w:spacing w:line="276" w:lineRule="auto"/>
        <w:rPr>
          <w:bCs/>
          <w:i/>
          <w:iCs/>
        </w:rPr>
      </w:pPr>
      <w:r w:rsidRPr="00314F1B">
        <w:rPr>
          <w:bCs/>
          <w:i/>
          <w:iCs/>
        </w:rPr>
        <w:t>Juridisch kader</w:t>
      </w:r>
    </w:p>
    <w:p w:rsidR="006B5E19" w:rsidP="00314F1B" w:rsidRDefault="00C95054" w14:paraId="4464BE96" w14:textId="15F21A4F">
      <w:pPr>
        <w:spacing w:line="276" w:lineRule="auto"/>
        <w:rPr>
          <w:bCs/>
        </w:rPr>
      </w:pPr>
      <w:r w:rsidRPr="00314F1B">
        <w:t>H</w:t>
      </w:r>
      <w:r w:rsidRPr="00314F1B" w:rsidR="006B5E19">
        <w:t xml:space="preserve">et </w:t>
      </w:r>
      <w:r w:rsidRPr="00314F1B" w:rsidR="00160132">
        <w:t>eindakkoord</w:t>
      </w:r>
      <w:r w:rsidRPr="00314F1B" w:rsidR="006B5E19">
        <w:t xml:space="preserve"> </w:t>
      </w:r>
      <w:r w:rsidRPr="00314F1B">
        <w:t xml:space="preserve">bevat </w:t>
      </w:r>
      <w:r w:rsidRPr="00314F1B" w:rsidR="006B5E19">
        <w:t>een juridisch kader en tijdspad waarmee de EC kan optreden als</w:t>
      </w:r>
      <w:r w:rsidRPr="00314F1B" w:rsidR="006B5E19">
        <w:rPr>
          <w:bCs/>
        </w:rPr>
        <w:t xml:space="preserve"> de </w:t>
      </w:r>
      <w:r w:rsidRPr="00314F1B" w:rsidR="00FB5C92">
        <w:rPr>
          <w:bCs/>
        </w:rPr>
        <w:t xml:space="preserve">Europese </w:t>
      </w:r>
      <w:r w:rsidRPr="00314F1B" w:rsidR="006B5E19">
        <w:rPr>
          <w:bCs/>
        </w:rPr>
        <w:t>sectorregulering onvoldoende effectief is</w:t>
      </w:r>
      <w:r w:rsidRPr="00314F1B" w:rsidR="006B5E19">
        <w:t xml:space="preserve">. De stok achter de deur voor de EC gebeurt via bevoegdheden voor gedelegeerde en/of </w:t>
      </w:r>
      <w:r w:rsidRPr="00314F1B" w:rsidR="006B5E19">
        <w:rPr>
          <w:bCs/>
        </w:rPr>
        <w:t>uitvoeringshandelingen. Nederland heeft erop ingezet om</w:t>
      </w:r>
      <w:r w:rsidRPr="00314F1B" w:rsidR="008C0479">
        <w:rPr>
          <w:bCs/>
        </w:rPr>
        <w:t xml:space="preserve"> </w:t>
      </w:r>
      <w:r w:rsidRPr="00314F1B" w:rsidR="006B5E19">
        <w:rPr>
          <w:bCs/>
        </w:rPr>
        <w:t xml:space="preserve">deze gedelegeerde en/of uitvoeringshandelingen proportioneel te houden om de regeldruk te beperken. </w:t>
      </w:r>
      <w:r w:rsidR="00B31556">
        <w:rPr>
          <w:bCs/>
        </w:rPr>
        <w:t>I</w:t>
      </w:r>
      <w:r w:rsidRPr="00314F1B" w:rsidR="006B5E19">
        <w:rPr>
          <w:bCs/>
        </w:rPr>
        <w:t>n de slottriloog</w:t>
      </w:r>
      <w:r w:rsidRPr="00314F1B" w:rsidR="008C1A05">
        <w:rPr>
          <w:bCs/>
        </w:rPr>
        <w:t xml:space="preserve"> zijn</w:t>
      </w:r>
      <w:r w:rsidRPr="00314F1B" w:rsidR="006B5E19">
        <w:rPr>
          <w:bCs/>
        </w:rPr>
        <w:t xml:space="preserve"> onder druk van het EP de bevoegdheden voor de </w:t>
      </w:r>
      <w:r w:rsidRPr="00314F1B" w:rsidR="008C0479">
        <w:rPr>
          <w:bCs/>
        </w:rPr>
        <w:t>E</w:t>
      </w:r>
      <w:r w:rsidRPr="00314F1B" w:rsidR="006B5E19">
        <w:rPr>
          <w:bCs/>
        </w:rPr>
        <w:t xml:space="preserve">C om in te grijpen </w:t>
      </w:r>
      <w:r w:rsidR="00B31556">
        <w:rPr>
          <w:bCs/>
        </w:rPr>
        <w:t xml:space="preserve">echter </w:t>
      </w:r>
      <w:r w:rsidRPr="00314F1B" w:rsidR="006B5E19">
        <w:rPr>
          <w:bCs/>
        </w:rPr>
        <w:t>verruimd.</w:t>
      </w:r>
    </w:p>
    <w:p w:rsidR="00314F1B" w:rsidP="00314F1B" w:rsidRDefault="00314F1B" w14:paraId="475FB921" w14:textId="77777777">
      <w:pPr>
        <w:spacing w:line="276" w:lineRule="auto"/>
        <w:rPr>
          <w:bCs/>
        </w:rPr>
      </w:pPr>
    </w:p>
    <w:p w:rsidRPr="00314F1B" w:rsidR="00314F1B" w:rsidP="00314F1B" w:rsidRDefault="00314F1B" w14:paraId="1FCE9DBC" w14:textId="77777777">
      <w:pPr>
        <w:spacing w:line="276" w:lineRule="auto"/>
        <w:rPr>
          <w:i/>
          <w:iCs/>
        </w:rPr>
      </w:pPr>
      <w:r w:rsidRPr="00314F1B">
        <w:rPr>
          <w:bCs/>
          <w:i/>
          <w:iCs/>
        </w:rPr>
        <w:t>Realistische transitie- en implementatietermijnen</w:t>
      </w:r>
      <w:r w:rsidRPr="00314F1B">
        <w:rPr>
          <w:i/>
          <w:iCs/>
        </w:rPr>
        <w:t xml:space="preserve"> </w:t>
      </w:r>
    </w:p>
    <w:p w:rsidR="00314F1B" w:rsidP="00314F1B" w:rsidRDefault="00314F1B" w14:paraId="51435988" w14:textId="7F7CA953">
      <w:pPr>
        <w:spacing w:line="276" w:lineRule="auto"/>
        <w:rPr>
          <w:b/>
          <w:bCs/>
        </w:rPr>
      </w:pPr>
      <w:r w:rsidRPr="00314F1B">
        <w:t>Nederland heeft continu gepleit voor realistische transitiedata, zowel voor de ICT-transitie als voor de overgang van de spoorgoederencorridors naar de nieuwe integrale spoornetwerkbenadering. De datum voor volledige toepassing van alle artikelen uit de verordening, waaronder de intrekking van de spoorgoederen-corridors, is vastgesteld op de dienstregeling per 14 december 2030 (ingang in het jaar 2031). Dit is een jaar later dan in het oorspronkelijke EC-voorstel was voorgesteld. Een belangrijke voorwaarde voor succesvolle implementatie van deze nieuwe verordening is ook de tijdige toepassing door infrastructuurbeheerders en vervoerders van de Europese standaarden voor gegevensuitwisseling</w:t>
      </w:r>
      <w:r w:rsidRPr="00314F1B">
        <w:rPr>
          <w:rStyle w:val="FootnoteReference"/>
        </w:rPr>
        <w:footnoteReference w:id="10"/>
      </w:r>
      <w:r w:rsidRPr="00314F1B">
        <w:rPr>
          <w:b/>
          <w:bCs/>
        </w:rPr>
        <w:t>.</w:t>
      </w:r>
    </w:p>
    <w:p w:rsidR="005F6B5D" w:rsidP="00314F1B" w:rsidRDefault="005F6B5D" w14:paraId="60C57BF2" w14:textId="77777777">
      <w:pPr>
        <w:spacing w:line="276" w:lineRule="auto"/>
        <w:rPr>
          <w:b/>
          <w:bCs/>
        </w:rPr>
      </w:pPr>
    </w:p>
    <w:p w:rsidRPr="00C5303B" w:rsidR="005F6B5D" w:rsidP="005F6B5D" w:rsidRDefault="005F6B5D" w14:paraId="5EA9C707" w14:textId="77777777">
      <w:pPr>
        <w:spacing w:line="276" w:lineRule="auto"/>
        <w:rPr>
          <w:i/>
          <w:iCs/>
        </w:rPr>
      </w:pPr>
      <w:r w:rsidRPr="00C5303B">
        <w:rPr>
          <w:i/>
          <w:iCs/>
        </w:rPr>
        <w:t>Relatie met toekomstige marktordening spoor</w:t>
      </w:r>
    </w:p>
    <w:p w:rsidRPr="00C5303B" w:rsidR="005F6B5D" w:rsidP="005F6B5D" w:rsidRDefault="005F6B5D" w14:paraId="23A10CFB" w14:textId="08532192">
      <w:pPr>
        <w:spacing w:line="276" w:lineRule="auto"/>
        <w:rPr>
          <w:lang w:eastAsia="zh-CN"/>
        </w:rPr>
      </w:pPr>
      <w:r w:rsidRPr="00C5303B">
        <w:rPr>
          <w:lang w:eastAsia="zh-CN"/>
        </w:rPr>
        <w:t xml:space="preserve">Zoals vermeld in de recente Kamerbrief zal het kabinet begin 2027 besluiten over de marktordening op het spoor na 2033. Daarbij liggen ook opties voor die meer ruimte bieden aan verschillende vervoerders op het hoofdrailnet. Omdat het Nederlandse spoornetwerk zeer intensief wordt gebruikt, is het dan cruciaal dat kan worden geborgd dat het netwerk optimaal wordt benut. Met de beleidssturing en de capaciteitsverdelingsregels </w:t>
      </w:r>
      <w:r w:rsidRPr="00C5303B" w:rsidR="00C868A7">
        <w:rPr>
          <w:lang w:eastAsia="zh-CN"/>
        </w:rPr>
        <w:t xml:space="preserve">wordt hierin voorzien. </w:t>
      </w:r>
    </w:p>
    <w:p w:rsidRPr="00C5303B" w:rsidR="005F6B5D" w:rsidP="00314F1B" w:rsidRDefault="005F6B5D" w14:paraId="7C2B9874" w14:textId="77777777">
      <w:pPr>
        <w:spacing w:line="276" w:lineRule="auto"/>
      </w:pPr>
    </w:p>
    <w:p w:rsidRPr="00C5303B" w:rsidR="005E217C" w:rsidP="005F6B5D" w:rsidRDefault="005E217C" w14:paraId="69B08F1E" w14:textId="6F850F58">
      <w:pPr>
        <w:pStyle w:val="ListParagraph"/>
        <w:numPr>
          <w:ilvl w:val="0"/>
          <w:numId w:val="24"/>
        </w:numPr>
        <w:spacing w:line="276" w:lineRule="auto"/>
        <w:rPr>
          <w:b/>
          <w:bCs/>
        </w:rPr>
      </w:pPr>
      <w:r w:rsidRPr="00C5303B">
        <w:rPr>
          <w:b/>
          <w:bCs/>
        </w:rPr>
        <w:t>Kaderovereenkomsten</w:t>
      </w:r>
      <w:r w:rsidRPr="00C5303B" w:rsidR="0076379A">
        <w:rPr>
          <w:b/>
          <w:bCs/>
        </w:rPr>
        <w:t xml:space="preserve"> </w:t>
      </w:r>
    </w:p>
    <w:p w:rsidRPr="00314F1B" w:rsidR="00675FC1" w:rsidP="00314F1B" w:rsidRDefault="005C1DBD" w14:paraId="7BC7E789" w14:textId="7ED893AD">
      <w:pPr>
        <w:spacing w:line="276" w:lineRule="auto"/>
        <w:rPr>
          <w:lang w:eastAsia="zh-CN"/>
        </w:rPr>
      </w:pPr>
      <w:r w:rsidRPr="00C5303B">
        <w:rPr>
          <w:lang w:eastAsia="zh-CN"/>
        </w:rPr>
        <w:t xml:space="preserve">ProRail heeft een onderzoek uitgevoerd om in kaart te brengen </w:t>
      </w:r>
      <w:r w:rsidRPr="00C5303B" w:rsidR="0067631D">
        <w:rPr>
          <w:lang w:eastAsia="zh-CN"/>
        </w:rPr>
        <w:t xml:space="preserve">of en zo ja, hoe kaderovereenkomsten in de Nederlandse context gebruikt kunnen worden. Ook heeft ProRail onderzocht </w:t>
      </w:r>
      <w:r w:rsidRPr="00C5303B">
        <w:rPr>
          <w:lang w:eastAsia="zh-CN"/>
        </w:rPr>
        <w:t xml:space="preserve">hoe in verschillende Europese lidstaten wordt omgegaan met </w:t>
      </w:r>
      <w:r w:rsidRPr="00C5303B" w:rsidR="007C6A49">
        <w:rPr>
          <w:lang w:eastAsia="zh-CN"/>
        </w:rPr>
        <w:t>kaderovereenkomst</w:t>
      </w:r>
      <w:r w:rsidRPr="00C5303B" w:rsidR="005F7495">
        <w:rPr>
          <w:lang w:eastAsia="zh-CN"/>
        </w:rPr>
        <w:t>en</w:t>
      </w:r>
      <w:r w:rsidRPr="00C5303B" w:rsidR="004111D2">
        <w:rPr>
          <w:lang w:eastAsia="zh-CN"/>
        </w:rPr>
        <w:t>.</w:t>
      </w:r>
      <w:r w:rsidRPr="00C5303B" w:rsidR="006D1F13">
        <w:rPr>
          <w:rStyle w:val="FootnoteReference"/>
          <w:lang w:eastAsia="zh-CN"/>
        </w:rPr>
        <w:footnoteReference w:id="11"/>
      </w:r>
      <w:r w:rsidRPr="00C5303B" w:rsidR="00F84191">
        <w:rPr>
          <w:lang w:eastAsia="zh-CN"/>
        </w:rPr>
        <w:t xml:space="preserve"> </w:t>
      </w:r>
      <w:r w:rsidRPr="00C5303B" w:rsidR="00996E73">
        <w:rPr>
          <w:lang w:eastAsia="zh-CN"/>
        </w:rPr>
        <w:t>ProRail doet in haar rapport verschillende aanbevelingen om in de toekomst meer gebruik te maken van het instrument</w:t>
      </w:r>
      <w:r w:rsidRPr="00C5303B" w:rsidR="00AC76CF">
        <w:rPr>
          <w:lang w:eastAsia="zh-CN"/>
        </w:rPr>
        <w:t>.</w:t>
      </w:r>
      <w:r w:rsidRPr="00C5303B" w:rsidR="002A0A93">
        <w:rPr>
          <w:lang w:eastAsia="zh-CN"/>
        </w:rPr>
        <w:t xml:space="preserve"> </w:t>
      </w:r>
      <w:r w:rsidRPr="00C5303B" w:rsidR="00AC76CF">
        <w:rPr>
          <w:lang w:eastAsia="zh-CN"/>
        </w:rPr>
        <w:t xml:space="preserve">Het gebruik maken van kaderovereenkomsten blijft </w:t>
      </w:r>
      <w:r w:rsidRPr="00C5303B" w:rsidR="001F2173">
        <w:rPr>
          <w:lang w:eastAsia="zh-CN"/>
        </w:rPr>
        <w:t xml:space="preserve">echter </w:t>
      </w:r>
      <w:r w:rsidRPr="00C5303B" w:rsidR="00AC76CF">
        <w:rPr>
          <w:lang w:eastAsia="zh-CN"/>
        </w:rPr>
        <w:t>complex op het druk bereden Nederlandse spoornet.</w:t>
      </w:r>
      <w:r w:rsidRPr="00C5303B" w:rsidR="001F2173">
        <w:rPr>
          <w:lang w:eastAsia="zh-CN"/>
        </w:rPr>
        <w:t xml:space="preserve"> </w:t>
      </w:r>
      <w:bookmarkStart w:name="_Hlk230884081" w:id="1"/>
      <w:r w:rsidRPr="00C5303B" w:rsidR="000935BA">
        <w:rPr>
          <w:lang w:eastAsia="zh-CN"/>
        </w:rPr>
        <w:t>De komende periode ga</w:t>
      </w:r>
      <w:r w:rsidRPr="00C5303B" w:rsidR="006000EF">
        <w:rPr>
          <w:lang w:eastAsia="zh-CN"/>
        </w:rPr>
        <w:t xml:space="preserve">an IenW en </w:t>
      </w:r>
      <w:r w:rsidRPr="00C5303B" w:rsidR="000935BA">
        <w:rPr>
          <w:lang w:eastAsia="zh-CN"/>
        </w:rPr>
        <w:t>ProRail aan de slag om de conclusies</w:t>
      </w:r>
      <w:r w:rsidRPr="00C5303B" w:rsidR="00873D46">
        <w:rPr>
          <w:lang w:eastAsia="zh-CN"/>
        </w:rPr>
        <w:t xml:space="preserve"> van het rapport</w:t>
      </w:r>
      <w:r w:rsidRPr="00C5303B" w:rsidR="000935BA">
        <w:rPr>
          <w:lang w:eastAsia="zh-CN"/>
        </w:rPr>
        <w:t xml:space="preserve"> </w:t>
      </w:r>
      <w:r w:rsidRPr="00C5303B" w:rsidR="00873D46">
        <w:rPr>
          <w:lang w:eastAsia="zh-CN"/>
        </w:rPr>
        <w:t xml:space="preserve">en de verdere tijdlijn </w:t>
      </w:r>
      <w:r w:rsidRPr="00C5303B" w:rsidR="000935BA">
        <w:rPr>
          <w:lang w:eastAsia="zh-CN"/>
        </w:rPr>
        <w:t>te bespreken.</w:t>
      </w:r>
      <w:r w:rsidRPr="00C5303B" w:rsidR="00C868A7">
        <w:rPr>
          <w:lang w:eastAsia="zh-CN"/>
        </w:rPr>
        <w:t xml:space="preserve"> De conclusies en aanbevelingen uit het onderzoek van ProRail zullen betrokken worden bij de uitwerking van de ‘strategic guidance’ onder de verordening en in het programma TMS.  </w:t>
      </w:r>
      <w:r w:rsidRPr="00C5303B" w:rsidR="00675FC1">
        <w:rPr>
          <w:lang w:eastAsia="zh-CN"/>
        </w:rPr>
        <w:t xml:space="preserve">Bij </w:t>
      </w:r>
      <w:r w:rsidRPr="00C5303B" w:rsidR="0000647E">
        <w:rPr>
          <w:lang w:eastAsia="zh-CN"/>
        </w:rPr>
        <w:t>toekomstige</w:t>
      </w:r>
      <w:r w:rsidRPr="00C5303B" w:rsidR="00675FC1">
        <w:rPr>
          <w:lang w:eastAsia="zh-CN"/>
        </w:rPr>
        <w:t xml:space="preserve"> opvolging van het rapport </w:t>
      </w:r>
      <w:r w:rsidRPr="00C5303B" w:rsidR="006000EF">
        <w:rPr>
          <w:lang w:eastAsia="zh-CN"/>
        </w:rPr>
        <w:t xml:space="preserve">wordt </w:t>
      </w:r>
      <w:r w:rsidRPr="00C5303B" w:rsidR="00663095">
        <w:rPr>
          <w:lang w:eastAsia="zh-CN"/>
        </w:rPr>
        <w:t xml:space="preserve">steeds </w:t>
      </w:r>
      <w:r w:rsidRPr="00C5303B" w:rsidR="00910E6B">
        <w:rPr>
          <w:lang w:eastAsia="zh-CN"/>
        </w:rPr>
        <w:t xml:space="preserve">het </w:t>
      </w:r>
      <w:r w:rsidRPr="00C5303B" w:rsidR="00675FC1">
        <w:rPr>
          <w:lang w:eastAsia="zh-CN"/>
        </w:rPr>
        <w:t>belang van en zekerheid voor de reiziger voorop</w:t>
      </w:r>
      <w:r w:rsidRPr="00C5303B" w:rsidR="006000EF">
        <w:rPr>
          <w:lang w:eastAsia="zh-CN"/>
        </w:rPr>
        <w:t>gesteld</w:t>
      </w:r>
      <w:r w:rsidRPr="00C5303B" w:rsidR="00675FC1">
        <w:rPr>
          <w:lang w:eastAsia="zh-CN"/>
        </w:rPr>
        <w:t>.</w:t>
      </w:r>
    </w:p>
    <w:bookmarkEnd w:id="1"/>
    <w:p w:rsidRPr="00FE2815" w:rsidR="00675FC1" w:rsidP="00314F1B" w:rsidRDefault="00675FC1" w14:paraId="766EABE4" w14:textId="3F0A5A2C">
      <w:pPr>
        <w:spacing w:line="276" w:lineRule="auto"/>
        <w:rPr>
          <w:lang w:eastAsia="zh-CN"/>
        </w:rPr>
      </w:pPr>
    </w:p>
    <w:p w:rsidRPr="00FE2815" w:rsidR="00FE2815" w:rsidP="005F6B5D" w:rsidRDefault="00913258" w14:paraId="136AC820" w14:textId="366AA4A5">
      <w:pPr>
        <w:pStyle w:val="ListParagraph"/>
        <w:numPr>
          <w:ilvl w:val="0"/>
          <w:numId w:val="24"/>
        </w:numPr>
        <w:spacing w:line="276" w:lineRule="auto"/>
        <w:rPr>
          <w:b/>
          <w:bCs/>
        </w:rPr>
      </w:pPr>
      <w:r w:rsidRPr="00FE2815">
        <w:rPr>
          <w:b/>
          <w:bCs/>
        </w:rPr>
        <w:t xml:space="preserve">Internationale </w:t>
      </w:r>
      <w:r w:rsidRPr="00FE2815" w:rsidR="00FE2815">
        <w:rPr>
          <w:b/>
          <w:bCs/>
        </w:rPr>
        <w:t>ontwikkelingen</w:t>
      </w:r>
    </w:p>
    <w:p w:rsidRPr="00FE2815" w:rsidR="00FE2815" w:rsidP="00FE2815" w:rsidRDefault="00FE2815" w14:paraId="6D0761A5" w14:textId="00F35E06">
      <w:pPr>
        <w:rPr>
          <w:i/>
          <w:iCs/>
        </w:rPr>
      </w:pPr>
      <w:r w:rsidRPr="00FE2815">
        <w:rPr>
          <w:i/>
          <w:iCs/>
        </w:rPr>
        <w:t>Antwoord op aanbevelingen van het Beneluxparlement over fiets- en spoorbeleid</w:t>
      </w:r>
    </w:p>
    <w:p w:rsidRPr="00FE2815" w:rsidR="00FE2815" w:rsidP="00FE2815" w:rsidRDefault="00FE2815" w14:paraId="7D639CD7" w14:textId="23D43240">
      <w:r w:rsidRPr="00FE2815">
        <w:t xml:space="preserve">Het Beneluxparlement heeft in de zomer 2024 aanbevelingen omtrent spoorbeleid gedeeld. Deze zijn ook gedeeld met </w:t>
      </w:r>
      <w:r w:rsidR="00CB2FDA">
        <w:t>de</w:t>
      </w:r>
      <w:r w:rsidRPr="00FE2815">
        <w:t xml:space="preserve"> Kamer.</w:t>
      </w:r>
      <w:r>
        <w:rPr>
          <w:rStyle w:val="FootnoteReference"/>
        </w:rPr>
        <w:footnoteReference w:id="12"/>
      </w:r>
      <w:r w:rsidRPr="00FE2815">
        <w:t xml:space="preserve"> De drie Beneluxlanden hebben gezamenlijk een reactie op deze aanbevelingen opgesteld.</w:t>
      </w:r>
      <w:r w:rsidR="004111D2">
        <w:rPr>
          <w:rStyle w:val="FootnoteReference"/>
        </w:rPr>
        <w:footnoteReference w:id="13"/>
      </w:r>
      <w:r w:rsidRPr="00FE2815">
        <w:t xml:space="preserve"> Met deze brief </w:t>
      </w:r>
      <w:r w:rsidR="00DD2C61">
        <w:t>wordt de</w:t>
      </w:r>
      <w:r w:rsidRPr="00FE2815">
        <w:t xml:space="preserve"> Kamer hierover</w:t>
      </w:r>
      <w:r w:rsidR="00DD2C61">
        <w:t xml:space="preserve"> geïnformeerd</w:t>
      </w:r>
      <w:r w:rsidRPr="00FE2815">
        <w:t xml:space="preserve">. In dit antwoord op de aanbevelingen wordt per aanbeveling de reactie van de Beneluxlanden toegelicht, waarbij wordt verwezen naar bestaande beleidsinzet en, indien relevant, de lopende samenwerking binnen de Benelux. De antwoorden zijn officieel aangenomen door het Comité van Ministers van de Benelux. Daarnaast is op 18 februari jl. een gezamenlijke verklaring ‘Intensivering samenwerking op spoordossiers’ met België ondertekend. Hierover is </w:t>
      </w:r>
      <w:r w:rsidR="009D151E">
        <w:t>de</w:t>
      </w:r>
      <w:r w:rsidRPr="00FE2815">
        <w:t xml:space="preserve"> Kamer eerder geïnformeerd</w:t>
      </w:r>
      <w:r w:rsidR="00CA026D">
        <w:t>.</w:t>
      </w:r>
      <w:r>
        <w:rPr>
          <w:rStyle w:val="FootnoteReference"/>
        </w:rPr>
        <w:footnoteReference w:id="14"/>
      </w:r>
    </w:p>
    <w:p w:rsidRPr="00FE2815" w:rsidR="00FE2815" w:rsidP="00FE2815" w:rsidRDefault="00FE2815" w14:paraId="7D0EB368" w14:textId="77777777">
      <w:pPr>
        <w:spacing w:line="276" w:lineRule="auto"/>
        <w:rPr>
          <w:b/>
          <w:bCs/>
        </w:rPr>
      </w:pPr>
    </w:p>
    <w:p w:rsidRPr="00FE2815" w:rsidR="00FE2815" w:rsidP="00314F1B" w:rsidRDefault="00FE2815" w14:paraId="39083850" w14:textId="204EC92E">
      <w:pPr>
        <w:spacing w:line="276" w:lineRule="auto"/>
        <w:rPr>
          <w:i/>
          <w:iCs/>
          <w:lang w:eastAsia="zh-CN"/>
        </w:rPr>
      </w:pPr>
      <w:r>
        <w:rPr>
          <w:i/>
          <w:iCs/>
          <w:lang w:eastAsia="zh-CN"/>
        </w:rPr>
        <w:t>Nachttreinen</w:t>
      </w:r>
    </w:p>
    <w:p w:rsidR="00C62EBA" w:rsidP="00314F1B" w:rsidRDefault="00ED4944" w14:paraId="7BA799A8" w14:textId="77777777">
      <w:pPr>
        <w:spacing w:line="276" w:lineRule="auto"/>
        <w:rPr>
          <w:lang w:eastAsia="zh-CN"/>
        </w:rPr>
      </w:pPr>
      <w:r w:rsidRPr="00314F1B">
        <w:rPr>
          <w:lang w:eastAsia="zh-CN"/>
        </w:rPr>
        <w:t>Zoals aangegeven in de brief ‘Ontwikkelingen internationaal personenvervoer per spoor’ van 4 november 2025</w:t>
      </w:r>
      <w:r w:rsidRPr="00314F1B" w:rsidR="00854850">
        <w:rPr>
          <w:rStyle w:val="FootnoteReference"/>
          <w:lang w:eastAsia="zh-CN"/>
        </w:rPr>
        <w:footnoteReference w:id="15"/>
      </w:r>
      <w:r w:rsidRPr="00314F1B">
        <w:rPr>
          <w:lang w:eastAsia="zh-CN"/>
        </w:rPr>
        <w:t xml:space="preserve">, zijn vanuit </w:t>
      </w:r>
      <w:r w:rsidR="00EB576A">
        <w:rPr>
          <w:lang w:eastAsia="zh-CN"/>
        </w:rPr>
        <w:t>IenW</w:t>
      </w:r>
      <w:r w:rsidRPr="00314F1B">
        <w:rPr>
          <w:lang w:eastAsia="zh-CN"/>
        </w:rPr>
        <w:t xml:space="preserve"> </w:t>
      </w:r>
      <w:r w:rsidRPr="00314F1B" w:rsidR="00647E93">
        <w:rPr>
          <w:lang w:eastAsia="zh-CN"/>
        </w:rPr>
        <w:t xml:space="preserve">gesprekken gevoerd </w:t>
      </w:r>
      <w:r w:rsidRPr="00314F1B">
        <w:rPr>
          <w:lang w:eastAsia="zh-CN"/>
        </w:rPr>
        <w:t xml:space="preserve">met aanbieders van nachttreinverbindingen van en naar Nederland. Zoals per motie is verzocht, is hier gesproken over praktische belemmeringen om nieuwe nachttreinen te laten rijden. En ook, zoals door </w:t>
      </w:r>
      <w:r w:rsidR="00C377C7">
        <w:rPr>
          <w:lang w:eastAsia="zh-CN"/>
        </w:rPr>
        <w:t>de</w:t>
      </w:r>
      <w:r w:rsidRPr="00314F1B">
        <w:rPr>
          <w:lang w:eastAsia="zh-CN"/>
        </w:rPr>
        <w:t xml:space="preserve"> Kamer verzocht door de motie van de leden Dassen en Koekoek</w:t>
      </w:r>
      <w:r w:rsidRPr="00314F1B" w:rsidR="00854850">
        <w:rPr>
          <w:rStyle w:val="FootnoteReference"/>
          <w:lang w:eastAsia="zh-CN"/>
        </w:rPr>
        <w:footnoteReference w:id="16"/>
      </w:r>
      <w:r w:rsidRPr="00314F1B">
        <w:rPr>
          <w:lang w:eastAsia="zh-CN"/>
        </w:rPr>
        <w:t xml:space="preserve">, over de Europese pilot Amsterdam – Barcelona. </w:t>
      </w:r>
    </w:p>
    <w:p w:rsidR="00C62EBA" w:rsidP="00314F1B" w:rsidRDefault="00C62EBA" w14:paraId="1D4ADCD1" w14:textId="77777777">
      <w:pPr>
        <w:spacing w:line="276" w:lineRule="auto"/>
        <w:rPr>
          <w:lang w:eastAsia="zh-CN"/>
        </w:rPr>
      </w:pPr>
    </w:p>
    <w:p w:rsidR="00E6442C" w:rsidP="00314F1B" w:rsidRDefault="00ED4944" w14:paraId="43A3AC38" w14:textId="77777777">
      <w:pPr>
        <w:spacing w:line="276" w:lineRule="auto"/>
        <w:rPr>
          <w:lang w:eastAsia="zh-CN"/>
        </w:rPr>
      </w:pPr>
      <w:r w:rsidRPr="00314F1B">
        <w:rPr>
          <w:lang w:eastAsia="zh-CN"/>
        </w:rPr>
        <w:t>De gesprekken bevestigen de bevindingen uit het rapport over nachttreinen dat eerder</w:t>
      </w:r>
      <w:r w:rsidR="00BE59B3">
        <w:rPr>
          <w:lang w:eastAsia="zh-CN"/>
        </w:rPr>
        <w:t>,</w:t>
      </w:r>
      <w:r w:rsidRPr="00314F1B">
        <w:rPr>
          <w:lang w:eastAsia="zh-CN"/>
        </w:rPr>
        <w:t xml:space="preserve"> met de brief van 4 november</w:t>
      </w:r>
      <w:r w:rsidR="00BE59B3">
        <w:rPr>
          <w:lang w:eastAsia="zh-CN"/>
        </w:rPr>
        <w:t>,</w:t>
      </w:r>
      <w:r w:rsidRPr="00314F1B">
        <w:rPr>
          <w:lang w:eastAsia="zh-CN"/>
        </w:rPr>
        <w:t xml:space="preserve"> met </w:t>
      </w:r>
      <w:r w:rsidRPr="00314F1B" w:rsidR="00285E2B">
        <w:rPr>
          <w:lang w:eastAsia="zh-CN"/>
        </w:rPr>
        <w:t>de Tweede</w:t>
      </w:r>
      <w:r w:rsidRPr="00314F1B">
        <w:rPr>
          <w:lang w:eastAsia="zh-CN"/>
        </w:rPr>
        <w:t xml:space="preserve"> Kamer </w:t>
      </w:r>
      <w:r w:rsidR="00BE59B3">
        <w:rPr>
          <w:lang w:eastAsia="zh-CN"/>
        </w:rPr>
        <w:t xml:space="preserve">is </w:t>
      </w:r>
      <w:r w:rsidRPr="00314F1B">
        <w:rPr>
          <w:lang w:eastAsia="zh-CN"/>
        </w:rPr>
        <w:t>gedeeld</w:t>
      </w:r>
      <w:r w:rsidR="00005DDB">
        <w:rPr>
          <w:lang w:eastAsia="zh-CN"/>
        </w:rPr>
        <w:t>.</w:t>
      </w:r>
      <w:r w:rsidRPr="00314F1B" w:rsidR="00285E2B">
        <w:rPr>
          <w:lang w:eastAsia="zh-CN"/>
        </w:rPr>
        <w:t xml:space="preserve"> </w:t>
      </w:r>
      <w:r w:rsidR="00005DDB">
        <w:rPr>
          <w:lang w:eastAsia="zh-CN"/>
        </w:rPr>
        <w:t xml:space="preserve">In de brief zijn </w:t>
      </w:r>
      <w:r w:rsidRPr="00314F1B">
        <w:rPr>
          <w:lang w:eastAsia="zh-CN"/>
        </w:rPr>
        <w:t xml:space="preserve">drie typen drempels voor de invoering van nachttreinen </w:t>
      </w:r>
      <w:r w:rsidRPr="00314F1B" w:rsidR="00285E2B">
        <w:rPr>
          <w:lang w:eastAsia="zh-CN"/>
        </w:rPr>
        <w:t>zijn genoemd</w:t>
      </w:r>
      <w:r w:rsidRPr="00314F1B">
        <w:rPr>
          <w:lang w:eastAsia="zh-CN"/>
        </w:rPr>
        <w:t xml:space="preserve">. Ten eerste is er beperkte beschikbaarheid van infrastructuur en het verkrijgen van meerjarige zekerheid op het spoor. Als tweede wordt de beperkte beschikbaarheid van treinmaterieel genoemd. Met name de financiering en technische vereisten van nieuw materieel is een uitdaging. Ten slotte is er een gebrek aan een geïntegreerd kaartverkoop systeem. </w:t>
      </w:r>
    </w:p>
    <w:p w:rsidR="00E6442C" w:rsidP="00314F1B" w:rsidRDefault="00E6442C" w14:paraId="5CE82C72" w14:textId="77777777">
      <w:pPr>
        <w:spacing w:line="276" w:lineRule="auto"/>
        <w:rPr>
          <w:lang w:eastAsia="zh-CN"/>
        </w:rPr>
      </w:pPr>
    </w:p>
    <w:p w:rsidR="002C688C" w:rsidP="00314F1B" w:rsidRDefault="00ED4944" w14:paraId="0002C613" w14:textId="42AE03D6">
      <w:pPr>
        <w:spacing w:line="276" w:lineRule="auto"/>
        <w:rPr>
          <w:lang w:eastAsia="zh-CN"/>
        </w:rPr>
      </w:pPr>
      <w:r w:rsidRPr="00314F1B">
        <w:rPr>
          <w:lang w:eastAsia="zh-CN"/>
        </w:rPr>
        <w:t>Tijdens gesprekken met aanbieders van nachttreinen in Nederland, kwamen deze drempels ook naar voren</w:t>
      </w:r>
      <w:r w:rsidRPr="00314F1B" w:rsidR="006C1FD2">
        <w:rPr>
          <w:rStyle w:val="FootnoteReference"/>
          <w:lang w:eastAsia="zh-CN"/>
        </w:rPr>
        <w:footnoteReference w:id="17"/>
      </w:r>
      <w:r w:rsidRPr="00314F1B">
        <w:rPr>
          <w:lang w:eastAsia="zh-CN"/>
        </w:rPr>
        <w:t xml:space="preserve">. </w:t>
      </w:r>
      <w:r w:rsidRPr="00314F1B" w:rsidR="00611092">
        <w:rPr>
          <w:lang w:eastAsia="zh-CN"/>
        </w:rPr>
        <w:t>D</w:t>
      </w:r>
      <w:r w:rsidRPr="00314F1B" w:rsidR="0049614C">
        <w:rPr>
          <w:lang w:eastAsia="zh-CN"/>
        </w:rPr>
        <w:t xml:space="preserve">e uitwerking van de </w:t>
      </w:r>
      <w:r w:rsidRPr="00314F1B" w:rsidR="003C4CD3">
        <w:rPr>
          <w:lang w:eastAsia="zh-CN"/>
        </w:rPr>
        <w:t>TTR-principes</w:t>
      </w:r>
      <w:r w:rsidRPr="00314F1B" w:rsidR="0049614C">
        <w:rPr>
          <w:lang w:eastAsia="zh-CN"/>
        </w:rPr>
        <w:t xml:space="preserve"> in de Europese verordening </w:t>
      </w:r>
      <w:r w:rsidRPr="00314F1B" w:rsidR="0049614C">
        <w:t xml:space="preserve">spoorweginfrastructuurcapaciteit </w:t>
      </w:r>
      <w:r w:rsidRPr="00314F1B" w:rsidR="00611092">
        <w:t>helpt</w:t>
      </w:r>
      <w:r w:rsidRPr="00314F1B" w:rsidR="0049614C">
        <w:t xml:space="preserve"> de vervoerders </w:t>
      </w:r>
      <w:r w:rsidRPr="00314F1B" w:rsidR="00C54297">
        <w:t>bij de kaartverkoop</w:t>
      </w:r>
      <w:r w:rsidRPr="00314F1B" w:rsidR="00285E2B">
        <w:t>,</w:t>
      </w:r>
      <w:r w:rsidRPr="00314F1B" w:rsidR="00C54297">
        <w:t xml:space="preserve"> </w:t>
      </w:r>
      <w:r w:rsidRPr="00314F1B" w:rsidR="00611092">
        <w:t xml:space="preserve">omdat zij </w:t>
      </w:r>
      <w:r w:rsidRPr="00314F1B" w:rsidR="0049614C">
        <w:t>eerder inzage krijgen in de dienstregeling</w:t>
      </w:r>
      <w:r w:rsidRPr="00314F1B" w:rsidR="0049614C">
        <w:rPr>
          <w:lang w:eastAsia="zh-CN"/>
        </w:rPr>
        <w:t xml:space="preserve">. </w:t>
      </w:r>
      <w:r w:rsidR="00674E23">
        <w:rPr>
          <w:lang w:eastAsia="zh-CN"/>
        </w:rPr>
        <w:t>IenW</w:t>
      </w:r>
      <w:r w:rsidRPr="00314F1B">
        <w:rPr>
          <w:lang w:eastAsia="zh-CN"/>
        </w:rPr>
        <w:t xml:space="preserve"> </w:t>
      </w:r>
      <w:r w:rsidR="00DE7C27">
        <w:rPr>
          <w:lang w:eastAsia="zh-CN"/>
        </w:rPr>
        <w:t>blijf</w:t>
      </w:r>
      <w:r w:rsidR="00674E23">
        <w:rPr>
          <w:lang w:eastAsia="zh-CN"/>
        </w:rPr>
        <w:t>t</w:t>
      </w:r>
      <w:r w:rsidR="00DE7C27">
        <w:rPr>
          <w:lang w:eastAsia="zh-CN"/>
        </w:rPr>
        <w:t xml:space="preserve"> in gesprek</w:t>
      </w:r>
      <w:r w:rsidRPr="00314F1B">
        <w:rPr>
          <w:lang w:eastAsia="zh-CN"/>
        </w:rPr>
        <w:t xml:space="preserve"> met vervoerders en neem</w:t>
      </w:r>
      <w:r w:rsidR="009A3C91">
        <w:rPr>
          <w:lang w:eastAsia="zh-CN"/>
        </w:rPr>
        <w:t>t</w:t>
      </w:r>
      <w:r w:rsidRPr="00314F1B">
        <w:rPr>
          <w:lang w:eastAsia="zh-CN"/>
        </w:rPr>
        <w:t xml:space="preserve"> dit mee in de bredere context van internationaal reizigersvervoer per spoor.</w:t>
      </w:r>
      <w:r w:rsidRPr="00314F1B" w:rsidR="00285E2B">
        <w:rPr>
          <w:lang w:eastAsia="zh-CN"/>
        </w:rPr>
        <w:t xml:space="preserve"> </w:t>
      </w:r>
      <w:r w:rsidRPr="00314F1B">
        <w:rPr>
          <w:lang w:eastAsia="zh-CN"/>
        </w:rPr>
        <w:t>Dit kan ruimte geven aan innovatieve nieuwe aanbieders van nachttreinen op het spoor, wat in lijn is met het coalitieakkoord. Hiermee wordt invulling gegeven aan de motie van de leden Kröger en Dassen en de motie van de leden Dassen en Koekoek</w:t>
      </w:r>
      <w:r w:rsidRPr="00314F1B" w:rsidR="00854850">
        <w:rPr>
          <w:rStyle w:val="FootnoteReference"/>
          <w:lang w:eastAsia="zh-CN"/>
        </w:rPr>
        <w:footnoteReference w:id="18"/>
      </w:r>
      <w:r w:rsidRPr="00314F1B">
        <w:rPr>
          <w:lang w:eastAsia="zh-CN"/>
        </w:rPr>
        <w:t xml:space="preserve">. </w:t>
      </w:r>
    </w:p>
    <w:p w:rsidR="00775ED7" w:rsidP="00314F1B" w:rsidRDefault="00775ED7" w14:paraId="5C190359" w14:textId="77777777">
      <w:pPr>
        <w:spacing w:line="276" w:lineRule="auto"/>
        <w:rPr>
          <w:lang w:eastAsia="zh-CN"/>
        </w:rPr>
      </w:pPr>
    </w:p>
    <w:p w:rsidRPr="00314F1B" w:rsidR="002C688C" w:rsidP="00314F1B" w:rsidRDefault="002C688C" w14:paraId="7F8607F2" w14:textId="77777777">
      <w:pPr>
        <w:pStyle w:val="Slotzin"/>
        <w:spacing w:line="276" w:lineRule="auto"/>
      </w:pPr>
      <w:r w:rsidRPr="00314F1B">
        <w:t>Hoogachtend,</w:t>
      </w:r>
    </w:p>
    <w:p w:rsidRPr="00314F1B" w:rsidR="002C688C" w:rsidP="00314F1B" w:rsidRDefault="002C688C" w14:paraId="53EBD602" w14:textId="4AEAAEC0">
      <w:pPr>
        <w:pStyle w:val="OndertekeningArea1"/>
        <w:spacing w:line="276" w:lineRule="auto"/>
      </w:pPr>
      <w:r w:rsidRPr="00314F1B">
        <w:t>DE STAATSSECRETARIS VAN INFRASTRUCTUUR EN WATERSTAAT</w:t>
      </w:r>
      <w:r w:rsidR="00756C0C">
        <w:t>,</w:t>
      </w:r>
      <w:r w:rsidRPr="00314F1B">
        <w:t xml:space="preserve"> </w:t>
      </w:r>
    </w:p>
    <w:p w:rsidRPr="00314F1B" w:rsidR="002C688C" w:rsidP="00314F1B" w:rsidRDefault="002C688C" w14:paraId="197DF7C0" w14:textId="77777777">
      <w:pPr>
        <w:spacing w:line="276" w:lineRule="auto"/>
      </w:pPr>
    </w:p>
    <w:p w:rsidRPr="00314F1B" w:rsidR="002C688C" w:rsidP="00314F1B" w:rsidRDefault="002C688C" w14:paraId="10963F3E" w14:textId="77777777">
      <w:pPr>
        <w:spacing w:line="276" w:lineRule="auto"/>
      </w:pPr>
    </w:p>
    <w:p w:rsidRPr="00314F1B" w:rsidR="002C688C" w:rsidP="00314F1B" w:rsidRDefault="002C688C" w14:paraId="6F04F3BB" w14:textId="77777777">
      <w:pPr>
        <w:spacing w:line="276" w:lineRule="auto"/>
      </w:pPr>
    </w:p>
    <w:p w:rsidRPr="00314F1B" w:rsidR="002C688C" w:rsidP="00314F1B" w:rsidRDefault="002C688C" w14:paraId="2C072E58" w14:textId="77777777">
      <w:pPr>
        <w:spacing w:line="276" w:lineRule="auto"/>
      </w:pPr>
    </w:p>
    <w:p w:rsidRPr="00314F1B" w:rsidR="002C688C" w:rsidP="00314F1B" w:rsidRDefault="002C688C" w14:paraId="2A899E8B" w14:textId="77777777">
      <w:pPr>
        <w:spacing w:line="276" w:lineRule="auto"/>
      </w:pPr>
      <w:r w:rsidRPr="00314F1B">
        <w:t>Annet Bertram</w:t>
      </w:r>
    </w:p>
    <w:p w:rsidRPr="00314F1B" w:rsidR="002C688C" w:rsidP="00314F1B" w:rsidRDefault="002C688C" w14:paraId="5529982A" w14:textId="77777777">
      <w:pPr>
        <w:spacing w:line="276" w:lineRule="auto"/>
        <w:rPr>
          <w:lang w:eastAsia="zh-CN"/>
        </w:rPr>
      </w:pPr>
    </w:p>
    <w:sectPr w:rsidRPr="00314F1B" w:rsidR="002C688C" w:rsidSect="0040738F">
      <w:headerReference w:type="even" r:id="rId9"/>
      <w:headerReference w:type="default" r:id="rId10"/>
      <w:footerReference w:type="even" r:id="rId11"/>
      <w:footerReference w:type="default" r:id="rId12"/>
      <w:headerReference w:type="first" r:id="rId13"/>
      <w:footerReference w:type="first" r:id="rId14"/>
      <w:pgSz w:w="11905" w:h="16837"/>
      <w:pgMar w:top="2948" w:right="2691"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EA23C" w14:textId="77777777" w:rsidR="008A239E" w:rsidRDefault="008A239E">
      <w:pPr>
        <w:spacing w:line="240" w:lineRule="auto"/>
      </w:pPr>
      <w:r>
        <w:separator/>
      </w:r>
    </w:p>
  </w:endnote>
  <w:endnote w:type="continuationSeparator" w:id="0">
    <w:p w14:paraId="3B77055A" w14:textId="77777777" w:rsidR="008A239E" w:rsidRDefault="008A2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2C468" w14:textId="77777777" w:rsidR="00C5303B" w:rsidRDefault="00C53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09839" w14:textId="77777777" w:rsidR="00C5303B" w:rsidRDefault="00C53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67ACF" w14:textId="77777777" w:rsidR="00C5303B" w:rsidRDefault="00C5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592A5" w14:textId="77777777" w:rsidR="008A239E" w:rsidRDefault="008A239E">
      <w:pPr>
        <w:spacing w:line="240" w:lineRule="auto"/>
      </w:pPr>
      <w:r>
        <w:separator/>
      </w:r>
    </w:p>
  </w:footnote>
  <w:footnote w:type="continuationSeparator" w:id="0">
    <w:p w14:paraId="33574540" w14:textId="77777777" w:rsidR="008A239E" w:rsidRDefault="008A239E">
      <w:pPr>
        <w:spacing w:line="240" w:lineRule="auto"/>
      </w:pPr>
      <w:r>
        <w:continuationSeparator/>
      </w:r>
    </w:p>
  </w:footnote>
  <w:footnote w:id="1">
    <w:p w14:paraId="6FC3BB9F" w14:textId="40CD4C80" w:rsidR="005F7495" w:rsidRPr="00FE2815" w:rsidRDefault="005F7495">
      <w:pPr>
        <w:pStyle w:val="FootnoteText"/>
        <w:rPr>
          <w:sz w:val="16"/>
          <w:szCs w:val="16"/>
        </w:rPr>
      </w:pPr>
      <w:r w:rsidRPr="00FE2815">
        <w:rPr>
          <w:rStyle w:val="FootnoteReference"/>
          <w:sz w:val="16"/>
          <w:szCs w:val="16"/>
        </w:rPr>
        <w:footnoteRef/>
      </w:r>
      <w:r w:rsidRPr="00FE2815">
        <w:rPr>
          <w:sz w:val="16"/>
          <w:szCs w:val="16"/>
        </w:rPr>
        <w:t xml:space="preserve"> Toezegging 202512-077.</w:t>
      </w:r>
    </w:p>
  </w:footnote>
  <w:footnote w:id="2">
    <w:p w14:paraId="48B13B0D" w14:textId="4775F212" w:rsidR="000E2794" w:rsidRPr="005F1FED" w:rsidRDefault="000E2794" w:rsidP="000E2794">
      <w:pPr>
        <w:pStyle w:val="FootnoteText"/>
        <w:rPr>
          <w:sz w:val="16"/>
          <w:szCs w:val="16"/>
        </w:rPr>
      </w:pPr>
      <w:r w:rsidRPr="005F1FED">
        <w:rPr>
          <w:rStyle w:val="FootnoteReference"/>
          <w:sz w:val="16"/>
          <w:szCs w:val="16"/>
        </w:rPr>
        <w:footnoteRef/>
      </w:r>
      <w:r w:rsidRPr="005F1FED">
        <w:rPr>
          <w:sz w:val="16"/>
          <w:szCs w:val="16"/>
        </w:rPr>
        <w:t xml:space="preserve"> </w:t>
      </w:r>
      <w:r w:rsidR="009C63DE" w:rsidRPr="005F1FED">
        <w:rPr>
          <w:sz w:val="16"/>
          <w:szCs w:val="16"/>
        </w:rPr>
        <w:t>Kamerstukken 2025/26,</w:t>
      </w:r>
      <w:r w:rsidRPr="005F1FED">
        <w:rPr>
          <w:sz w:val="16"/>
          <w:szCs w:val="16"/>
        </w:rPr>
        <w:t xml:space="preserve"> 36</w:t>
      </w:r>
      <w:r w:rsidR="009C63DE" w:rsidRPr="005F1FED">
        <w:rPr>
          <w:sz w:val="16"/>
          <w:szCs w:val="16"/>
        </w:rPr>
        <w:t xml:space="preserve"> </w:t>
      </w:r>
      <w:r w:rsidRPr="005F1FED">
        <w:rPr>
          <w:sz w:val="16"/>
          <w:szCs w:val="16"/>
        </w:rPr>
        <w:t>563</w:t>
      </w:r>
      <w:r w:rsidR="009C63DE" w:rsidRPr="005F1FED">
        <w:rPr>
          <w:sz w:val="16"/>
          <w:szCs w:val="16"/>
        </w:rPr>
        <w:t xml:space="preserve">, nummers </w:t>
      </w:r>
      <w:r w:rsidRPr="005F1FED">
        <w:rPr>
          <w:sz w:val="16"/>
          <w:szCs w:val="16"/>
        </w:rPr>
        <w:t>11</w:t>
      </w:r>
      <w:r w:rsidR="009C63DE" w:rsidRPr="005F1FED">
        <w:rPr>
          <w:sz w:val="16"/>
          <w:szCs w:val="16"/>
        </w:rPr>
        <w:t xml:space="preserve"> en 12</w:t>
      </w:r>
      <w:r w:rsidRPr="005F1FED">
        <w:rPr>
          <w:sz w:val="16"/>
          <w:szCs w:val="16"/>
        </w:rPr>
        <w:t xml:space="preserve">, toezegging TZ202505-082 </w:t>
      </w:r>
    </w:p>
  </w:footnote>
  <w:footnote w:id="3">
    <w:p w14:paraId="38EC1E2E" w14:textId="1ACC6924" w:rsidR="00775ED7" w:rsidRDefault="00775ED7">
      <w:pPr>
        <w:pStyle w:val="FootnoteText"/>
      </w:pPr>
      <w:r>
        <w:rPr>
          <w:rStyle w:val="FootnoteReference"/>
        </w:rPr>
        <w:footnoteRef/>
      </w:r>
      <w:r>
        <w:t xml:space="preserve"> </w:t>
      </w:r>
      <w:r w:rsidRPr="005F6B5D">
        <w:rPr>
          <w:sz w:val="16"/>
          <w:szCs w:val="16"/>
        </w:rPr>
        <w:t>Kamerstukken 2025/206, 29984, nummer 1283</w:t>
      </w:r>
      <w:r>
        <w:rPr>
          <w:sz w:val="16"/>
          <w:szCs w:val="16"/>
        </w:rPr>
        <w:t>.</w:t>
      </w:r>
    </w:p>
  </w:footnote>
  <w:footnote w:id="4">
    <w:p w14:paraId="5FF0A2B4" w14:textId="5CB22443" w:rsidR="005F1FED" w:rsidRDefault="005F1FED">
      <w:pPr>
        <w:pStyle w:val="FootnoteText"/>
      </w:pPr>
      <w:r w:rsidRPr="008921B9">
        <w:rPr>
          <w:rStyle w:val="FootnoteReference"/>
          <w:sz w:val="16"/>
          <w:szCs w:val="16"/>
        </w:rPr>
        <w:footnoteRef/>
      </w:r>
      <w:r w:rsidRPr="008921B9">
        <w:rPr>
          <w:sz w:val="16"/>
          <w:szCs w:val="16"/>
        </w:rPr>
        <w:t xml:space="preserve"> Confo</w:t>
      </w:r>
      <w:r w:rsidR="00EF00D2">
        <w:rPr>
          <w:sz w:val="16"/>
          <w:szCs w:val="16"/>
        </w:rPr>
        <w:t xml:space="preserve">rm Kamerstuk </w:t>
      </w:r>
      <w:r w:rsidR="00EF00D2" w:rsidRPr="00EF00D2">
        <w:rPr>
          <w:sz w:val="16"/>
          <w:szCs w:val="16"/>
        </w:rPr>
        <w:t>36287-6/2024D37716</w:t>
      </w:r>
      <w:r w:rsidR="008921B9" w:rsidRPr="008921B9">
        <w:rPr>
          <w:sz w:val="16"/>
          <w:szCs w:val="16"/>
        </w:rPr>
        <w:t>.</w:t>
      </w:r>
    </w:p>
  </w:footnote>
  <w:footnote w:id="5">
    <w:p w14:paraId="39378BBA" w14:textId="4C9D4D3E" w:rsidR="00F667A6" w:rsidRPr="00FE2815" w:rsidRDefault="00F667A6">
      <w:pPr>
        <w:pStyle w:val="FootnoteText"/>
        <w:rPr>
          <w:sz w:val="16"/>
          <w:szCs w:val="16"/>
        </w:rPr>
      </w:pPr>
      <w:r w:rsidRPr="00FE2815">
        <w:rPr>
          <w:rStyle w:val="FootnoteReference"/>
          <w:sz w:val="16"/>
          <w:szCs w:val="16"/>
        </w:rPr>
        <w:footnoteRef/>
      </w:r>
      <w:r w:rsidRPr="00FE2815">
        <w:rPr>
          <w:sz w:val="16"/>
          <w:szCs w:val="16"/>
        </w:rPr>
        <w:t xml:space="preserve"> Kamerstukken</w:t>
      </w:r>
      <w:r w:rsidR="009C63DE" w:rsidRPr="00FE2815">
        <w:rPr>
          <w:sz w:val="16"/>
          <w:szCs w:val="16"/>
        </w:rPr>
        <w:t xml:space="preserve"> 2025/26,</w:t>
      </w:r>
      <w:r w:rsidRPr="00FE2815">
        <w:rPr>
          <w:sz w:val="16"/>
          <w:szCs w:val="16"/>
        </w:rPr>
        <w:t xml:space="preserve"> 36 563, n</w:t>
      </w:r>
      <w:r w:rsidR="009C63DE" w:rsidRPr="00FE2815">
        <w:rPr>
          <w:sz w:val="16"/>
          <w:szCs w:val="16"/>
        </w:rPr>
        <w:t>umme</w:t>
      </w:r>
      <w:r w:rsidRPr="00FE2815">
        <w:rPr>
          <w:sz w:val="16"/>
          <w:szCs w:val="16"/>
        </w:rPr>
        <w:t>r</w:t>
      </w:r>
      <w:r w:rsidR="009C63DE" w:rsidRPr="00FE2815">
        <w:rPr>
          <w:sz w:val="16"/>
          <w:szCs w:val="16"/>
        </w:rPr>
        <w:t>s</w:t>
      </w:r>
      <w:r w:rsidRPr="00FE2815">
        <w:rPr>
          <w:sz w:val="16"/>
          <w:szCs w:val="16"/>
        </w:rPr>
        <w:t xml:space="preserve"> 9 en 15</w:t>
      </w:r>
    </w:p>
  </w:footnote>
  <w:footnote w:id="6">
    <w:p w14:paraId="35BBD07F" w14:textId="6BA1BF88" w:rsidR="006B5E19" w:rsidRPr="00FE2815" w:rsidRDefault="006B5E19" w:rsidP="006B5E19">
      <w:pPr>
        <w:pStyle w:val="FootnoteText"/>
        <w:rPr>
          <w:sz w:val="16"/>
          <w:szCs w:val="16"/>
        </w:rPr>
      </w:pPr>
      <w:r w:rsidRPr="00FE2815">
        <w:rPr>
          <w:rStyle w:val="FootnoteReference"/>
          <w:sz w:val="16"/>
          <w:szCs w:val="16"/>
        </w:rPr>
        <w:footnoteRef/>
      </w:r>
      <w:r w:rsidRPr="00FE2815">
        <w:rPr>
          <w:sz w:val="16"/>
          <w:szCs w:val="16"/>
        </w:rPr>
        <w:t xml:space="preserve"> Via openbare dienstcontracten </w:t>
      </w:r>
      <w:r w:rsidR="00314F1B" w:rsidRPr="00FE2815">
        <w:rPr>
          <w:sz w:val="16"/>
          <w:szCs w:val="16"/>
        </w:rPr>
        <w:t>of</w:t>
      </w:r>
      <w:r w:rsidRPr="00FE2815">
        <w:rPr>
          <w:sz w:val="16"/>
          <w:szCs w:val="16"/>
        </w:rPr>
        <w:t xml:space="preserve"> vervoersconcessies, zowel op het hoofdrailnet als het regionale net.</w:t>
      </w:r>
    </w:p>
  </w:footnote>
  <w:footnote w:id="7">
    <w:p w14:paraId="2B525E05" w14:textId="77777777" w:rsidR="00B11D07" w:rsidRPr="00FE2815" w:rsidRDefault="00B11D07" w:rsidP="00B11D07">
      <w:pPr>
        <w:pStyle w:val="FootnoteText"/>
        <w:rPr>
          <w:sz w:val="16"/>
          <w:szCs w:val="16"/>
        </w:rPr>
      </w:pPr>
      <w:r w:rsidRPr="00FE2815">
        <w:rPr>
          <w:rStyle w:val="FootnoteReference"/>
          <w:sz w:val="16"/>
          <w:szCs w:val="16"/>
        </w:rPr>
        <w:footnoteRef/>
      </w:r>
      <w:r w:rsidRPr="00FE2815">
        <w:rPr>
          <w:sz w:val="16"/>
          <w:szCs w:val="16"/>
        </w:rPr>
        <w:t xml:space="preserve"> Zie Kamerstuk 2023/24, 22 112, nr. 3822. </w:t>
      </w:r>
      <w:hyperlink r:id="rId1" w:history="1">
        <w:r w:rsidRPr="00FE2815">
          <w:rPr>
            <w:rStyle w:val="Hyperlink"/>
            <w:sz w:val="16"/>
            <w:szCs w:val="16"/>
          </w:rPr>
          <w:t>Nieuwe Commissievoorstellen en initiatieven van de lidstaten van de Europese Unie | Tweede Kamer der Staten-Generaal</w:t>
        </w:r>
      </w:hyperlink>
    </w:p>
  </w:footnote>
  <w:footnote w:id="8">
    <w:p w14:paraId="11EDB565" w14:textId="77777777" w:rsidR="00B11D07" w:rsidRPr="00FE2815" w:rsidRDefault="00B11D07" w:rsidP="00B11D07">
      <w:pPr>
        <w:pStyle w:val="FootnoteText"/>
        <w:rPr>
          <w:sz w:val="16"/>
          <w:szCs w:val="16"/>
        </w:rPr>
      </w:pPr>
      <w:r w:rsidRPr="00FE2815">
        <w:rPr>
          <w:rStyle w:val="FootnoteReference"/>
          <w:sz w:val="16"/>
          <w:szCs w:val="16"/>
        </w:rPr>
        <w:footnoteRef/>
      </w:r>
      <w:r w:rsidRPr="00FE2815">
        <w:rPr>
          <w:sz w:val="16"/>
          <w:szCs w:val="16"/>
        </w:rPr>
        <w:t xml:space="preserve"> </w:t>
      </w:r>
      <w:hyperlink r:id="rId2" w:history="1">
        <w:r w:rsidRPr="00FE2815">
          <w:rPr>
            <w:rStyle w:val="Hyperlink"/>
            <w:sz w:val="16"/>
            <w:szCs w:val="16"/>
          </w:rPr>
          <w:t>Vergroening goederenvervoer: Raad bepaalt standpunt over pakket voor efficiënter beheer van spoorinfrastructuurcapaciteit en -verkeer - Consilium</w:t>
        </w:r>
      </w:hyperlink>
    </w:p>
  </w:footnote>
  <w:footnote w:id="9">
    <w:p w14:paraId="49643A64" w14:textId="2B7D6BEB" w:rsidR="006B5E19" w:rsidRPr="00FE2815" w:rsidRDefault="006B5E19" w:rsidP="006B5E19">
      <w:pPr>
        <w:pStyle w:val="FootnoteText"/>
        <w:rPr>
          <w:sz w:val="16"/>
          <w:szCs w:val="16"/>
        </w:rPr>
      </w:pPr>
      <w:r w:rsidRPr="00FE2815">
        <w:rPr>
          <w:rStyle w:val="FootnoteReference"/>
          <w:sz w:val="16"/>
          <w:szCs w:val="16"/>
        </w:rPr>
        <w:footnoteRef/>
      </w:r>
      <w:r w:rsidRPr="00FE2815">
        <w:rPr>
          <w:sz w:val="16"/>
          <w:szCs w:val="16"/>
        </w:rPr>
        <w:t xml:space="preserve"> Besluit </w:t>
      </w:r>
      <w:r w:rsidR="005C1DBD" w:rsidRPr="00FE2815">
        <w:rPr>
          <w:sz w:val="16"/>
          <w:szCs w:val="16"/>
        </w:rPr>
        <w:t>c</w:t>
      </w:r>
      <w:r w:rsidRPr="00FE2815">
        <w:rPr>
          <w:sz w:val="16"/>
          <w:szCs w:val="16"/>
        </w:rPr>
        <w:t>apaciteitsverdeling</w:t>
      </w:r>
      <w:r w:rsidR="005C1DBD" w:rsidRPr="00FE2815">
        <w:rPr>
          <w:sz w:val="16"/>
          <w:szCs w:val="16"/>
        </w:rPr>
        <w:t xml:space="preserve"> hoofdspoorweginfrastructuur</w:t>
      </w:r>
      <w:r w:rsidRPr="00FE2815">
        <w:rPr>
          <w:sz w:val="16"/>
          <w:szCs w:val="16"/>
        </w:rPr>
        <w:t>.</w:t>
      </w:r>
    </w:p>
  </w:footnote>
  <w:footnote w:id="10">
    <w:p w14:paraId="3305C5A9" w14:textId="62385B0A" w:rsidR="00314F1B" w:rsidRPr="006C12FE" w:rsidRDefault="00314F1B" w:rsidP="00314F1B">
      <w:pPr>
        <w:pStyle w:val="FootnoteText"/>
        <w:rPr>
          <w:sz w:val="16"/>
          <w:szCs w:val="16"/>
        </w:rPr>
      </w:pPr>
      <w:r w:rsidRPr="00FE2815">
        <w:rPr>
          <w:rStyle w:val="FootnoteReference"/>
          <w:sz w:val="16"/>
          <w:szCs w:val="16"/>
        </w:rPr>
        <w:footnoteRef/>
      </w:r>
      <w:r w:rsidRPr="006C12FE">
        <w:rPr>
          <w:sz w:val="16"/>
          <w:szCs w:val="16"/>
        </w:rPr>
        <w:t xml:space="preserve"> TSI telematica, (EU) 2026/253 van 6 februari 2026</w:t>
      </w:r>
      <w:r w:rsidR="006C4F71" w:rsidRPr="006C12FE">
        <w:rPr>
          <w:sz w:val="16"/>
          <w:szCs w:val="16"/>
        </w:rPr>
        <w:t>.</w:t>
      </w:r>
    </w:p>
  </w:footnote>
  <w:footnote w:id="11">
    <w:p w14:paraId="795EDCD7" w14:textId="65BC44A8" w:rsidR="006D1F13" w:rsidRPr="00FE2815" w:rsidRDefault="006D1F13">
      <w:pPr>
        <w:pStyle w:val="FootnoteText"/>
        <w:rPr>
          <w:sz w:val="16"/>
          <w:szCs w:val="16"/>
        </w:rPr>
      </w:pPr>
      <w:r w:rsidRPr="00FE2815">
        <w:rPr>
          <w:rStyle w:val="FootnoteReference"/>
          <w:sz w:val="16"/>
          <w:szCs w:val="16"/>
        </w:rPr>
        <w:footnoteRef/>
      </w:r>
      <w:r w:rsidRPr="00FE2815">
        <w:rPr>
          <w:sz w:val="16"/>
          <w:szCs w:val="16"/>
        </w:rPr>
        <w:t xml:space="preserve"> Dit rapport vindt u in bijlage 1. </w:t>
      </w:r>
    </w:p>
  </w:footnote>
  <w:footnote w:id="12">
    <w:p w14:paraId="45B07DE8" w14:textId="5D0D0B96" w:rsidR="00FE2815" w:rsidRPr="004111D2" w:rsidRDefault="00FE2815">
      <w:pPr>
        <w:pStyle w:val="FootnoteText"/>
        <w:rPr>
          <w:sz w:val="16"/>
          <w:szCs w:val="16"/>
        </w:rPr>
      </w:pPr>
      <w:r w:rsidRPr="004111D2">
        <w:rPr>
          <w:rStyle w:val="FootnoteReference"/>
          <w:sz w:val="16"/>
          <w:szCs w:val="16"/>
        </w:rPr>
        <w:footnoteRef/>
      </w:r>
      <w:r w:rsidRPr="004111D2">
        <w:rPr>
          <w:sz w:val="16"/>
          <w:szCs w:val="16"/>
        </w:rPr>
        <w:t xml:space="preserve"> Kamerstukken 2024/25, 36287, nr. 6.</w:t>
      </w:r>
    </w:p>
  </w:footnote>
  <w:footnote w:id="13">
    <w:p w14:paraId="0AB05FB7" w14:textId="7E613BBB" w:rsidR="004111D2" w:rsidRPr="004111D2" w:rsidRDefault="004111D2">
      <w:pPr>
        <w:pStyle w:val="FootnoteText"/>
        <w:rPr>
          <w:sz w:val="16"/>
          <w:szCs w:val="16"/>
        </w:rPr>
      </w:pPr>
      <w:r w:rsidRPr="004111D2">
        <w:rPr>
          <w:rStyle w:val="FootnoteReference"/>
          <w:sz w:val="16"/>
          <w:szCs w:val="16"/>
        </w:rPr>
        <w:footnoteRef/>
      </w:r>
      <w:r w:rsidRPr="004111D2">
        <w:rPr>
          <w:sz w:val="16"/>
          <w:szCs w:val="16"/>
        </w:rPr>
        <w:t xml:space="preserve"> Deze reactie vindt u in bijlage 2.</w:t>
      </w:r>
    </w:p>
  </w:footnote>
  <w:footnote w:id="14">
    <w:p w14:paraId="11703EED" w14:textId="213BFCCA" w:rsidR="00FE2815" w:rsidRPr="00FE2815" w:rsidRDefault="00FE2815">
      <w:pPr>
        <w:pStyle w:val="FootnoteText"/>
        <w:rPr>
          <w:sz w:val="16"/>
          <w:szCs w:val="16"/>
        </w:rPr>
      </w:pPr>
      <w:r w:rsidRPr="004111D2">
        <w:rPr>
          <w:rStyle w:val="FootnoteReference"/>
          <w:sz w:val="16"/>
          <w:szCs w:val="16"/>
        </w:rPr>
        <w:footnoteRef/>
      </w:r>
      <w:r w:rsidRPr="004111D2">
        <w:rPr>
          <w:sz w:val="16"/>
          <w:szCs w:val="16"/>
        </w:rPr>
        <w:t xml:space="preserve"> Kamerstukken 2025/26, 29984-1276.</w:t>
      </w:r>
    </w:p>
  </w:footnote>
  <w:footnote w:id="15">
    <w:p w14:paraId="13402EB4" w14:textId="087887C7" w:rsidR="00854850" w:rsidRPr="00FE2815" w:rsidRDefault="00854850">
      <w:pPr>
        <w:pStyle w:val="FootnoteText"/>
        <w:rPr>
          <w:sz w:val="16"/>
          <w:szCs w:val="16"/>
        </w:rPr>
      </w:pPr>
      <w:r w:rsidRPr="00FE2815">
        <w:rPr>
          <w:rStyle w:val="FootnoteReference"/>
          <w:sz w:val="16"/>
          <w:szCs w:val="16"/>
        </w:rPr>
        <w:footnoteRef/>
      </w:r>
      <w:r w:rsidRPr="00FE2815">
        <w:rPr>
          <w:sz w:val="16"/>
          <w:szCs w:val="16"/>
        </w:rPr>
        <w:t xml:space="preserve"> </w:t>
      </w:r>
      <w:hyperlink r:id="rId3" w:history="1">
        <w:r w:rsidRPr="00FE2815">
          <w:rPr>
            <w:rStyle w:val="Hyperlink"/>
            <w:sz w:val="16"/>
            <w:szCs w:val="16"/>
          </w:rPr>
          <w:t>Kamerbrief over ontwikkelingen internationaal personenvervoer per spoor november 2025</w:t>
        </w:r>
        <w:r w:rsidR="00901C4C" w:rsidRPr="00FE2815">
          <w:rPr>
            <w:rStyle w:val="Hyperlink"/>
            <w:sz w:val="16"/>
            <w:szCs w:val="16"/>
          </w:rPr>
          <w:t>.</w:t>
        </w:r>
        <w:r w:rsidRPr="00FE2815">
          <w:rPr>
            <w:rStyle w:val="Hyperlink"/>
            <w:sz w:val="16"/>
            <w:szCs w:val="16"/>
          </w:rPr>
          <w:t xml:space="preserve"> </w:t>
        </w:r>
      </w:hyperlink>
    </w:p>
  </w:footnote>
  <w:footnote w:id="16">
    <w:p w14:paraId="74D848E7" w14:textId="2AB54100" w:rsidR="00854850" w:rsidRPr="00FE2815" w:rsidRDefault="00854850">
      <w:pPr>
        <w:pStyle w:val="FootnoteText"/>
        <w:rPr>
          <w:sz w:val="16"/>
          <w:szCs w:val="16"/>
        </w:rPr>
      </w:pPr>
      <w:r w:rsidRPr="00FE2815">
        <w:rPr>
          <w:rStyle w:val="FootnoteReference"/>
          <w:sz w:val="16"/>
          <w:szCs w:val="16"/>
        </w:rPr>
        <w:footnoteRef/>
      </w:r>
      <w:r w:rsidRPr="00FE2815">
        <w:rPr>
          <w:sz w:val="16"/>
          <w:szCs w:val="16"/>
        </w:rPr>
        <w:t xml:space="preserve"> Kamerstukken </w:t>
      </w:r>
      <w:r w:rsidR="009C63DE" w:rsidRPr="00FE2815">
        <w:rPr>
          <w:sz w:val="16"/>
          <w:szCs w:val="16"/>
        </w:rPr>
        <w:t xml:space="preserve">2025/26, </w:t>
      </w:r>
      <w:r w:rsidRPr="00FE2815">
        <w:rPr>
          <w:sz w:val="16"/>
          <w:szCs w:val="16"/>
        </w:rPr>
        <w:t>36 563, n</w:t>
      </w:r>
      <w:r w:rsidR="00FE2815">
        <w:rPr>
          <w:sz w:val="16"/>
          <w:szCs w:val="16"/>
        </w:rPr>
        <w:t>r.</w:t>
      </w:r>
      <w:r w:rsidRPr="00FE2815">
        <w:rPr>
          <w:sz w:val="16"/>
          <w:szCs w:val="16"/>
        </w:rPr>
        <w:t xml:space="preserve"> 9 en 15</w:t>
      </w:r>
      <w:r w:rsidR="006C4F71">
        <w:rPr>
          <w:sz w:val="16"/>
          <w:szCs w:val="16"/>
        </w:rPr>
        <w:t>.</w:t>
      </w:r>
    </w:p>
  </w:footnote>
  <w:footnote w:id="17">
    <w:p w14:paraId="5E347C9A" w14:textId="59E674D2" w:rsidR="006C1FD2" w:rsidRPr="00FE2815" w:rsidRDefault="006C1FD2">
      <w:pPr>
        <w:pStyle w:val="FootnoteText"/>
        <w:rPr>
          <w:sz w:val="16"/>
          <w:szCs w:val="16"/>
        </w:rPr>
      </w:pPr>
      <w:r w:rsidRPr="00FE2815">
        <w:rPr>
          <w:rStyle w:val="FootnoteReference"/>
          <w:sz w:val="16"/>
          <w:szCs w:val="16"/>
        </w:rPr>
        <w:footnoteRef/>
      </w:r>
      <w:r w:rsidRPr="00FE2815">
        <w:rPr>
          <w:sz w:val="16"/>
          <w:szCs w:val="16"/>
        </w:rPr>
        <w:t xml:space="preserve"> De EC </w:t>
      </w:r>
      <w:r w:rsidR="00F96D69" w:rsidRPr="00FE2815">
        <w:rPr>
          <w:sz w:val="16"/>
          <w:szCs w:val="16"/>
        </w:rPr>
        <w:t xml:space="preserve">heeft </w:t>
      </w:r>
      <w:r w:rsidRPr="00FE2815">
        <w:rPr>
          <w:sz w:val="16"/>
          <w:szCs w:val="16"/>
        </w:rPr>
        <w:t xml:space="preserve">op 13 mei haar voorstellen </w:t>
      </w:r>
      <w:r w:rsidR="00F96D69" w:rsidRPr="00FE2815">
        <w:rPr>
          <w:sz w:val="16"/>
          <w:szCs w:val="16"/>
        </w:rPr>
        <w:t xml:space="preserve">gepubliceerd </w:t>
      </w:r>
      <w:r w:rsidRPr="00FE2815">
        <w:rPr>
          <w:sz w:val="16"/>
          <w:szCs w:val="16"/>
        </w:rPr>
        <w:t>voor internationale ticket</w:t>
      </w:r>
      <w:r w:rsidR="002A53D9" w:rsidRPr="00FE2815">
        <w:rPr>
          <w:sz w:val="16"/>
          <w:szCs w:val="16"/>
        </w:rPr>
        <w:t>verkoop</w:t>
      </w:r>
      <w:r w:rsidRPr="00FE2815">
        <w:rPr>
          <w:sz w:val="16"/>
          <w:szCs w:val="16"/>
        </w:rPr>
        <w:t xml:space="preserve"> ter bevordering van internationaal personenvervoer per spoor. Het kabinet </w:t>
      </w:r>
      <w:r w:rsidR="00F96D69" w:rsidRPr="00FE2815">
        <w:rPr>
          <w:sz w:val="16"/>
          <w:szCs w:val="16"/>
        </w:rPr>
        <w:t>stelt</w:t>
      </w:r>
      <w:r w:rsidRPr="00FE2815">
        <w:rPr>
          <w:sz w:val="16"/>
          <w:szCs w:val="16"/>
        </w:rPr>
        <w:t xml:space="preserve"> hierover een BNC fiche op dat aan de Kamer wordt toegestuurd.</w:t>
      </w:r>
    </w:p>
  </w:footnote>
  <w:footnote w:id="18">
    <w:p w14:paraId="33342B21" w14:textId="7C173182" w:rsidR="00854850" w:rsidRPr="00FE2815" w:rsidRDefault="00854850">
      <w:pPr>
        <w:pStyle w:val="FootnoteText"/>
        <w:rPr>
          <w:sz w:val="16"/>
          <w:szCs w:val="16"/>
        </w:rPr>
      </w:pPr>
      <w:r w:rsidRPr="00FE2815">
        <w:rPr>
          <w:rStyle w:val="FootnoteReference"/>
          <w:sz w:val="16"/>
          <w:szCs w:val="16"/>
        </w:rPr>
        <w:footnoteRef/>
      </w:r>
      <w:r w:rsidR="00FF1A56" w:rsidRPr="00FE2815">
        <w:rPr>
          <w:sz w:val="16"/>
          <w:szCs w:val="16"/>
        </w:rPr>
        <w:t xml:space="preserve"> </w:t>
      </w:r>
      <w:r w:rsidRPr="00FE2815">
        <w:rPr>
          <w:sz w:val="16"/>
          <w:szCs w:val="16"/>
        </w:rPr>
        <w:t xml:space="preserve">Kamerstukken </w:t>
      </w:r>
      <w:r w:rsidR="00FE2815">
        <w:rPr>
          <w:sz w:val="16"/>
          <w:szCs w:val="16"/>
        </w:rPr>
        <w:t xml:space="preserve">2025/26, </w:t>
      </w:r>
      <w:r w:rsidRPr="00FE2815">
        <w:rPr>
          <w:sz w:val="16"/>
          <w:szCs w:val="16"/>
        </w:rPr>
        <w:t>36 563, nr. 9 en 15</w:t>
      </w:r>
      <w:r w:rsidR="00901C4C" w:rsidRPr="00FE281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09BC" w14:textId="77777777" w:rsidR="00C5303B" w:rsidRDefault="00C53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77ADF" w14:textId="77777777" w:rsidR="00193D9B" w:rsidRDefault="00910E6B">
    <w:r>
      <w:rPr>
        <w:noProof/>
        <w:lang w:val="en-GB" w:eastAsia="en-GB"/>
      </w:rPr>
      <mc:AlternateContent>
        <mc:Choice Requires="wps">
          <w:drawing>
            <wp:anchor distT="0" distB="0" distL="0" distR="0" simplePos="0" relativeHeight="251651584" behindDoc="0" locked="1" layoutInCell="1" allowOverlap="1" wp14:anchorId="1870A87B" wp14:editId="34FC30D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2EE40A1" w14:textId="77777777" w:rsidR="00193D9B" w:rsidRDefault="00910E6B">
                          <w:pPr>
                            <w:pStyle w:val="AfzendgegevensKop0"/>
                          </w:pPr>
                          <w:r>
                            <w:t>Ministerie van Infrastructuur en Waterstaat</w:t>
                          </w:r>
                        </w:p>
                        <w:p w14:paraId="1932486B" w14:textId="77777777" w:rsidR="00193D9B" w:rsidRDefault="00193D9B">
                          <w:pPr>
                            <w:pStyle w:val="WitregelW2"/>
                          </w:pPr>
                        </w:p>
                        <w:p w14:paraId="3910E1E0" w14:textId="77777777" w:rsidR="00193D9B" w:rsidRDefault="00910E6B">
                          <w:pPr>
                            <w:pStyle w:val="Referentiegegevenskop"/>
                          </w:pPr>
                          <w:r>
                            <w:t>Ons kenmerk</w:t>
                          </w:r>
                        </w:p>
                        <w:p w14:paraId="57B62045" w14:textId="5FACFFD0" w:rsidR="00193D9B" w:rsidRDefault="00910E6B">
                          <w:pPr>
                            <w:pStyle w:val="Referentiegegevens"/>
                          </w:pPr>
                          <w:r>
                            <w:t>IenW/BSK-</w:t>
                          </w:r>
                          <w:r w:rsidR="00927CB5">
                            <w:t>2026/15910</w:t>
                          </w:r>
                        </w:p>
                      </w:txbxContent>
                    </wps:txbx>
                    <wps:bodyPr vert="horz" wrap="square" lIns="0" tIns="0" rIns="0" bIns="0" anchor="t" anchorCtr="0"/>
                  </wps:wsp>
                </a:graphicData>
              </a:graphic>
            </wp:anchor>
          </w:drawing>
        </mc:Choice>
        <mc:Fallback>
          <w:pict>
            <v:shapetype w14:anchorId="1870A87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2EE40A1" w14:textId="77777777" w:rsidR="00193D9B" w:rsidRDefault="00910E6B">
                    <w:pPr>
                      <w:pStyle w:val="AfzendgegevensKop0"/>
                    </w:pPr>
                    <w:r>
                      <w:t>Ministerie van Infrastructuur en Waterstaat</w:t>
                    </w:r>
                  </w:p>
                  <w:p w14:paraId="1932486B" w14:textId="77777777" w:rsidR="00193D9B" w:rsidRDefault="00193D9B">
                    <w:pPr>
                      <w:pStyle w:val="WitregelW2"/>
                    </w:pPr>
                  </w:p>
                  <w:p w14:paraId="3910E1E0" w14:textId="77777777" w:rsidR="00193D9B" w:rsidRDefault="00910E6B">
                    <w:pPr>
                      <w:pStyle w:val="Referentiegegevenskop"/>
                    </w:pPr>
                    <w:r>
                      <w:t>Ons kenmerk</w:t>
                    </w:r>
                  </w:p>
                  <w:p w14:paraId="57B62045" w14:textId="5FACFFD0" w:rsidR="00193D9B" w:rsidRDefault="00910E6B">
                    <w:pPr>
                      <w:pStyle w:val="Referentiegegevens"/>
                    </w:pPr>
                    <w:r>
                      <w:t>IenW/BSK-</w:t>
                    </w:r>
                    <w:r w:rsidR="00927CB5">
                      <w:t>2026/15910</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9EA0D0E" wp14:editId="3303BC5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6BE2A6" w14:textId="77777777" w:rsidR="00193D9B" w:rsidRDefault="00910E6B">
                          <w:pPr>
                            <w:pStyle w:val="Referentiegegevens"/>
                          </w:pPr>
                          <w:r>
                            <w:t xml:space="preserve">Page </w:t>
                          </w:r>
                          <w:r>
                            <w:fldChar w:fldCharType="begin"/>
                          </w:r>
                          <w:r>
                            <w:instrText>PAGE</w:instrText>
                          </w:r>
                          <w:r>
                            <w:fldChar w:fldCharType="separate"/>
                          </w:r>
                          <w:r w:rsidR="00E71BAD">
                            <w:rPr>
                              <w:noProof/>
                            </w:rPr>
                            <w:t>1</w:t>
                          </w:r>
                          <w:r>
                            <w:fldChar w:fldCharType="end"/>
                          </w:r>
                          <w:r>
                            <w:t xml:space="preserve"> of </w:t>
                          </w:r>
                          <w:r>
                            <w:fldChar w:fldCharType="begin"/>
                          </w:r>
                          <w:r>
                            <w:instrText>NUMPAGES</w:instrText>
                          </w:r>
                          <w:r>
                            <w:fldChar w:fldCharType="separate"/>
                          </w:r>
                          <w:r w:rsidR="00E71BAD">
                            <w:rPr>
                              <w:noProof/>
                            </w:rPr>
                            <w:t>1</w:t>
                          </w:r>
                          <w:r>
                            <w:fldChar w:fldCharType="end"/>
                          </w:r>
                        </w:p>
                      </w:txbxContent>
                    </wps:txbx>
                    <wps:bodyPr vert="horz" wrap="square" lIns="0" tIns="0" rIns="0" bIns="0" anchor="t" anchorCtr="0"/>
                  </wps:wsp>
                </a:graphicData>
              </a:graphic>
            </wp:anchor>
          </w:drawing>
        </mc:Choice>
        <mc:Fallback>
          <w:pict>
            <v:shape w14:anchorId="49EA0D0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A6BE2A6" w14:textId="77777777" w:rsidR="00193D9B" w:rsidRDefault="00910E6B">
                    <w:pPr>
                      <w:pStyle w:val="Referentiegegevens"/>
                    </w:pPr>
                    <w:r>
                      <w:t xml:space="preserve">Page </w:t>
                    </w:r>
                    <w:r>
                      <w:fldChar w:fldCharType="begin"/>
                    </w:r>
                    <w:r>
                      <w:instrText>PAGE</w:instrText>
                    </w:r>
                    <w:r>
                      <w:fldChar w:fldCharType="separate"/>
                    </w:r>
                    <w:r w:rsidR="00E71BAD">
                      <w:rPr>
                        <w:noProof/>
                      </w:rPr>
                      <w:t>1</w:t>
                    </w:r>
                    <w:r>
                      <w:fldChar w:fldCharType="end"/>
                    </w:r>
                    <w:r>
                      <w:t xml:space="preserve"> of </w:t>
                    </w:r>
                    <w:r>
                      <w:fldChar w:fldCharType="begin"/>
                    </w:r>
                    <w:r>
                      <w:instrText>NUMPAGES</w:instrText>
                    </w:r>
                    <w:r>
                      <w:fldChar w:fldCharType="separate"/>
                    </w:r>
                    <w:r w:rsidR="00E71BA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15CF873" wp14:editId="56B4190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0022FE" w14:textId="1A453641" w:rsidR="00193D9B" w:rsidRDefault="00193D9B">
                          <w:pPr>
                            <w:pStyle w:val="Rubricering"/>
                          </w:pPr>
                        </w:p>
                      </w:txbxContent>
                    </wps:txbx>
                    <wps:bodyPr vert="horz" wrap="square" lIns="0" tIns="0" rIns="0" bIns="0" anchor="t" anchorCtr="0"/>
                  </wps:wsp>
                </a:graphicData>
              </a:graphic>
            </wp:anchor>
          </w:drawing>
        </mc:Choice>
        <mc:Fallback>
          <w:pict>
            <v:shape w14:anchorId="315CF87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20022FE" w14:textId="1A453641" w:rsidR="00193D9B" w:rsidRDefault="00193D9B">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6305BA2" wp14:editId="1838440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7F0366" w14:textId="77777777" w:rsidR="00306567" w:rsidRDefault="00306567"/>
                      </w:txbxContent>
                    </wps:txbx>
                    <wps:bodyPr vert="horz" wrap="square" lIns="0" tIns="0" rIns="0" bIns="0" anchor="t" anchorCtr="0"/>
                  </wps:wsp>
                </a:graphicData>
              </a:graphic>
            </wp:anchor>
          </w:drawing>
        </mc:Choice>
        <mc:Fallback>
          <w:pict>
            <v:shape w14:anchorId="56305BA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E7F0366" w14:textId="77777777" w:rsidR="00306567" w:rsidRDefault="0030656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EB6BA" w14:textId="77777777" w:rsidR="00193D9B" w:rsidRDefault="00910E6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19567ED" wp14:editId="1BC0C43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479BB1" w14:textId="6F57E6FC" w:rsidR="00193D9B" w:rsidRDefault="00193D9B">
                          <w:pPr>
                            <w:pStyle w:val="Rubricering"/>
                          </w:pPr>
                        </w:p>
                      </w:txbxContent>
                    </wps:txbx>
                    <wps:bodyPr vert="horz" wrap="square" lIns="0" tIns="0" rIns="0" bIns="0" anchor="t" anchorCtr="0"/>
                  </wps:wsp>
                </a:graphicData>
              </a:graphic>
            </wp:anchor>
          </w:drawing>
        </mc:Choice>
        <mc:Fallback>
          <w:pict>
            <v:shapetype w14:anchorId="419567E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2479BB1" w14:textId="6F57E6FC" w:rsidR="00193D9B" w:rsidRDefault="00193D9B">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D345902" wp14:editId="6C47723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0F7CE9" w14:textId="4E8724CC" w:rsidR="00193D9B" w:rsidRDefault="00910E6B">
                          <w:pPr>
                            <w:pStyle w:val="Referentiegegevens"/>
                          </w:pPr>
                          <w:r>
                            <w:t xml:space="preserve">Page </w:t>
                          </w:r>
                          <w:r>
                            <w:fldChar w:fldCharType="begin"/>
                          </w:r>
                          <w:r>
                            <w:instrText>PAGE</w:instrText>
                          </w:r>
                          <w:r>
                            <w:fldChar w:fldCharType="separate"/>
                          </w:r>
                          <w:r w:rsidR="008C544C">
                            <w:rPr>
                              <w:noProof/>
                            </w:rPr>
                            <w:t>1</w:t>
                          </w:r>
                          <w:r>
                            <w:fldChar w:fldCharType="end"/>
                          </w:r>
                          <w:r>
                            <w:t xml:space="preserve"> of </w:t>
                          </w:r>
                          <w:r>
                            <w:fldChar w:fldCharType="begin"/>
                          </w:r>
                          <w:r>
                            <w:instrText>NUMPAGES</w:instrText>
                          </w:r>
                          <w:r>
                            <w:fldChar w:fldCharType="separate"/>
                          </w:r>
                          <w:r w:rsidR="008C544C">
                            <w:rPr>
                              <w:noProof/>
                            </w:rPr>
                            <w:t>1</w:t>
                          </w:r>
                          <w:r>
                            <w:fldChar w:fldCharType="end"/>
                          </w:r>
                        </w:p>
                      </w:txbxContent>
                    </wps:txbx>
                    <wps:bodyPr vert="horz" wrap="square" lIns="0" tIns="0" rIns="0" bIns="0" anchor="t" anchorCtr="0"/>
                  </wps:wsp>
                </a:graphicData>
              </a:graphic>
            </wp:anchor>
          </w:drawing>
        </mc:Choice>
        <mc:Fallback>
          <w:pict>
            <v:shape w14:anchorId="4D34590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60F7CE9" w14:textId="4E8724CC" w:rsidR="00193D9B" w:rsidRDefault="00910E6B">
                    <w:pPr>
                      <w:pStyle w:val="Referentiegegevens"/>
                    </w:pPr>
                    <w:r>
                      <w:t xml:space="preserve">Page </w:t>
                    </w:r>
                    <w:r>
                      <w:fldChar w:fldCharType="begin"/>
                    </w:r>
                    <w:r>
                      <w:instrText>PAGE</w:instrText>
                    </w:r>
                    <w:r>
                      <w:fldChar w:fldCharType="separate"/>
                    </w:r>
                    <w:r w:rsidR="008C544C">
                      <w:rPr>
                        <w:noProof/>
                      </w:rPr>
                      <w:t>1</w:t>
                    </w:r>
                    <w:r>
                      <w:fldChar w:fldCharType="end"/>
                    </w:r>
                    <w:r>
                      <w:t xml:space="preserve"> of </w:t>
                    </w:r>
                    <w:r>
                      <w:fldChar w:fldCharType="begin"/>
                    </w:r>
                    <w:r>
                      <w:instrText>NUMPAGES</w:instrText>
                    </w:r>
                    <w:r>
                      <w:fldChar w:fldCharType="separate"/>
                    </w:r>
                    <w:r w:rsidR="008C544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BF4EB84" wp14:editId="4DFBEA7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DF54EC" w14:textId="77777777" w:rsidR="00193D9B" w:rsidRDefault="00910E6B">
                          <w:pPr>
                            <w:pStyle w:val="AfzendgegevensKop0"/>
                          </w:pPr>
                          <w:r>
                            <w:t>Ministerie van Infrastructuur en Waterstaat</w:t>
                          </w:r>
                        </w:p>
                        <w:p w14:paraId="4FC9D4D3" w14:textId="77777777" w:rsidR="00193D9B" w:rsidRDefault="00193D9B">
                          <w:pPr>
                            <w:pStyle w:val="WitregelW1"/>
                          </w:pPr>
                        </w:p>
                        <w:p w14:paraId="0CF67C7F" w14:textId="77777777" w:rsidR="00193D9B" w:rsidRDefault="00910E6B">
                          <w:pPr>
                            <w:pStyle w:val="Afzendgegevens"/>
                          </w:pPr>
                          <w:r>
                            <w:t>Rijnstraat 8</w:t>
                          </w:r>
                        </w:p>
                        <w:p w14:paraId="6712BF71" w14:textId="266DA6DB" w:rsidR="00193D9B" w:rsidRPr="00E71BAD" w:rsidRDefault="00910E6B">
                          <w:pPr>
                            <w:pStyle w:val="Afzendgegevens"/>
                            <w:rPr>
                              <w:lang w:val="de-DE"/>
                            </w:rPr>
                          </w:pPr>
                          <w:r w:rsidRPr="00E71BAD">
                            <w:rPr>
                              <w:lang w:val="de-DE"/>
                            </w:rPr>
                            <w:t xml:space="preserve">2515 </w:t>
                          </w:r>
                          <w:r w:rsidR="00D5462C" w:rsidRPr="00E71BAD">
                            <w:rPr>
                              <w:lang w:val="de-DE"/>
                            </w:rPr>
                            <w:t>XP Den</w:t>
                          </w:r>
                          <w:r w:rsidRPr="00E71BAD">
                            <w:rPr>
                              <w:lang w:val="de-DE"/>
                            </w:rPr>
                            <w:t xml:space="preserve"> Haag</w:t>
                          </w:r>
                        </w:p>
                        <w:p w14:paraId="554751CD" w14:textId="77777777" w:rsidR="00193D9B" w:rsidRPr="00E71BAD" w:rsidRDefault="00910E6B">
                          <w:pPr>
                            <w:pStyle w:val="Afzendgegevens"/>
                            <w:rPr>
                              <w:lang w:val="de-DE"/>
                            </w:rPr>
                          </w:pPr>
                          <w:r w:rsidRPr="00E71BAD">
                            <w:rPr>
                              <w:lang w:val="de-DE"/>
                            </w:rPr>
                            <w:t>Postbus 20901</w:t>
                          </w:r>
                        </w:p>
                        <w:p w14:paraId="2C1A1A10" w14:textId="77777777" w:rsidR="00193D9B" w:rsidRPr="00E71BAD" w:rsidRDefault="00910E6B">
                          <w:pPr>
                            <w:pStyle w:val="Afzendgegevens"/>
                            <w:rPr>
                              <w:lang w:val="de-DE"/>
                            </w:rPr>
                          </w:pPr>
                          <w:r w:rsidRPr="00E71BAD">
                            <w:rPr>
                              <w:lang w:val="de-DE"/>
                            </w:rPr>
                            <w:t>2500 EX Den Haag</w:t>
                          </w:r>
                        </w:p>
                        <w:p w14:paraId="0066A392" w14:textId="77777777" w:rsidR="00193D9B" w:rsidRPr="00E71BAD" w:rsidRDefault="00193D9B">
                          <w:pPr>
                            <w:pStyle w:val="WitregelW1"/>
                            <w:rPr>
                              <w:lang w:val="de-DE"/>
                            </w:rPr>
                          </w:pPr>
                        </w:p>
                        <w:p w14:paraId="7C9DBDA6" w14:textId="77777777" w:rsidR="00193D9B" w:rsidRPr="00E71BAD" w:rsidRDefault="00910E6B">
                          <w:pPr>
                            <w:pStyle w:val="Afzendgegevens"/>
                            <w:rPr>
                              <w:lang w:val="de-DE"/>
                            </w:rPr>
                          </w:pPr>
                          <w:r w:rsidRPr="00E71BAD">
                            <w:rPr>
                              <w:lang w:val="de-DE"/>
                            </w:rPr>
                            <w:t>T   070-456 0000</w:t>
                          </w:r>
                        </w:p>
                        <w:p w14:paraId="4A81908D" w14:textId="77777777" w:rsidR="00193D9B" w:rsidRDefault="00910E6B">
                          <w:pPr>
                            <w:pStyle w:val="Afzendgegevens"/>
                          </w:pPr>
                          <w:r>
                            <w:t>F   070-456 1111</w:t>
                          </w:r>
                        </w:p>
                        <w:p w14:paraId="67935433" w14:textId="77777777" w:rsidR="00193D9B" w:rsidRDefault="00193D9B">
                          <w:pPr>
                            <w:pStyle w:val="WitregelW2"/>
                          </w:pPr>
                        </w:p>
                        <w:p w14:paraId="1A1226B6" w14:textId="77777777" w:rsidR="00193D9B" w:rsidRDefault="00910E6B">
                          <w:pPr>
                            <w:pStyle w:val="Referentiegegevenskop"/>
                          </w:pPr>
                          <w:r>
                            <w:t>Ons kenmerk</w:t>
                          </w:r>
                        </w:p>
                        <w:p w14:paraId="4563C319" w14:textId="7615FD6B" w:rsidR="00193D9B" w:rsidRDefault="00910E6B">
                          <w:pPr>
                            <w:pStyle w:val="Referentiegegevens"/>
                          </w:pPr>
                          <w:r>
                            <w:t>IenW/BSK-</w:t>
                          </w:r>
                          <w:r w:rsidR="009C2A7A">
                            <w:t>2026/</w:t>
                          </w:r>
                          <w:r w:rsidR="00927CB5">
                            <w:t>15910</w:t>
                          </w:r>
                        </w:p>
                        <w:p w14:paraId="1F406BA7" w14:textId="77777777" w:rsidR="00193D9B" w:rsidRDefault="00193D9B">
                          <w:pPr>
                            <w:pStyle w:val="WitregelW1"/>
                          </w:pPr>
                        </w:p>
                        <w:p w14:paraId="056EA9C8" w14:textId="77777777" w:rsidR="00193D9B" w:rsidRDefault="00910E6B">
                          <w:pPr>
                            <w:pStyle w:val="Referentiegegevenskop"/>
                          </w:pPr>
                          <w:r>
                            <w:t>Bijlage(n)</w:t>
                          </w:r>
                        </w:p>
                        <w:p w14:paraId="01741568" w14:textId="6B2412EF" w:rsidR="00193D9B" w:rsidRDefault="00C5303B">
                          <w:pPr>
                            <w:pStyle w:val="Referentiegegevens"/>
                          </w:pPr>
                          <w:r>
                            <w:t>3</w:t>
                          </w:r>
                        </w:p>
                      </w:txbxContent>
                    </wps:txbx>
                    <wps:bodyPr vert="horz" wrap="square" lIns="0" tIns="0" rIns="0" bIns="0" anchor="t" anchorCtr="0"/>
                  </wps:wsp>
                </a:graphicData>
              </a:graphic>
            </wp:anchor>
          </w:drawing>
        </mc:Choice>
        <mc:Fallback>
          <w:pict>
            <v:shape w14:anchorId="0BF4EB8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1DF54EC" w14:textId="77777777" w:rsidR="00193D9B" w:rsidRDefault="00910E6B">
                    <w:pPr>
                      <w:pStyle w:val="AfzendgegevensKop0"/>
                    </w:pPr>
                    <w:r>
                      <w:t>Ministerie van Infrastructuur en Waterstaat</w:t>
                    </w:r>
                  </w:p>
                  <w:p w14:paraId="4FC9D4D3" w14:textId="77777777" w:rsidR="00193D9B" w:rsidRDefault="00193D9B">
                    <w:pPr>
                      <w:pStyle w:val="WitregelW1"/>
                    </w:pPr>
                  </w:p>
                  <w:p w14:paraId="0CF67C7F" w14:textId="77777777" w:rsidR="00193D9B" w:rsidRDefault="00910E6B">
                    <w:pPr>
                      <w:pStyle w:val="Afzendgegevens"/>
                    </w:pPr>
                    <w:r>
                      <w:t>Rijnstraat 8</w:t>
                    </w:r>
                  </w:p>
                  <w:p w14:paraId="6712BF71" w14:textId="266DA6DB" w:rsidR="00193D9B" w:rsidRPr="00E71BAD" w:rsidRDefault="00910E6B">
                    <w:pPr>
                      <w:pStyle w:val="Afzendgegevens"/>
                      <w:rPr>
                        <w:lang w:val="de-DE"/>
                      </w:rPr>
                    </w:pPr>
                    <w:r w:rsidRPr="00E71BAD">
                      <w:rPr>
                        <w:lang w:val="de-DE"/>
                      </w:rPr>
                      <w:t xml:space="preserve">2515 </w:t>
                    </w:r>
                    <w:r w:rsidR="00D5462C" w:rsidRPr="00E71BAD">
                      <w:rPr>
                        <w:lang w:val="de-DE"/>
                      </w:rPr>
                      <w:t>XP Den</w:t>
                    </w:r>
                    <w:r w:rsidRPr="00E71BAD">
                      <w:rPr>
                        <w:lang w:val="de-DE"/>
                      </w:rPr>
                      <w:t xml:space="preserve"> Haag</w:t>
                    </w:r>
                  </w:p>
                  <w:p w14:paraId="554751CD" w14:textId="77777777" w:rsidR="00193D9B" w:rsidRPr="00E71BAD" w:rsidRDefault="00910E6B">
                    <w:pPr>
                      <w:pStyle w:val="Afzendgegevens"/>
                      <w:rPr>
                        <w:lang w:val="de-DE"/>
                      </w:rPr>
                    </w:pPr>
                    <w:r w:rsidRPr="00E71BAD">
                      <w:rPr>
                        <w:lang w:val="de-DE"/>
                      </w:rPr>
                      <w:t>Postbus 20901</w:t>
                    </w:r>
                  </w:p>
                  <w:p w14:paraId="2C1A1A10" w14:textId="77777777" w:rsidR="00193D9B" w:rsidRPr="00E71BAD" w:rsidRDefault="00910E6B">
                    <w:pPr>
                      <w:pStyle w:val="Afzendgegevens"/>
                      <w:rPr>
                        <w:lang w:val="de-DE"/>
                      </w:rPr>
                    </w:pPr>
                    <w:r w:rsidRPr="00E71BAD">
                      <w:rPr>
                        <w:lang w:val="de-DE"/>
                      </w:rPr>
                      <w:t>2500 EX Den Haag</w:t>
                    </w:r>
                  </w:p>
                  <w:p w14:paraId="0066A392" w14:textId="77777777" w:rsidR="00193D9B" w:rsidRPr="00E71BAD" w:rsidRDefault="00193D9B">
                    <w:pPr>
                      <w:pStyle w:val="WitregelW1"/>
                      <w:rPr>
                        <w:lang w:val="de-DE"/>
                      </w:rPr>
                    </w:pPr>
                  </w:p>
                  <w:p w14:paraId="7C9DBDA6" w14:textId="77777777" w:rsidR="00193D9B" w:rsidRPr="00E71BAD" w:rsidRDefault="00910E6B">
                    <w:pPr>
                      <w:pStyle w:val="Afzendgegevens"/>
                      <w:rPr>
                        <w:lang w:val="de-DE"/>
                      </w:rPr>
                    </w:pPr>
                    <w:r w:rsidRPr="00E71BAD">
                      <w:rPr>
                        <w:lang w:val="de-DE"/>
                      </w:rPr>
                      <w:t>T   070-456 0000</w:t>
                    </w:r>
                  </w:p>
                  <w:p w14:paraId="4A81908D" w14:textId="77777777" w:rsidR="00193D9B" w:rsidRDefault="00910E6B">
                    <w:pPr>
                      <w:pStyle w:val="Afzendgegevens"/>
                    </w:pPr>
                    <w:r>
                      <w:t>F   070-456 1111</w:t>
                    </w:r>
                  </w:p>
                  <w:p w14:paraId="67935433" w14:textId="77777777" w:rsidR="00193D9B" w:rsidRDefault="00193D9B">
                    <w:pPr>
                      <w:pStyle w:val="WitregelW2"/>
                    </w:pPr>
                  </w:p>
                  <w:p w14:paraId="1A1226B6" w14:textId="77777777" w:rsidR="00193D9B" w:rsidRDefault="00910E6B">
                    <w:pPr>
                      <w:pStyle w:val="Referentiegegevenskop"/>
                    </w:pPr>
                    <w:r>
                      <w:t>Ons kenmerk</w:t>
                    </w:r>
                  </w:p>
                  <w:p w14:paraId="4563C319" w14:textId="7615FD6B" w:rsidR="00193D9B" w:rsidRDefault="00910E6B">
                    <w:pPr>
                      <w:pStyle w:val="Referentiegegevens"/>
                    </w:pPr>
                    <w:r>
                      <w:t>IenW/BSK-</w:t>
                    </w:r>
                    <w:r w:rsidR="009C2A7A">
                      <w:t>2026/</w:t>
                    </w:r>
                    <w:r w:rsidR="00927CB5">
                      <w:t>15910</w:t>
                    </w:r>
                  </w:p>
                  <w:p w14:paraId="1F406BA7" w14:textId="77777777" w:rsidR="00193D9B" w:rsidRDefault="00193D9B">
                    <w:pPr>
                      <w:pStyle w:val="WitregelW1"/>
                    </w:pPr>
                  </w:p>
                  <w:p w14:paraId="056EA9C8" w14:textId="77777777" w:rsidR="00193D9B" w:rsidRDefault="00910E6B">
                    <w:pPr>
                      <w:pStyle w:val="Referentiegegevenskop"/>
                    </w:pPr>
                    <w:r>
                      <w:t>Bijlage(n)</w:t>
                    </w:r>
                  </w:p>
                  <w:p w14:paraId="01741568" w14:textId="6B2412EF" w:rsidR="00193D9B" w:rsidRDefault="00C5303B">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45EA3F5" wp14:editId="4DC4C7D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AA7AE57" w14:textId="77777777" w:rsidR="00193D9B" w:rsidRDefault="00910E6B">
                          <w:pPr>
                            <w:spacing w:line="240" w:lineRule="auto"/>
                          </w:pPr>
                          <w:r>
                            <w:rPr>
                              <w:noProof/>
                              <w:lang w:val="en-GB" w:eastAsia="en-GB"/>
                            </w:rPr>
                            <w:drawing>
                              <wp:inline distT="0" distB="0" distL="0" distR="0" wp14:anchorId="05A52B8C" wp14:editId="2C845F8B">
                                <wp:extent cx="467995" cy="1583865"/>
                                <wp:effectExtent l="0" t="0" r="0" b="0"/>
                                <wp:docPr id="132267797"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5EA3F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AA7AE57" w14:textId="77777777" w:rsidR="00193D9B" w:rsidRDefault="00910E6B">
                    <w:pPr>
                      <w:spacing w:line="240" w:lineRule="auto"/>
                    </w:pPr>
                    <w:r>
                      <w:rPr>
                        <w:noProof/>
                        <w:lang w:val="en-GB" w:eastAsia="en-GB"/>
                      </w:rPr>
                      <w:drawing>
                        <wp:inline distT="0" distB="0" distL="0" distR="0" wp14:anchorId="05A52B8C" wp14:editId="2C845F8B">
                          <wp:extent cx="467995" cy="1583865"/>
                          <wp:effectExtent l="0" t="0" r="0" b="0"/>
                          <wp:docPr id="132267797"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1337B25" wp14:editId="7F07ED7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C2B9B3" w14:textId="77777777" w:rsidR="00193D9B" w:rsidRDefault="00910E6B">
                          <w:pPr>
                            <w:spacing w:line="240" w:lineRule="auto"/>
                          </w:pPr>
                          <w:r>
                            <w:rPr>
                              <w:noProof/>
                              <w:lang w:val="en-GB" w:eastAsia="en-GB"/>
                            </w:rPr>
                            <w:drawing>
                              <wp:inline distT="0" distB="0" distL="0" distR="0" wp14:anchorId="6D522E7C" wp14:editId="04CE46D5">
                                <wp:extent cx="2339975" cy="1582834"/>
                                <wp:effectExtent l="0" t="0" r="0" b="0"/>
                                <wp:docPr id="118900588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337B2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3C2B9B3" w14:textId="77777777" w:rsidR="00193D9B" w:rsidRDefault="00910E6B">
                    <w:pPr>
                      <w:spacing w:line="240" w:lineRule="auto"/>
                    </w:pPr>
                    <w:r>
                      <w:rPr>
                        <w:noProof/>
                        <w:lang w:val="en-GB" w:eastAsia="en-GB"/>
                      </w:rPr>
                      <w:drawing>
                        <wp:inline distT="0" distB="0" distL="0" distR="0" wp14:anchorId="6D522E7C" wp14:editId="04CE46D5">
                          <wp:extent cx="2339975" cy="1582834"/>
                          <wp:effectExtent l="0" t="0" r="0" b="0"/>
                          <wp:docPr id="118900588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E2DE2D1" wp14:editId="71635E0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CFBEC43" w14:textId="77777777" w:rsidR="00193D9B" w:rsidRDefault="00910E6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E2DE2D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CFBEC43" w14:textId="77777777" w:rsidR="00193D9B" w:rsidRDefault="00910E6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C1B980D" wp14:editId="19A4EC4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7E7F840" w14:textId="77777777" w:rsidR="00193D9B" w:rsidRDefault="00910E6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C1B980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7E7F840" w14:textId="77777777" w:rsidR="00193D9B" w:rsidRDefault="00910E6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70983E2" wp14:editId="73156D5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93D9B" w14:paraId="03F17AE5" w14:textId="77777777">
                            <w:trPr>
                              <w:trHeight w:val="200"/>
                            </w:trPr>
                            <w:tc>
                              <w:tcPr>
                                <w:tcW w:w="1140" w:type="dxa"/>
                              </w:tcPr>
                              <w:p w14:paraId="425475C6" w14:textId="77777777" w:rsidR="00193D9B" w:rsidRDefault="00193D9B"/>
                            </w:tc>
                            <w:tc>
                              <w:tcPr>
                                <w:tcW w:w="5400" w:type="dxa"/>
                              </w:tcPr>
                              <w:p w14:paraId="3D370CC3" w14:textId="77777777" w:rsidR="00193D9B" w:rsidRDefault="00193D9B"/>
                            </w:tc>
                          </w:tr>
                          <w:tr w:rsidR="00193D9B" w14:paraId="035D660E" w14:textId="77777777">
                            <w:trPr>
                              <w:trHeight w:val="240"/>
                            </w:trPr>
                            <w:tc>
                              <w:tcPr>
                                <w:tcW w:w="1140" w:type="dxa"/>
                              </w:tcPr>
                              <w:p w14:paraId="620465CD" w14:textId="77777777" w:rsidR="00193D9B" w:rsidRDefault="00910E6B">
                                <w:r>
                                  <w:t>Datum</w:t>
                                </w:r>
                              </w:p>
                            </w:tc>
                            <w:tc>
                              <w:tcPr>
                                <w:tcW w:w="5400" w:type="dxa"/>
                              </w:tcPr>
                              <w:p w14:paraId="5DC255AB" w14:textId="6ABE8110" w:rsidR="00193D9B" w:rsidRDefault="00C5303B">
                                <w:r>
                                  <w:t>2 juni 2026</w:t>
                                </w:r>
                              </w:p>
                            </w:tc>
                          </w:tr>
                          <w:tr w:rsidR="00193D9B" w14:paraId="3EF0906A" w14:textId="77777777">
                            <w:trPr>
                              <w:trHeight w:val="240"/>
                            </w:trPr>
                            <w:tc>
                              <w:tcPr>
                                <w:tcW w:w="1140" w:type="dxa"/>
                              </w:tcPr>
                              <w:p w14:paraId="3120CDE6" w14:textId="77777777" w:rsidR="00193D9B" w:rsidRDefault="00910E6B">
                                <w:r>
                                  <w:t>Betreft</w:t>
                                </w:r>
                              </w:p>
                            </w:tc>
                            <w:tc>
                              <w:tcPr>
                                <w:tcW w:w="5400" w:type="dxa"/>
                              </w:tcPr>
                              <w:p w14:paraId="5287CDD7" w14:textId="77777777" w:rsidR="00193D9B" w:rsidRDefault="00910E6B">
                                <w:r>
                                  <w:t>Capaciteitsmanagement spoor en Europese ontwikkelingen spoor</w:t>
                                </w:r>
                              </w:p>
                            </w:tc>
                          </w:tr>
                          <w:tr w:rsidR="00193D9B" w14:paraId="4BA5E121" w14:textId="77777777">
                            <w:trPr>
                              <w:trHeight w:val="200"/>
                            </w:trPr>
                            <w:tc>
                              <w:tcPr>
                                <w:tcW w:w="1140" w:type="dxa"/>
                              </w:tcPr>
                              <w:p w14:paraId="2DE10E26" w14:textId="77777777" w:rsidR="00193D9B" w:rsidRDefault="00193D9B"/>
                            </w:tc>
                            <w:tc>
                              <w:tcPr>
                                <w:tcW w:w="5400" w:type="dxa"/>
                              </w:tcPr>
                              <w:p w14:paraId="2DE880E7" w14:textId="77777777" w:rsidR="00193D9B" w:rsidRDefault="00193D9B"/>
                            </w:tc>
                          </w:tr>
                        </w:tbl>
                        <w:p w14:paraId="35BA8635" w14:textId="77777777" w:rsidR="00306567" w:rsidRDefault="00306567"/>
                      </w:txbxContent>
                    </wps:txbx>
                    <wps:bodyPr vert="horz" wrap="square" lIns="0" tIns="0" rIns="0" bIns="0" anchor="t" anchorCtr="0"/>
                  </wps:wsp>
                </a:graphicData>
              </a:graphic>
            </wp:anchor>
          </w:drawing>
        </mc:Choice>
        <mc:Fallback>
          <w:pict>
            <v:shape w14:anchorId="670983E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93D9B" w14:paraId="03F17AE5" w14:textId="77777777">
                      <w:trPr>
                        <w:trHeight w:val="200"/>
                      </w:trPr>
                      <w:tc>
                        <w:tcPr>
                          <w:tcW w:w="1140" w:type="dxa"/>
                        </w:tcPr>
                        <w:p w14:paraId="425475C6" w14:textId="77777777" w:rsidR="00193D9B" w:rsidRDefault="00193D9B"/>
                      </w:tc>
                      <w:tc>
                        <w:tcPr>
                          <w:tcW w:w="5400" w:type="dxa"/>
                        </w:tcPr>
                        <w:p w14:paraId="3D370CC3" w14:textId="77777777" w:rsidR="00193D9B" w:rsidRDefault="00193D9B"/>
                      </w:tc>
                    </w:tr>
                    <w:tr w:rsidR="00193D9B" w14:paraId="035D660E" w14:textId="77777777">
                      <w:trPr>
                        <w:trHeight w:val="240"/>
                      </w:trPr>
                      <w:tc>
                        <w:tcPr>
                          <w:tcW w:w="1140" w:type="dxa"/>
                        </w:tcPr>
                        <w:p w14:paraId="620465CD" w14:textId="77777777" w:rsidR="00193D9B" w:rsidRDefault="00910E6B">
                          <w:r>
                            <w:t>Datum</w:t>
                          </w:r>
                        </w:p>
                      </w:tc>
                      <w:tc>
                        <w:tcPr>
                          <w:tcW w:w="5400" w:type="dxa"/>
                        </w:tcPr>
                        <w:p w14:paraId="5DC255AB" w14:textId="6ABE8110" w:rsidR="00193D9B" w:rsidRDefault="00C5303B">
                          <w:r>
                            <w:t>2 juni 2026</w:t>
                          </w:r>
                        </w:p>
                      </w:tc>
                    </w:tr>
                    <w:tr w:rsidR="00193D9B" w14:paraId="3EF0906A" w14:textId="77777777">
                      <w:trPr>
                        <w:trHeight w:val="240"/>
                      </w:trPr>
                      <w:tc>
                        <w:tcPr>
                          <w:tcW w:w="1140" w:type="dxa"/>
                        </w:tcPr>
                        <w:p w14:paraId="3120CDE6" w14:textId="77777777" w:rsidR="00193D9B" w:rsidRDefault="00910E6B">
                          <w:r>
                            <w:t>Betreft</w:t>
                          </w:r>
                        </w:p>
                      </w:tc>
                      <w:tc>
                        <w:tcPr>
                          <w:tcW w:w="5400" w:type="dxa"/>
                        </w:tcPr>
                        <w:p w14:paraId="5287CDD7" w14:textId="77777777" w:rsidR="00193D9B" w:rsidRDefault="00910E6B">
                          <w:r>
                            <w:t>Capaciteitsmanagement spoor en Europese ontwikkelingen spoor</w:t>
                          </w:r>
                        </w:p>
                      </w:tc>
                    </w:tr>
                    <w:tr w:rsidR="00193D9B" w14:paraId="4BA5E121" w14:textId="77777777">
                      <w:trPr>
                        <w:trHeight w:val="200"/>
                      </w:trPr>
                      <w:tc>
                        <w:tcPr>
                          <w:tcW w:w="1140" w:type="dxa"/>
                        </w:tcPr>
                        <w:p w14:paraId="2DE10E26" w14:textId="77777777" w:rsidR="00193D9B" w:rsidRDefault="00193D9B"/>
                      </w:tc>
                      <w:tc>
                        <w:tcPr>
                          <w:tcW w:w="5400" w:type="dxa"/>
                        </w:tcPr>
                        <w:p w14:paraId="2DE880E7" w14:textId="77777777" w:rsidR="00193D9B" w:rsidRDefault="00193D9B"/>
                      </w:tc>
                    </w:tr>
                  </w:tbl>
                  <w:p w14:paraId="35BA8635" w14:textId="77777777" w:rsidR="00306567" w:rsidRDefault="0030656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81150B8" wp14:editId="6B5264B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2DA0527" w14:textId="77777777" w:rsidR="00306567" w:rsidRDefault="00306567"/>
                      </w:txbxContent>
                    </wps:txbx>
                    <wps:bodyPr vert="horz" wrap="square" lIns="0" tIns="0" rIns="0" bIns="0" anchor="t" anchorCtr="0"/>
                  </wps:wsp>
                </a:graphicData>
              </a:graphic>
            </wp:anchor>
          </w:drawing>
        </mc:Choice>
        <mc:Fallback>
          <w:pict>
            <v:shape w14:anchorId="181150B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2DA0527" w14:textId="77777777" w:rsidR="00306567" w:rsidRDefault="0030656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714FAA"/>
    <w:multiLevelType w:val="multilevel"/>
    <w:tmpl w:val="614AE9A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7BD9CB"/>
    <w:multiLevelType w:val="multilevel"/>
    <w:tmpl w:val="6CF87F4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7F0892"/>
    <w:multiLevelType w:val="multilevel"/>
    <w:tmpl w:val="A4B6835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B4E4C3"/>
    <w:multiLevelType w:val="multilevel"/>
    <w:tmpl w:val="C011C66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20D416"/>
    <w:multiLevelType w:val="multilevel"/>
    <w:tmpl w:val="13CDBD8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FB8554"/>
    <w:multiLevelType w:val="multilevel"/>
    <w:tmpl w:val="2D9811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D6623F3A"/>
    <w:multiLevelType w:val="multilevel"/>
    <w:tmpl w:val="96595AC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A5F2D5D"/>
    <w:multiLevelType w:val="multilevel"/>
    <w:tmpl w:val="4C9ABAF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BBB1D2"/>
    <w:multiLevelType w:val="multilevel"/>
    <w:tmpl w:val="2A86863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2243E7"/>
    <w:multiLevelType w:val="multilevel"/>
    <w:tmpl w:val="C95ECE3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103A81"/>
    <w:multiLevelType w:val="hybridMultilevel"/>
    <w:tmpl w:val="6C268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CAF2A4"/>
    <w:multiLevelType w:val="multilevel"/>
    <w:tmpl w:val="382FA1B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C64982"/>
    <w:multiLevelType w:val="hybridMultilevel"/>
    <w:tmpl w:val="394A32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89479"/>
    <w:multiLevelType w:val="multilevel"/>
    <w:tmpl w:val="AC70B79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6E34F0"/>
    <w:multiLevelType w:val="multilevel"/>
    <w:tmpl w:val="8F1FA40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C77403"/>
    <w:multiLevelType w:val="multilevel"/>
    <w:tmpl w:val="F7E66E2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86F517"/>
    <w:multiLevelType w:val="multilevel"/>
    <w:tmpl w:val="222051C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C6906"/>
    <w:multiLevelType w:val="hybridMultilevel"/>
    <w:tmpl w:val="6C268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251717"/>
    <w:multiLevelType w:val="multilevel"/>
    <w:tmpl w:val="4080C4D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0856D2"/>
    <w:multiLevelType w:val="multilevel"/>
    <w:tmpl w:val="C1FEB28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5ECED4"/>
    <w:multiLevelType w:val="multilevel"/>
    <w:tmpl w:val="9576C28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4662AC"/>
    <w:multiLevelType w:val="multilevel"/>
    <w:tmpl w:val="5E35761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6890F4"/>
    <w:multiLevelType w:val="multilevel"/>
    <w:tmpl w:val="A9ADD0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63944E3D"/>
    <w:multiLevelType w:val="multilevel"/>
    <w:tmpl w:val="CAA742E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A35F0F"/>
    <w:multiLevelType w:val="hybridMultilevel"/>
    <w:tmpl w:val="1D8CC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7C9341"/>
    <w:multiLevelType w:val="multilevel"/>
    <w:tmpl w:val="C9DEB94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2F027D"/>
    <w:multiLevelType w:val="multilevel"/>
    <w:tmpl w:val="A8FFFAE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8"/>
  </w:num>
  <w:num w:numId="3">
    <w:abstractNumId w:val="6"/>
  </w:num>
  <w:num w:numId="4">
    <w:abstractNumId w:val="14"/>
  </w:num>
  <w:num w:numId="5">
    <w:abstractNumId w:val="5"/>
  </w:num>
  <w:num w:numId="6">
    <w:abstractNumId w:val="0"/>
  </w:num>
  <w:num w:numId="7">
    <w:abstractNumId w:val="26"/>
  </w:num>
  <w:num w:numId="8">
    <w:abstractNumId w:val="15"/>
  </w:num>
  <w:num w:numId="9">
    <w:abstractNumId w:val="20"/>
  </w:num>
  <w:num w:numId="10">
    <w:abstractNumId w:val="9"/>
  </w:num>
  <w:num w:numId="11">
    <w:abstractNumId w:val="7"/>
  </w:num>
  <w:num w:numId="12">
    <w:abstractNumId w:val="22"/>
  </w:num>
  <w:num w:numId="13">
    <w:abstractNumId w:val="21"/>
  </w:num>
  <w:num w:numId="14">
    <w:abstractNumId w:val="16"/>
  </w:num>
  <w:num w:numId="15">
    <w:abstractNumId w:val="25"/>
  </w:num>
  <w:num w:numId="16">
    <w:abstractNumId w:val="23"/>
  </w:num>
  <w:num w:numId="17">
    <w:abstractNumId w:val="13"/>
  </w:num>
  <w:num w:numId="18">
    <w:abstractNumId w:val="18"/>
  </w:num>
  <w:num w:numId="19">
    <w:abstractNumId w:val="3"/>
  </w:num>
  <w:num w:numId="20">
    <w:abstractNumId w:val="2"/>
  </w:num>
  <w:num w:numId="21">
    <w:abstractNumId w:val="11"/>
  </w:num>
  <w:num w:numId="22">
    <w:abstractNumId w:val="1"/>
  </w:num>
  <w:num w:numId="23">
    <w:abstractNumId w:val="4"/>
  </w:num>
  <w:num w:numId="24">
    <w:abstractNumId w:val="12"/>
  </w:num>
  <w:num w:numId="25">
    <w:abstractNumId w:val="24"/>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AD"/>
    <w:rsid w:val="0000339F"/>
    <w:rsid w:val="00005DDB"/>
    <w:rsid w:val="0000647E"/>
    <w:rsid w:val="00025052"/>
    <w:rsid w:val="0002603A"/>
    <w:rsid w:val="00031322"/>
    <w:rsid w:val="00033676"/>
    <w:rsid w:val="00036C62"/>
    <w:rsid w:val="0004098B"/>
    <w:rsid w:val="00052D46"/>
    <w:rsid w:val="000678F0"/>
    <w:rsid w:val="00072B97"/>
    <w:rsid w:val="00081A0F"/>
    <w:rsid w:val="00084738"/>
    <w:rsid w:val="00090E85"/>
    <w:rsid w:val="000935BA"/>
    <w:rsid w:val="000961F5"/>
    <w:rsid w:val="000A3A4A"/>
    <w:rsid w:val="000A5205"/>
    <w:rsid w:val="000C5D61"/>
    <w:rsid w:val="000D558D"/>
    <w:rsid w:val="000D6E10"/>
    <w:rsid w:val="000E2794"/>
    <w:rsid w:val="00106A15"/>
    <w:rsid w:val="00107396"/>
    <w:rsid w:val="00112D34"/>
    <w:rsid w:val="00122E83"/>
    <w:rsid w:val="001321F6"/>
    <w:rsid w:val="001323EE"/>
    <w:rsid w:val="00135E6D"/>
    <w:rsid w:val="001535B2"/>
    <w:rsid w:val="00160132"/>
    <w:rsid w:val="00193D9B"/>
    <w:rsid w:val="001A0CD0"/>
    <w:rsid w:val="001A565C"/>
    <w:rsid w:val="001A5EA8"/>
    <w:rsid w:val="001B3705"/>
    <w:rsid w:val="001C0283"/>
    <w:rsid w:val="001D124D"/>
    <w:rsid w:val="001D32A2"/>
    <w:rsid w:val="001E1233"/>
    <w:rsid w:val="001E1BEB"/>
    <w:rsid w:val="001F2173"/>
    <w:rsid w:val="001F33F8"/>
    <w:rsid w:val="00200C9A"/>
    <w:rsid w:val="002019BC"/>
    <w:rsid w:val="00207139"/>
    <w:rsid w:val="00221B4F"/>
    <w:rsid w:val="00224086"/>
    <w:rsid w:val="00224445"/>
    <w:rsid w:val="00233824"/>
    <w:rsid w:val="0023547F"/>
    <w:rsid w:val="00250117"/>
    <w:rsid w:val="00252F67"/>
    <w:rsid w:val="00253D55"/>
    <w:rsid w:val="00254C37"/>
    <w:rsid w:val="002573A6"/>
    <w:rsid w:val="00257CA6"/>
    <w:rsid w:val="00274612"/>
    <w:rsid w:val="00277C0A"/>
    <w:rsid w:val="00280C5C"/>
    <w:rsid w:val="00280CF9"/>
    <w:rsid w:val="00285E2B"/>
    <w:rsid w:val="0029064F"/>
    <w:rsid w:val="002A0A93"/>
    <w:rsid w:val="002A44C0"/>
    <w:rsid w:val="002A53D9"/>
    <w:rsid w:val="002A73BE"/>
    <w:rsid w:val="002B10DE"/>
    <w:rsid w:val="002B3C04"/>
    <w:rsid w:val="002C15C7"/>
    <w:rsid w:val="002C4673"/>
    <w:rsid w:val="002C688C"/>
    <w:rsid w:val="002D4661"/>
    <w:rsid w:val="002E2749"/>
    <w:rsid w:val="002E77BF"/>
    <w:rsid w:val="002F0301"/>
    <w:rsid w:val="002F6058"/>
    <w:rsid w:val="003014AB"/>
    <w:rsid w:val="003053B3"/>
    <w:rsid w:val="00306567"/>
    <w:rsid w:val="00306967"/>
    <w:rsid w:val="003138D1"/>
    <w:rsid w:val="00314A98"/>
    <w:rsid w:val="00314F1B"/>
    <w:rsid w:val="003232BB"/>
    <w:rsid w:val="00323971"/>
    <w:rsid w:val="0032602C"/>
    <w:rsid w:val="00333F51"/>
    <w:rsid w:val="00334032"/>
    <w:rsid w:val="00340FDC"/>
    <w:rsid w:val="003412FF"/>
    <w:rsid w:val="00345F3A"/>
    <w:rsid w:val="003512E0"/>
    <w:rsid w:val="00352339"/>
    <w:rsid w:val="00354438"/>
    <w:rsid w:val="00354D78"/>
    <w:rsid w:val="00355FCE"/>
    <w:rsid w:val="0036077E"/>
    <w:rsid w:val="00365ADA"/>
    <w:rsid w:val="00377024"/>
    <w:rsid w:val="00381786"/>
    <w:rsid w:val="0038275D"/>
    <w:rsid w:val="00384C65"/>
    <w:rsid w:val="00386092"/>
    <w:rsid w:val="00397A6C"/>
    <w:rsid w:val="003A37D8"/>
    <w:rsid w:val="003A4F1D"/>
    <w:rsid w:val="003B6411"/>
    <w:rsid w:val="003C1432"/>
    <w:rsid w:val="003C4CD3"/>
    <w:rsid w:val="003C4F51"/>
    <w:rsid w:val="003C589A"/>
    <w:rsid w:val="003C66C8"/>
    <w:rsid w:val="003D17D4"/>
    <w:rsid w:val="003E42E7"/>
    <w:rsid w:val="003F1CBA"/>
    <w:rsid w:val="003F3124"/>
    <w:rsid w:val="003F4E07"/>
    <w:rsid w:val="003F5608"/>
    <w:rsid w:val="003F7122"/>
    <w:rsid w:val="00402DC3"/>
    <w:rsid w:val="0040738F"/>
    <w:rsid w:val="00407BBE"/>
    <w:rsid w:val="004111D2"/>
    <w:rsid w:val="0041349F"/>
    <w:rsid w:val="004242CC"/>
    <w:rsid w:val="0043090E"/>
    <w:rsid w:val="00432564"/>
    <w:rsid w:val="00432DA0"/>
    <w:rsid w:val="00437E56"/>
    <w:rsid w:val="004432AC"/>
    <w:rsid w:val="00456117"/>
    <w:rsid w:val="00462F95"/>
    <w:rsid w:val="004659C6"/>
    <w:rsid w:val="00484B71"/>
    <w:rsid w:val="004851C4"/>
    <w:rsid w:val="00485E22"/>
    <w:rsid w:val="004929FF"/>
    <w:rsid w:val="00495A01"/>
    <w:rsid w:val="0049614C"/>
    <w:rsid w:val="004A7552"/>
    <w:rsid w:val="004B1F8B"/>
    <w:rsid w:val="004C5B60"/>
    <w:rsid w:val="004C7150"/>
    <w:rsid w:val="004E6ABC"/>
    <w:rsid w:val="004F4F33"/>
    <w:rsid w:val="00502C24"/>
    <w:rsid w:val="005202EF"/>
    <w:rsid w:val="0053043C"/>
    <w:rsid w:val="005310F9"/>
    <w:rsid w:val="00531305"/>
    <w:rsid w:val="0054237E"/>
    <w:rsid w:val="00543E39"/>
    <w:rsid w:val="00544115"/>
    <w:rsid w:val="00546181"/>
    <w:rsid w:val="005512D7"/>
    <w:rsid w:val="00554FAE"/>
    <w:rsid w:val="00572FCF"/>
    <w:rsid w:val="00577E31"/>
    <w:rsid w:val="005806D7"/>
    <w:rsid w:val="0059043B"/>
    <w:rsid w:val="005967C5"/>
    <w:rsid w:val="005A2CA4"/>
    <w:rsid w:val="005A2F72"/>
    <w:rsid w:val="005A323C"/>
    <w:rsid w:val="005B1C8A"/>
    <w:rsid w:val="005B2054"/>
    <w:rsid w:val="005C1DBD"/>
    <w:rsid w:val="005D1B8D"/>
    <w:rsid w:val="005D7C10"/>
    <w:rsid w:val="005E217C"/>
    <w:rsid w:val="005E38AC"/>
    <w:rsid w:val="005E5678"/>
    <w:rsid w:val="005E7A2F"/>
    <w:rsid w:val="005E7E8B"/>
    <w:rsid w:val="005F1FED"/>
    <w:rsid w:val="005F4ACE"/>
    <w:rsid w:val="005F5610"/>
    <w:rsid w:val="005F6B5D"/>
    <w:rsid w:val="005F7495"/>
    <w:rsid w:val="005F7A38"/>
    <w:rsid w:val="006000EF"/>
    <w:rsid w:val="00604FF2"/>
    <w:rsid w:val="00604FFC"/>
    <w:rsid w:val="00611092"/>
    <w:rsid w:val="00613C7E"/>
    <w:rsid w:val="0062135F"/>
    <w:rsid w:val="0062431F"/>
    <w:rsid w:val="0063157D"/>
    <w:rsid w:val="006351E4"/>
    <w:rsid w:val="00637E88"/>
    <w:rsid w:val="006439F3"/>
    <w:rsid w:val="00647E93"/>
    <w:rsid w:val="0065625F"/>
    <w:rsid w:val="00663095"/>
    <w:rsid w:val="00665B5A"/>
    <w:rsid w:val="00674E23"/>
    <w:rsid w:val="0067500A"/>
    <w:rsid w:val="00675FC1"/>
    <w:rsid w:val="0067631D"/>
    <w:rsid w:val="006806BD"/>
    <w:rsid w:val="006915DC"/>
    <w:rsid w:val="00696D42"/>
    <w:rsid w:val="006A4D24"/>
    <w:rsid w:val="006A7FBE"/>
    <w:rsid w:val="006B29DA"/>
    <w:rsid w:val="006B5E19"/>
    <w:rsid w:val="006B68D4"/>
    <w:rsid w:val="006C12FE"/>
    <w:rsid w:val="006C1FD2"/>
    <w:rsid w:val="006C299E"/>
    <w:rsid w:val="006C4F71"/>
    <w:rsid w:val="006C5BD4"/>
    <w:rsid w:val="006C6973"/>
    <w:rsid w:val="006C75B5"/>
    <w:rsid w:val="006D0EE7"/>
    <w:rsid w:val="006D1F13"/>
    <w:rsid w:val="006E0E63"/>
    <w:rsid w:val="006E16DB"/>
    <w:rsid w:val="006F1E98"/>
    <w:rsid w:val="00712CDF"/>
    <w:rsid w:val="00735F7E"/>
    <w:rsid w:val="007371D2"/>
    <w:rsid w:val="007379F2"/>
    <w:rsid w:val="0074092B"/>
    <w:rsid w:val="00746BA6"/>
    <w:rsid w:val="00751F25"/>
    <w:rsid w:val="00752F5D"/>
    <w:rsid w:val="00756C0C"/>
    <w:rsid w:val="0076379A"/>
    <w:rsid w:val="00763939"/>
    <w:rsid w:val="00766321"/>
    <w:rsid w:val="00767432"/>
    <w:rsid w:val="007736E4"/>
    <w:rsid w:val="00775ED7"/>
    <w:rsid w:val="007A0045"/>
    <w:rsid w:val="007A00B7"/>
    <w:rsid w:val="007A05F4"/>
    <w:rsid w:val="007B09F3"/>
    <w:rsid w:val="007B0F74"/>
    <w:rsid w:val="007B1691"/>
    <w:rsid w:val="007C6A49"/>
    <w:rsid w:val="007C6DE3"/>
    <w:rsid w:val="007C767B"/>
    <w:rsid w:val="007D7E10"/>
    <w:rsid w:val="007E29A8"/>
    <w:rsid w:val="007E451C"/>
    <w:rsid w:val="007F2695"/>
    <w:rsid w:val="007F3DBF"/>
    <w:rsid w:val="00802F84"/>
    <w:rsid w:val="0081132E"/>
    <w:rsid w:val="008158C2"/>
    <w:rsid w:val="008228E2"/>
    <w:rsid w:val="00826E90"/>
    <w:rsid w:val="0083038F"/>
    <w:rsid w:val="00832AB0"/>
    <w:rsid w:val="008436AF"/>
    <w:rsid w:val="008446DE"/>
    <w:rsid w:val="00851F8E"/>
    <w:rsid w:val="00854850"/>
    <w:rsid w:val="008614A5"/>
    <w:rsid w:val="00863845"/>
    <w:rsid w:val="00871F4E"/>
    <w:rsid w:val="00873D46"/>
    <w:rsid w:val="008921B9"/>
    <w:rsid w:val="008A239E"/>
    <w:rsid w:val="008A4345"/>
    <w:rsid w:val="008A5DCC"/>
    <w:rsid w:val="008C0479"/>
    <w:rsid w:val="008C1A05"/>
    <w:rsid w:val="008C544C"/>
    <w:rsid w:val="008D0A57"/>
    <w:rsid w:val="008F0DC9"/>
    <w:rsid w:val="008F7FBC"/>
    <w:rsid w:val="009000AA"/>
    <w:rsid w:val="00900100"/>
    <w:rsid w:val="00901C4C"/>
    <w:rsid w:val="00902074"/>
    <w:rsid w:val="00910E6B"/>
    <w:rsid w:val="00911D65"/>
    <w:rsid w:val="00913258"/>
    <w:rsid w:val="00913D57"/>
    <w:rsid w:val="00920CAF"/>
    <w:rsid w:val="00925544"/>
    <w:rsid w:val="00927CB5"/>
    <w:rsid w:val="009301D2"/>
    <w:rsid w:val="00931BC0"/>
    <w:rsid w:val="009340DE"/>
    <w:rsid w:val="00937637"/>
    <w:rsid w:val="00942114"/>
    <w:rsid w:val="0094226C"/>
    <w:rsid w:val="009538DE"/>
    <w:rsid w:val="00956AFA"/>
    <w:rsid w:val="0095793A"/>
    <w:rsid w:val="00963915"/>
    <w:rsid w:val="0097239F"/>
    <w:rsid w:val="00986328"/>
    <w:rsid w:val="00994F46"/>
    <w:rsid w:val="00996E73"/>
    <w:rsid w:val="0099760A"/>
    <w:rsid w:val="009A0423"/>
    <w:rsid w:val="009A3C91"/>
    <w:rsid w:val="009B1030"/>
    <w:rsid w:val="009C2A7A"/>
    <w:rsid w:val="009C5DF7"/>
    <w:rsid w:val="009C63DE"/>
    <w:rsid w:val="009D151E"/>
    <w:rsid w:val="009D5AEC"/>
    <w:rsid w:val="009D6E25"/>
    <w:rsid w:val="009F172C"/>
    <w:rsid w:val="009F1AD0"/>
    <w:rsid w:val="009F1FA3"/>
    <w:rsid w:val="00A031E5"/>
    <w:rsid w:val="00A06E69"/>
    <w:rsid w:val="00A06F24"/>
    <w:rsid w:val="00A13B4C"/>
    <w:rsid w:val="00A15062"/>
    <w:rsid w:val="00A272CF"/>
    <w:rsid w:val="00A3104A"/>
    <w:rsid w:val="00A37CBA"/>
    <w:rsid w:val="00A45D57"/>
    <w:rsid w:val="00A47FEE"/>
    <w:rsid w:val="00A5443F"/>
    <w:rsid w:val="00A62C72"/>
    <w:rsid w:val="00A62CB7"/>
    <w:rsid w:val="00A81406"/>
    <w:rsid w:val="00A849CD"/>
    <w:rsid w:val="00A86CE6"/>
    <w:rsid w:val="00A87F3D"/>
    <w:rsid w:val="00AB6CF3"/>
    <w:rsid w:val="00AC186E"/>
    <w:rsid w:val="00AC5901"/>
    <w:rsid w:val="00AC644F"/>
    <w:rsid w:val="00AC73D5"/>
    <w:rsid w:val="00AC76CF"/>
    <w:rsid w:val="00AC7727"/>
    <w:rsid w:val="00AD3F12"/>
    <w:rsid w:val="00AD51C6"/>
    <w:rsid w:val="00AD540D"/>
    <w:rsid w:val="00AD77EA"/>
    <w:rsid w:val="00AE0990"/>
    <w:rsid w:val="00AE6174"/>
    <w:rsid w:val="00B046F8"/>
    <w:rsid w:val="00B068A9"/>
    <w:rsid w:val="00B11D07"/>
    <w:rsid w:val="00B15195"/>
    <w:rsid w:val="00B31556"/>
    <w:rsid w:val="00B315AB"/>
    <w:rsid w:val="00B332C2"/>
    <w:rsid w:val="00B40698"/>
    <w:rsid w:val="00B4124A"/>
    <w:rsid w:val="00B417A1"/>
    <w:rsid w:val="00B451D9"/>
    <w:rsid w:val="00B478DF"/>
    <w:rsid w:val="00B52050"/>
    <w:rsid w:val="00B52F35"/>
    <w:rsid w:val="00B5660F"/>
    <w:rsid w:val="00B654B8"/>
    <w:rsid w:val="00B94F06"/>
    <w:rsid w:val="00BA5F76"/>
    <w:rsid w:val="00BB53B7"/>
    <w:rsid w:val="00BB5770"/>
    <w:rsid w:val="00BB5EE7"/>
    <w:rsid w:val="00BC1085"/>
    <w:rsid w:val="00BC213A"/>
    <w:rsid w:val="00BC2AD8"/>
    <w:rsid w:val="00BC4809"/>
    <w:rsid w:val="00BC5E99"/>
    <w:rsid w:val="00BD09FF"/>
    <w:rsid w:val="00BE59B3"/>
    <w:rsid w:val="00C031D7"/>
    <w:rsid w:val="00C153D4"/>
    <w:rsid w:val="00C311EB"/>
    <w:rsid w:val="00C377C7"/>
    <w:rsid w:val="00C37CA1"/>
    <w:rsid w:val="00C45490"/>
    <w:rsid w:val="00C45AEE"/>
    <w:rsid w:val="00C50C6C"/>
    <w:rsid w:val="00C5303B"/>
    <w:rsid w:val="00C54297"/>
    <w:rsid w:val="00C62EBA"/>
    <w:rsid w:val="00C64F36"/>
    <w:rsid w:val="00C66FED"/>
    <w:rsid w:val="00C72BC6"/>
    <w:rsid w:val="00C75631"/>
    <w:rsid w:val="00C8484C"/>
    <w:rsid w:val="00C868A7"/>
    <w:rsid w:val="00C91594"/>
    <w:rsid w:val="00C95054"/>
    <w:rsid w:val="00C96AEC"/>
    <w:rsid w:val="00CA026D"/>
    <w:rsid w:val="00CA08BF"/>
    <w:rsid w:val="00CA6A3B"/>
    <w:rsid w:val="00CB1A5A"/>
    <w:rsid w:val="00CB2FDA"/>
    <w:rsid w:val="00CB4EE0"/>
    <w:rsid w:val="00CB6C9C"/>
    <w:rsid w:val="00CC430B"/>
    <w:rsid w:val="00CD33BF"/>
    <w:rsid w:val="00CD50A9"/>
    <w:rsid w:val="00CE290B"/>
    <w:rsid w:val="00CE68B8"/>
    <w:rsid w:val="00CE7A6A"/>
    <w:rsid w:val="00CF2EE8"/>
    <w:rsid w:val="00CF71D1"/>
    <w:rsid w:val="00D04E78"/>
    <w:rsid w:val="00D0538B"/>
    <w:rsid w:val="00D15533"/>
    <w:rsid w:val="00D1649D"/>
    <w:rsid w:val="00D321EF"/>
    <w:rsid w:val="00D3256E"/>
    <w:rsid w:val="00D3404D"/>
    <w:rsid w:val="00D4534E"/>
    <w:rsid w:val="00D5462C"/>
    <w:rsid w:val="00D56C47"/>
    <w:rsid w:val="00D5766D"/>
    <w:rsid w:val="00D64834"/>
    <w:rsid w:val="00D71E66"/>
    <w:rsid w:val="00D7354A"/>
    <w:rsid w:val="00D77E21"/>
    <w:rsid w:val="00D852F8"/>
    <w:rsid w:val="00D85682"/>
    <w:rsid w:val="00D96692"/>
    <w:rsid w:val="00DA4FF3"/>
    <w:rsid w:val="00DB16FC"/>
    <w:rsid w:val="00DB5C30"/>
    <w:rsid w:val="00DC5A25"/>
    <w:rsid w:val="00DD2C61"/>
    <w:rsid w:val="00DD66F5"/>
    <w:rsid w:val="00DE27D1"/>
    <w:rsid w:val="00DE39CE"/>
    <w:rsid w:val="00DE7C27"/>
    <w:rsid w:val="00E0726B"/>
    <w:rsid w:val="00E23641"/>
    <w:rsid w:val="00E244EB"/>
    <w:rsid w:val="00E27B3C"/>
    <w:rsid w:val="00E3154F"/>
    <w:rsid w:val="00E449C3"/>
    <w:rsid w:val="00E6442C"/>
    <w:rsid w:val="00E65B5C"/>
    <w:rsid w:val="00E71BAD"/>
    <w:rsid w:val="00E81F50"/>
    <w:rsid w:val="00E82AE3"/>
    <w:rsid w:val="00E96B45"/>
    <w:rsid w:val="00EA32DE"/>
    <w:rsid w:val="00EA3FBE"/>
    <w:rsid w:val="00EA5FEB"/>
    <w:rsid w:val="00EB100B"/>
    <w:rsid w:val="00EB576A"/>
    <w:rsid w:val="00EC2681"/>
    <w:rsid w:val="00ED25FB"/>
    <w:rsid w:val="00ED4944"/>
    <w:rsid w:val="00EE3A64"/>
    <w:rsid w:val="00EE3C98"/>
    <w:rsid w:val="00EF00D2"/>
    <w:rsid w:val="00EF0525"/>
    <w:rsid w:val="00EF09E1"/>
    <w:rsid w:val="00EF2FCF"/>
    <w:rsid w:val="00EF68AD"/>
    <w:rsid w:val="00F01029"/>
    <w:rsid w:val="00F07071"/>
    <w:rsid w:val="00F10668"/>
    <w:rsid w:val="00F13C98"/>
    <w:rsid w:val="00F150F4"/>
    <w:rsid w:val="00F228E5"/>
    <w:rsid w:val="00F32142"/>
    <w:rsid w:val="00F32DE7"/>
    <w:rsid w:val="00F34CB5"/>
    <w:rsid w:val="00F667A6"/>
    <w:rsid w:val="00F67D93"/>
    <w:rsid w:val="00F71E68"/>
    <w:rsid w:val="00F729DA"/>
    <w:rsid w:val="00F801BA"/>
    <w:rsid w:val="00F81C69"/>
    <w:rsid w:val="00F84191"/>
    <w:rsid w:val="00F8460F"/>
    <w:rsid w:val="00F92350"/>
    <w:rsid w:val="00F9383D"/>
    <w:rsid w:val="00F93854"/>
    <w:rsid w:val="00F950B8"/>
    <w:rsid w:val="00F96D69"/>
    <w:rsid w:val="00FA48F4"/>
    <w:rsid w:val="00FA4CF2"/>
    <w:rsid w:val="00FA6CFE"/>
    <w:rsid w:val="00FB1E87"/>
    <w:rsid w:val="00FB5C92"/>
    <w:rsid w:val="00FB6281"/>
    <w:rsid w:val="00FD0450"/>
    <w:rsid w:val="00FD3E0B"/>
    <w:rsid w:val="00FE2815"/>
    <w:rsid w:val="00FE3034"/>
    <w:rsid w:val="00FF1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71BAD"/>
    <w:pPr>
      <w:tabs>
        <w:tab w:val="center" w:pos="4536"/>
        <w:tab w:val="right" w:pos="9072"/>
      </w:tabs>
      <w:spacing w:line="240" w:lineRule="auto"/>
    </w:pPr>
  </w:style>
  <w:style w:type="character" w:customStyle="1" w:styleId="HeaderChar">
    <w:name w:val="Header Char"/>
    <w:basedOn w:val="DefaultParagraphFont"/>
    <w:link w:val="Header"/>
    <w:uiPriority w:val="99"/>
    <w:rsid w:val="00E71BAD"/>
    <w:rPr>
      <w:rFonts w:ascii="Verdana" w:hAnsi="Verdana"/>
      <w:color w:val="000000"/>
      <w:sz w:val="18"/>
      <w:szCs w:val="18"/>
    </w:rPr>
  </w:style>
  <w:style w:type="paragraph" w:styleId="Footer">
    <w:name w:val="footer"/>
    <w:basedOn w:val="Normal"/>
    <w:link w:val="FooterChar"/>
    <w:uiPriority w:val="99"/>
    <w:unhideWhenUsed/>
    <w:rsid w:val="00E71BAD"/>
    <w:pPr>
      <w:tabs>
        <w:tab w:val="center" w:pos="4536"/>
        <w:tab w:val="right" w:pos="9072"/>
      </w:tabs>
      <w:spacing w:line="240" w:lineRule="auto"/>
    </w:pPr>
  </w:style>
  <w:style w:type="character" w:customStyle="1" w:styleId="FooterChar">
    <w:name w:val="Footer Char"/>
    <w:basedOn w:val="DefaultParagraphFont"/>
    <w:link w:val="Footer"/>
    <w:uiPriority w:val="99"/>
    <w:rsid w:val="00E71BAD"/>
    <w:rPr>
      <w:rFonts w:ascii="Verdana" w:hAnsi="Verdana"/>
      <w:color w:val="000000"/>
      <w:sz w:val="18"/>
      <w:szCs w:val="18"/>
    </w:rPr>
  </w:style>
  <w:style w:type="paragraph" w:styleId="FootnoteText">
    <w:name w:val="footnote text"/>
    <w:basedOn w:val="Normal"/>
    <w:link w:val="FootnoteTextChar"/>
    <w:uiPriority w:val="99"/>
    <w:unhideWhenUsed/>
    <w:qFormat/>
    <w:rsid w:val="005E217C"/>
    <w:pPr>
      <w:spacing w:line="240" w:lineRule="auto"/>
    </w:pPr>
    <w:rPr>
      <w:sz w:val="20"/>
      <w:szCs w:val="20"/>
    </w:rPr>
  </w:style>
  <w:style w:type="character" w:customStyle="1" w:styleId="FootnoteTextChar">
    <w:name w:val="Footnote Text Char"/>
    <w:basedOn w:val="DefaultParagraphFont"/>
    <w:link w:val="FootnoteText"/>
    <w:uiPriority w:val="99"/>
    <w:rsid w:val="005E217C"/>
    <w:rPr>
      <w:rFonts w:ascii="Verdana" w:hAnsi="Verdana"/>
      <w:color w:val="000000"/>
    </w:rPr>
  </w:style>
  <w:style w:type="character" w:styleId="FootnoteReference">
    <w:name w:val="footnote reference"/>
    <w:aliases w:val="BVI fnr,Footnote Reference Superscript,Footnote Reference/,Footnote symbol,SUPERS,number,Voetnootmarkering boek STT,Footnotemark,Footnotemark1,FR,Footnotemark2,FR1,Footnotemark3,FR2,Footnotemark4,FR3,Footnotemark5,FR4,Footnotemark6"/>
    <w:basedOn w:val="DefaultParagraphFont"/>
    <w:uiPriority w:val="99"/>
    <w:unhideWhenUsed/>
    <w:rsid w:val="005E217C"/>
    <w:rPr>
      <w:vertAlign w:val="superscript"/>
    </w:rPr>
  </w:style>
  <w:style w:type="character" w:styleId="CommentReference">
    <w:name w:val="annotation reference"/>
    <w:basedOn w:val="DefaultParagraphFont"/>
    <w:uiPriority w:val="99"/>
    <w:semiHidden/>
    <w:unhideWhenUsed/>
    <w:rsid w:val="005E217C"/>
    <w:rPr>
      <w:sz w:val="16"/>
      <w:szCs w:val="16"/>
    </w:rPr>
  </w:style>
  <w:style w:type="paragraph" w:styleId="CommentText">
    <w:name w:val="annotation text"/>
    <w:basedOn w:val="Normal"/>
    <w:link w:val="CommentTextChar"/>
    <w:uiPriority w:val="99"/>
    <w:unhideWhenUsed/>
    <w:rsid w:val="005E217C"/>
    <w:pPr>
      <w:spacing w:line="240" w:lineRule="auto"/>
    </w:pPr>
    <w:rPr>
      <w:sz w:val="20"/>
      <w:szCs w:val="20"/>
    </w:rPr>
  </w:style>
  <w:style w:type="character" w:customStyle="1" w:styleId="CommentTextChar">
    <w:name w:val="Comment Text Char"/>
    <w:basedOn w:val="DefaultParagraphFont"/>
    <w:link w:val="CommentText"/>
    <w:uiPriority w:val="99"/>
    <w:rsid w:val="005E217C"/>
    <w:rPr>
      <w:rFonts w:ascii="Verdana" w:hAnsi="Verdana"/>
      <w:color w:val="000000"/>
    </w:rPr>
  </w:style>
  <w:style w:type="table" w:styleId="TableGrid">
    <w:name w:val="Table Grid"/>
    <w:basedOn w:val="TableNormal"/>
    <w:uiPriority w:val="39"/>
    <w:rsid w:val="00025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D7354A"/>
    <w:pPr>
      <w:ind w:left="720"/>
      <w:contextualSpacing/>
    </w:pPr>
  </w:style>
  <w:style w:type="character" w:customStyle="1" w:styleId="UnresolvedMention">
    <w:name w:val="Unresolved Mention"/>
    <w:basedOn w:val="DefaultParagraphFont"/>
    <w:uiPriority w:val="99"/>
    <w:semiHidden/>
    <w:unhideWhenUsed/>
    <w:rsid w:val="00B520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06967"/>
    <w:rPr>
      <w:b/>
      <w:bCs/>
    </w:rPr>
  </w:style>
  <w:style w:type="character" w:customStyle="1" w:styleId="CommentSubjectChar">
    <w:name w:val="Comment Subject Char"/>
    <w:basedOn w:val="CommentTextChar"/>
    <w:link w:val="CommentSubject"/>
    <w:uiPriority w:val="99"/>
    <w:semiHidden/>
    <w:rsid w:val="00306967"/>
    <w:rPr>
      <w:rFonts w:ascii="Verdana" w:hAnsi="Verdana"/>
      <w:b/>
      <w:bCs/>
      <w:color w:val="000000"/>
    </w:rPr>
  </w:style>
  <w:style w:type="paragraph" w:styleId="Revision">
    <w:name w:val="Revision"/>
    <w:hidden/>
    <w:uiPriority w:val="99"/>
    <w:semiHidden/>
    <w:rsid w:val="00A47FEE"/>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901C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4823">
      <w:bodyDiv w:val="1"/>
      <w:marLeft w:val="0"/>
      <w:marRight w:val="0"/>
      <w:marTop w:val="0"/>
      <w:marBottom w:val="0"/>
      <w:divBdr>
        <w:top w:val="none" w:sz="0" w:space="0" w:color="auto"/>
        <w:left w:val="none" w:sz="0" w:space="0" w:color="auto"/>
        <w:bottom w:val="none" w:sz="0" w:space="0" w:color="auto"/>
        <w:right w:val="none" w:sz="0" w:space="0" w:color="auto"/>
      </w:divBdr>
    </w:div>
    <w:div w:id="360522481">
      <w:bodyDiv w:val="1"/>
      <w:marLeft w:val="0"/>
      <w:marRight w:val="0"/>
      <w:marTop w:val="0"/>
      <w:marBottom w:val="0"/>
      <w:divBdr>
        <w:top w:val="none" w:sz="0" w:space="0" w:color="auto"/>
        <w:left w:val="none" w:sz="0" w:space="0" w:color="auto"/>
        <w:bottom w:val="none" w:sz="0" w:space="0" w:color="auto"/>
        <w:right w:val="none" w:sz="0" w:space="0" w:color="auto"/>
      </w:divBdr>
      <w:divsChild>
        <w:div w:id="369036303">
          <w:marLeft w:val="0"/>
          <w:marRight w:val="0"/>
          <w:marTop w:val="0"/>
          <w:marBottom w:val="0"/>
          <w:divBdr>
            <w:top w:val="none" w:sz="0" w:space="0" w:color="auto"/>
            <w:left w:val="none" w:sz="0" w:space="0" w:color="auto"/>
            <w:bottom w:val="none" w:sz="0" w:space="0" w:color="auto"/>
            <w:right w:val="none" w:sz="0" w:space="0" w:color="auto"/>
          </w:divBdr>
        </w:div>
      </w:divsChild>
    </w:div>
    <w:div w:id="933513415">
      <w:bodyDiv w:val="1"/>
      <w:marLeft w:val="0"/>
      <w:marRight w:val="0"/>
      <w:marTop w:val="0"/>
      <w:marBottom w:val="0"/>
      <w:divBdr>
        <w:top w:val="none" w:sz="0" w:space="0" w:color="auto"/>
        <w:left w:val="none" w:sz="0" w:space="0" w:color="auto"/>
        <w:bottom w:val="none" w:sz="0" w:space="0" w:color="auto"/>
        <w:right w:val="none" w:sz="0" w:space="0" w:color="auto"/>
      </w:divBdr>
    </w:div>
    <w:div w:id="1089424854">
      <w:bodyDiv w:val="1"/>
      <w:marLeft w:val="0"/>
      <w:marRight w:val="0"/>
      <w:marTop w:val="0"/>
      <w:marBottom w:val="0"/>
      <w:divBdr>
        <w:top w:val="none" w:sz="0" w:space="0" w:color="auto"/>
        <w:left w:val="none" w:sz="0" w:space="0" w:color="auto"/>
        <w:bottom w:val="none" w:sz="0" w:space="0" w:color="auto"/>
        <w:right w:val="none" w:sz="0" w:space="0" w:color="auto"/>
      </w:divBdr>
      <w:divsChild>
        <w:div w:id="788166416">
          <w:marLeft w:val="0"/>
          <w:marRight w:val="0"/>
          <w:marTop w:val="0"/>
          <w:marBottom w:val="0"/>
          <w:divBdr>
            <w:top w:val="none" w:sz="0" w:space="0" w:color="auto"/>
            <w:left w:val="none" w:sz="0" w:space="0" w:color="auto"/>
            <w:bottom w:val="none" w:sz="0" w:space="0" w:color="auto"/>
            <w:right w:val="none" w:sz="0" w:space="0" w:color="auto"/>
          </w:divBdr>
        </w:div>
      </w:divsChild>
    </w:div>
    <w:div w:id="1195532725">
      <w:bodyDiv w:val="1"/>
      <w:marLeft w:val="0"/>
      <w:marRight w:val="0"/>
      <w:marTop w:val="0"/>
      <w:marBottom w:val="0"/>
      <w:divBdr>
        <w:top w:val="none" w:sz="0" w:space="0" w:color="auto"/>
        <w:left w:val="none" w:sz="0" w:space="0" w:color="auto"/>
        <w:bottom w:val="none" w:sz="0" w:space="0" w:color="auto"/>
        <w:right w:val="none" w:sz="0" w:space="0" w:color="auto"/>
      </w:divBdr>
    </w:div>
    <w:div w:id="1312442091">
      <w:bodyDiv w:val="1"/>
      <w:marLeft w:val="0"/>
      <w:marRight w:val="0"/>
      <w:marTop w:val="0"/>
      <w:marBottom w:val="0"/>
      <w:divBdr>
        <w:top w:val="none" w:sz="0" w:space="0" w:color="auto"/>
        <w:left w:val="none" w:sz="0" w:space="0" w:color="auto"/>
        <w:bottom w:val="none" w:sz="0" w:space="0" w:color="auto"/>
        <w:right w:val="none" w:sz="0" w:space="0" w:color="auto"/>
      </w:divBdr>
    </w:div>
    <w:div w:id="1488784287">
      <w:bodyDiv w:val="1"/>
      <w:marLeft w:val="0"/>
      <w:marRight w:val="0"/>
      <w:marTop w:val="0"/>
      <w:marBottom w:val="0"/>
      <w:divBdr>
        <w:top w:val="none" w:sz="0" w:space="0" w:color="auto"/>
        <w:left w:val="none" w:sz="0" w:space="0" w:color="auto"/>
        <w:bottom w:val="none" w:sz="0" w:space="0" w:color="auto"/>
        <w:right w:val="none" w:sz="0" w:space="0" w:color="auto"/>
      </w:divBdr>
      <w:divsChild>
        <w:div w:id="1069574867">
          <w:marLeft w:val="50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1/04/ontwikkelingen-internationaal-personenvervoer-per-spoor" TargetMode="External"/><Relationship Id="rId2" Type="http://schemas.openxmlformats.org/officeDocument/2006/relationships/hyperlink" Target="https://www.consilium.europa.eu/nl/press/press-releases/2024/06/18/greening-freight-package-council-adopts-position-for-a-more-efficient-management-of-rail-infrastructure-capacity-and-traffic/" TargetMode="External"/><Relationship Id="rId1" Type="http://schemas.openxmlformats.org/officeDocument/2006/relationships/hyperlink" Target="https://www.tweedekamer.nl/kamerstukken/brieven_regering/detail?id=2023D45062&amp;did=2023D4506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1967</ap:Words>
  <ap:Characters>11216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Capaciteitsmanagement spoor en Europese ontwikkelingen spoor</vt:lpstr>
    </vt:vector>
  </ap:TitlesOfParts>
  <ap:LinksUpToDate>false</ap:LinksUpToDate>
  <ap:CharactersWithSpaces>13157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2026-06-02T08:15:00.0000000Z</dcterms:created>
  <dcterms:modified xsi:type="dcterms:W3CDTF">2026-06-02T08:15:00.0000000Z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Capaciteitsmanagement spoor en Europese ontwikkelingen spoor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M.F.M. van Wortel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