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F80CB1" w:rsidRDefault="00EE2A9D" w14:paraId="14CFA283" w14:textId="77777777"/>
        <w:p w:rsidR="00241BB9" w:rsidP="00F80CB1" w:rsidRDefault="005907F5" w14:paraId="7C9A3F52" w14:textId="77777777">
          <w:pPr>
            <w:spacing w:line="240" w:lineRule="auto"/>
          </w:pPr>
        </w:p>
      </w:sdtContent>
    </w:sdt>
    <w:p w:rsidR="00CD5856" w:rsidP="00F80CB1" w:rsidRDefault="00CD5856" w14:paraId="447C34C9" w14:textId="77777777"/>
    <w:p w:rsidR="00CD5856" w:rsidP="00F80CB1" w:rsidRDefault="00CD5856" w14:paraId="6C01D091"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A96C0E" w:rsidP="00F80CB1" w:rsidRDefault="00A96C0E" w14:paraId="1CAB4ACE" w14:textId="77777777">
      <w:pPr>
        <w:pStyle w:val="Huisstijl-Aanhef"/>
      </w:pPr>
    </w:p>
    <w:p w:rsidR="00A96C0E" w:rsidP="00F80CB1" w:rsidRDefault="005907F5" w14:paraId="72618BB0" w14:textId="77777777">
      <w:pPr>
        <w:pStyle w:val="Huisstijl-Aanhef"/>
      </w:pPr>
      <w:r>
        <w:t>Geachte voorzitter,</w:t>
      </w:r>
    </w:p>
    <w:p w:rsidR="00A64433" w:rsidP="00F80CB1" w:rsidRDefault="005907F5" w14:paraId="2338CA63" w14:textId="77777777">
      <w:pPr>
        <w:pStyle w:val="Huisstijl-Aanhef"/>
        <w:rPr>
          <w:szCs w:val="18"/>
        </w:rPr>
      </w:pPr>
      <w:r>
        <w:rPr>
          <w:szCs w:val="18"/>
        </w:rPr>
        <w:t xml:space="preserve">Het kabinet wil dat passende zorg altijd en overal de norm wordt en dat alleen zorg wordt vergoed die meerwaarde heeft voor de patiënt. Dit betekent dat zorg bewezen effectief moet zijn en dat </w:t>
      </w:r>
      <w:r w:rsidRPr="004F0F88">
        <w:rPr>
          <w:szCs w:val="18"/>
        </w:rPr>
        <w:t>minder arbeidsintensie</w:t>
      </w:r>
      <w:r>
        <w:rPr>
          <w:szCs w:val="18"/>
        </w:rPr>
        <w:t>ve</w:t>
      </w:r>
      <w:r w:rsidRPr="004F0F88">
        <w:rPr>
          <w:szCs w:val="18"/>
        </w:rPr>
        <w:t xml:space="preserve"> of meer kosteneffectie</w:t>
      </w:r>
      <w:r>
        <w:rPr>
          <w:szCs w:val="18"/>
        </w:rPr>
        <w:t>ve zorg de voorkeur hebben.</w:t>
      </w:r>
      <w:r>
        <w:rPr>
          <w:rStyle w:val="Voetnootmarkering"/>
          <w:szCs w:val="18"/>
        </w:rPr>
        <w:footnoteReference w:id="1"/>
      </w:r>
      <w:r>
        <w:rPr>
          <w:szCs w:val="18"/>
        </w:rPr>
        <w:t xml:space="preserve"> Om deze ambitie voor elkaar te krijgen, is voldoende kennis over wat zorg daadwerkelijk bijdraagt randvoorwaardelijk. Deze kennis wordt ontwikkeld in verschillende subsidieprogramma’s voor onderzoek naar passende, effectieve zorg.</w:t>
      </w:r>
    </w:p>
    <w:p w:rsidR="00A64433" w:rsidP="00F80CB1" w:rsidRDefault="005907F5" w14:paraId="54B8FDB9" w14:textId="77777777">
      <w:pPr>
        <w:rPr>
          <w:szCs w:val="18"/>
        </w:rPr>
      </w:pPr>
      <w:r>
        <w:rPr>
          <w:szCs w:val="18"/>
        </w:rPr>
        <w:t>In deze brief informeert het kabinet de Kamer over een beleidskeuze om een vervolg op het lopende Kaderprogramma Passende Zorg (KPPZ)</w:t>
      </w:r>
      <w:r w:rsidRPr="00723435">
        <w:rPr>
          <w:szCs w:val="18"/>
        </w:rPr>
        <w:t xml:space="preserve"> </w:t>
      </w:r>
      <w:r>
        <w:rPr>
          <w:szCs w:val="18"/>
        </w:rPr>
        <w:t xml:space="preserve">mogelijk te maken. Daarnaast informeert het kabinet de Kamer over de stand van zaken en voortgang van het beleid rondom Voorwaardelijke Toelating (VT) en het subsidieprogramma Veelbelovende Zorg (VeZo). Recent heeft het kabinet de Kamer reeds geïnformeerd over de beleidsmatige evaluatie van het separate beleid voor de voorwaardelijke toelating van </w:t>
      </w:r>
      <w:r w:rsidRPr="00524F3E">
        <w:rPr>
          <w:szCs w:val="18"/>
        </w:rPr>
        <w:t>weesgeneesmiddelen, conditionals en exceptionals</w:t>
      </w:r>
      <w:r>
        <w:rPr>
          <w:szCs w:val="18"/>
        </w:rPr>
        <w:t>.</w:t>
      </w:r>
      <w:r>
        <w:rPr>
          <w:rStyle w:val="Voetnootmarkering"/>
          <w:szCs w:val="18"/>
        </w:rPr>
        <w:footnoteReference w:id="2"/>
      </w:r>
    </w:p>
    <w:p w:rsidR="00131997" w:rsidP="00F80CB1" w:rsidRDefault="00131997" w14:paraId="57EA802A" w14:textId="77777777">
      <w:pPr>
        <w:rPr>
          <w:szCs w:val="18"/>
        </w:rPr>
      </w:pPr>
    </w:p>
    <w:p w:rsidRPr="001A681C" w:rsidR="00131997" w:rsidP="00F80CB1" w:rsidRDefault="005907F5" w14:paraId="5A43C2EB" w14:textId="77777777">
      <w:pPr>
        <w:rPr>
          <w:szCs w:val="18"/>
        </w:rPr>
      </w:pPr>
      <w:r>
        <w:rPr>
          <w:b/>
          <w:bCs/>
          <w:szCs w:val="18"/>
        </w:rPr>
        <w:t>Beleidskeuze vervolg Kaderprogramma Passende Zorg</w:t>
      </w:r>
    </w:p>
    <w:p w:rsidR="00131997" w:rsidP="00F80CB1" w:rsidRDefault="005907F5" w14:paraId="74998E47" w14:textId="77777777">
      <w:pPr>
        <w:rPr>
          <w:szCs w:val="18"/>
        </w:rPr>
      </w:pPr>
      <w:r>
        <w:rPr>
          <w:szCs w:val="18"/>
        </w:rPr>
        <w:t>Om de kennisontwikkeling over passende, effectieve zorg te stimuleren is i</w:t>
      </w:r>
      <w:r w:rsidRPr="00EC2DBC">
        <w:rPr>
          <w:szCs w:val="18"/>
        </w:rPr>
        <w:t xml:space="preserve">n 2025 het </w:t>
      </w:r>
      <w:r>
        <w:rPr>
          <w:szCs w:val="18"/>
        </w:rPr>
        <w:t>KPPZ</w:t>
      </w:r>
      <w:r w:rsidRPr="00EC2DBC">
        <w:rPr>
          <w:szCs w:val="18"/>
        </w:rPr>
        <w:t xml:space="preserve"> bij ZonMw van start gegaan. Met dit subsidieprogramma dat loopt t/m 2028 kunnen partijen uit alle sectoren van de Zvw onderzoek doen naar de effectieve en doelmatige organisatie en inzet van hun zorgaanbod. Het programma maakt hierbij ook mogelijk dat in alle sectoren de hiervoor benodigde onderzoeksinfrastructuur wordt ontwikkeld. In deze brief informeer</w:t>
      </w:r>
      <w:r w:rsidR="00325881">
        <w:rPr>
          <w:szCs w:val="18"/>
        </w:rPr>
        <w:t>t het kabinet</w:t>
      </w:r>
      <w:r w:rsidRPr="00EC2DBC">
        <w:rPr>
          <w:szCs w:val="18"/>
        </w:rPr>
        <w:t xml:space="preserve"> de Kamer over de beleidskeuze om een vervolg op dit subsidieprogramma mogelijk te maken, om zo de </w:t>
      </w:r>
      <w:r>
        <w:rPr>
          <w:szCs w:val="18"/>
        </w:rPr>
        <w:t xml:space="preserve">inzet van het </w:t>
      </w:r>
      <w:r w:rsidR="00A64433">
        <w:rPr>
          <w:szCs w:val="18"/>
        </w:rPr>
        <w:t>k</w:t>
      </w:r>
      <w:r>
        <w:rPr>
          <w:szCs w:val="18"/>
        </w:rPr>
        <w:t>abinet</w:t>
      </w:r>
      <w:r w:rsidRPr="00EC2DBC">
        <w:rPr>
          <w:szCs w:val="18"/>
        </w:rPr>
        <w:t xml:space="preserve"> op he</w:t>
      </w:r>
      <w:r w:rsidRPr="00EC2DBC">
        <w:rPr>
          <w:szCs w:val="18"/>
        </w:rPr>
        <w:t xml:space="preserve">t gebied van passende zorg </w:t>
      </w:r>
      <w:r>
        <w:rPr>
          <w:szCs w:val="18"/>
        </w:rPr>
        <w:t xml:space="preserve">verder </w:t>
      </w:r>
      <w:r w:rsidRPr="00EC2DBC">
        <w:rPr>
          <w:szCs w:val="18"/>
        </w:rPr>
        <w:t xml:space="preserve">te </w:t>
      </w:r>
      <w:r>
        <w:rPr>
          <w:szCs w:val="18"/>
        </w:rPr>
        <w:t>bestendigen</w:t>
      </w:r>
      <w:r w:rsidRPr="00EC2DBC">
        <w:rPr>
          <w:szCs w:val="18"/>
        </w:rPr>
        <w:t xml:space="preserve">. </w:t>
      </w:r>
    </w:p>
    <w:p w:rsidR="003D2201" w:rsidP="00F80CB1" w:rsidRDefault="003D2201" w14:paraId="41F442FD" w14:textId="77777777">
      <w:pPr>
        <w:spacing w:line="240" w:lineRule="auto"/>
        <w:rPr>
          <w:szCs w:val="18"/>
        </w:rPr>
      </w:pPr>
    </w:p>
    <w:p w:rsidR="00A96C0E" w:rsidP="00F80CB1" w:rsidRDefault="00A96C0E" w14:paraId="52BAADDD" w14:textId="77777777">
      <w:pPr>
        <w:spacing w:line="240" w:lineRule="auto"/>
        <w:rPr>
          <w:szCs w:val="18"/>
        </w:rPr>
      </w:pPr>
    </w:p>
    <w:p w:rsidR="00A96C0E" w:rsidP="00F80CB1" w:rsidRDefault="00A96C0E" w14:paraId="5EACDBD6" w14:textId="77777777">
      <w:pPr>
        <w:spacing w:line="240" w:lineRule="auto"/>
        <w:rPr>
          <w:szCs w:val="18"/>
        </w:rPr>
      </w:pPr>
    </w:p>
    <w:p w:rsidRPr="00EC2DBC" w:rsidR="00131997" w:rsidP="00F80CB1" w:rsidRDefault="005907F5" w14:paraId="287A97CE" w14:textId="77777777">
      <w:pPr>
        <w:rPr>
          <w:szCs w:val="18"/>
        </w:rPr>
      </w:pPr>
      <w:r w:rsidRPr="00EC2DBC">
        <w:rPr>
          <w:szCs w:val="18"/>
        </w:rPr>
        <w:t xml:space="preserve">Omdat deze beleidskeuze financiële gevolgen van € 20 miljoen of meer heeft in enig jaar, wordt – conform wetsartikel 3.1 van de Comptabiliteitswet 2016 – </w:t>
      </w:r>
      <w:r>
        <w:rPr>
          <w:szCs w:val="18"/>
        </w:rPr>
        <w:t xml:space="preserve">hieronder </w:t>
      </w:r>
      <w:r w:rsidRPr="00EC2DBC">
        <w:rPr>
          <w:szCs w:val="18"/>
        </w:rPr>
        <w:t xml:space="preserve">ingegaan op de doelen, beleidsinstrumenten, financiële gevolgen, nagestreefde doeltreffendheid en doelmatigheid en voorgenomen evaluatie en monitoring. </w:t>
      </w:r>
      <w:r>
        <w:rPr>
          <w:szCs w:val="18"/>
        </w:rPr>
        <w:t>Zoals dit s</w:t>
      </w:r>
      <w:r w:rsidRPr="00EC2DBC">
        <w:rPr>
          <w:szCs w:val="18"/>
        </w:rPr>
        <w:t>inds eind 2021 Rijksbreed gebeurt</w:t>
      </w:r>
      <w:r>
        <w:rPr>
          <w:szCs w:val="18"/>
        </w:rPr>
        <w:t>, doe</w:t>
      </w:r>
      <w:r w:rsidR="00325881">
        <w:rPr>
          <w:szCs w:val="18"/>
        </w:rPr>
        <w:t xml:space="preserve">t het kabinet </w:t>
      </w:r>
      <w:r>
        <w:rPr>
          <w:szCs w:val="18"/>
        </w:rPr>
        <w:t>dit</w:t>
      </w:r>
      <w:r w:rsidRPr="00EC2DBC">
        <w:rPr>
          <w:szCs w:val="18"/>
        </w:rPr>
        <w:t xml:space="preserve"> via de werkwijze ‘Beleidskeuzes Uitgelegd’ </w:t>
      </w:r>
      <w:r>
        <w:rPr>
          <w:szCs w:val="18"/>
        </w:rPr>
        <w:t>in</w:t>
      </w:r>
      <w:r w:rsidRPr="00EC2DBC">
        <w:rPr>
          <w:szCs w:val="18"/>
        </w:rPr>
        <w:t xml:space="preserve"> het onderstaande CW3.1-kader. </w:t>
      </w:r>
      <w:r>
        <w:rPr>
          <w:szCs w:val="18"/>
        </w:rPr>
        <w:t xml:space="preserve">De middelen voor deze beleidskeuze zijn door het </w:t>
      </w:r>
      <w:r w:rsidR="00A64433">
        <w:rPr>
          <w:szCs w:val="18"/>
        </w:rPr>
        <w:t>k</w:t>
      </w:r>
      <w:r>
        <w:rPr>
          <w:szCs w:val="18"/>
        </w:rPr>
        <w:t>abinet</w:t>
      </w:r>
      <w:r w:rsidR="00A64433">
        <w:rPr>
          <w:szCs w:val="18"/>
        </w:rPr>
        <w:t>-</w:t>
      </w:r>
      <w:r>
        <w:rPr>
          <w:szCs w:val="18"/>
        </w:rPr>
        <w:t>Rutte IV beschikbaar gesteld voor (onderzoek naar) passende zorg.</w:t>
      </w:r>
    </w:p>
    <w:p w:rsidRPr="00EC2DBC" w:rsidR="00131997" w:rsidP="00F80CB1" w:rsidRDefault="00131997" w14:paraId="021E855E" w14:textId="77777777">
      <w:pPr>
        <w:pStyle w:val="Geenafstand"/>
        <w:suppressAutoHyphens/>
        <w:spacing w:line="276" w:lineRule="auto"/>
        <w:rPr>
          <w:rFonts w:ascii="Verdana" w:hAnsi="Verdana"/>
          <w:sz w:val="18"/>
          <w:szCs w:val="18"/>
        </w:rPr>
      </w:pPr>
    </w:p>
    <w:tbl>
      <w:tblPr>
        <w:tblStyle w:val="TableNormal0"/>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1E0" w:firstRow="1" w:lastRow="1" w:firstColumn="1" w:lastColumn="1" w:noHBand="0" w:noVBand="0"/>
      </w:tblPr>
      <w:tblGrid>
        <w:gridCol w:w="2882"/>
        <w:gridCol w:w="4544"/>
      </w:tblGrid>
      <w:tr w:rsidR="00D362F1" w:rsidTr="0067149E" w14:paraId="21CC8641" w14:textId="77777777">
        <w:trPr>
          <w:trHeight w:val="1059"/>
        </w:trPr>
        <w:tc>
          <w:tcPr>
            <w:tcW w:w="8970" w:type="dxa"/>
            <w:gridSpan w:val="2"/>
            <w:tcBorders>
              <w:left w:val="nil"/>
            </w:tcBorders>
            <w:shd w:val="clear" w:color="auto" w:fill="7A7A7A"/>
            <w:vAlign w:val="center"/>
          </w:tcPr>
          <w:p w:rsidRPr="00B442F6" w:rsidR="00131997" w:rsidP="00F80CB1" w:rsidRDefault="005907F5" w14:paraId="67EF1E38" w14:textId="77777777">
            <w:pPr>
              <w:pStyle w:val="TableParagraph"/>
              <w:tabs>
                <w:tab w:val="left" w:pos="2060"/>
              </w:tabs>
              <w:suppressAutoHyphens/>
              <w:spacing w:before="4"/>
              <w:ind w:left="103"/>
              <w:rPr>
                <w:rFonts w:cstheme="minorHAnsi"/>
                <w:b/>
                <w:color w:val="FFFFFF"/>
                <w:sz w:val="16"/>
                <w:szCs w:val="16"/>
                <w:lang w:val="nl-NL"/>
              </w:rPr>
            </w:pPr>
            <w:r>
              <w:rPr>
                <w:rFonts w:cstheme="minorHAnsi"/>
                <w:b/>
                <w:color w:val="FFFFFF"/>
                <w:sz w:val="16"/>
                <w:szCs w:val="16"/>
                <w:lang w:val="nl-NL"/>
              </w:rPr>
              <w:t>B</w:t>
            </w:r>
            <w:r w:rsidRPr="00B442F6">
              <w:rPr>
                <w:rFonts w:cstheme="minorHAnsi"/>
                <w:b/>
                <w:color w:val="FFFFFF"/>
                <w:sz w:val="16"/>
                <w:szCs w:val="16"/>
                <w:lang w:val="nl-NL"/>
              </w:rPr>
              <w:t>eleidskeuzes uitgelegd</w:t>
            </w:r>
          </w:p>
          <w:p w:rsidRPr="00B442F6" w:rsidR="00131997" w:rsidP="00F80CB1" w:rsidRDefault="005907F5" w14:paraId="5B673797" w14:textId="77777777">
            <w:pPr>
              <w:pStyle w:val="TableParagraph"/>
              <w:tabs>
                <w:tab w:val="left" w:pos="2060"/>
              </w:tabs>
              <w:suppressAutoHyphens/>
              <w:rPr>
                <w:rFonts w:cstheme="minorHAnsi"/>
                <w:color w:val="FFFFFF" w:themeColor="background1"/>
                <w:sz w:val="16"/>
                <w:szCs w:val="16"/>
                <w:lang w:val="nl-NL"/>
              </w:rPr>
            </w:pPr>
            <w:r w:rsidRPr="00B442F6">
              <w:rPr>
                <w:rFonts w:cstheme="minorHAnsi"/>
                <w:b/>
                <w:color w:val="FFFFFF" w:themeColor="background1"/>
                <w:sz w:val="16"/>
                <w:szCs w:val="16"/>
                <w:lang w:val="nl-NL"/>
              </w:rPr>
              <w:t xml:space="preserve"> </w:t>
            </w:r>
            <w:r w:rsidRPr="00B442F6">
              <w:rPr>
                <w:rFonts w:cstheme="minorHAnsi"/>
                <w:i/>
                <w:color w:val="FFFFFF" w:themeColor="background1"/>
                <w:sz w:val="16"/>
                <w:szCs w:val="16"/>
                <w:lang w:val="nl-NL"/>
              </w:rPr>
              <w:t>Onderbouwing doeltreffendheid, doelmatigheid en evaluatie (CW3.1)</w:t>
            </w:r>
          </w:p>
        </w:tc>
      </w:tr>
      <w:tr w:rsidR="00D362F1" w:rsidTr="0067149E" w14:paraId="73B4EF90" w14:textId="77777777">
        <w:trPr>
          <w:trHeight w:val="666"/>
        </w:trPr>
        <w:tc>
          <w:tcPr>
            <w:tcW w:w="2640" w:type="dxa"/>
            <w:tcBorders>
              <w:left w:val="nil"/>
            </w:tcBorders>
            <w:shd w:val="clear" w:color="auto" w:fill="7A7A7A"/>
          </w:tcPr>
          <w:p w:rsidRPr="00B442F6" w:rsidR="00131997" w:rsidP="00F80CB1" w:rsidRDefault="005907F5" w14:paraId="3E4742C1" w14:textId="77777777">
            <w:pPr>
              <w:pStyle w:val="TableParagraph"/>
              <w:tabs>
                <w:tab w:val="left" w:pos="2060"/>
              </w:tabs>
              <w:suppressAutoHyphens/>
              <w:spacing w:before="4"/>
              <w:ind w:left="103"/>
              <w:rPr>
                <w:rFonts w:cstheme="minorHAnsi"/>
                <w:b/>
                <w:sz w:val="16"/>
                <w:szCs w:val="16"/>
                <w:lang w:val="nl-NL"/>
              </w:rPr>
            </w:pPr>
            <w:r w:rsidRPr="00B442F6">
              <w:rPr>
                <w:rFonts w:cstheme="minorHAnsi"/>
                <w:b/>
                <w:color w:val="FFFFFF"/>
                <w:sz w:val="16"/>
                <w:szCs w:val="16"/>
                <w:lang w:val="nl-NL"/>
              </w:rPr>
              <w:t xml:space="preserve">Doel(en) </w:t>
            </w:r>
          </w:p>
        </w:tc>
        <w:tc>
          <w:tcPr>
            <w:tcW w:w="6330" w:type="dxa"/>
            <w:tcBorders>
              <w:right w:val="nil"/>
            </w:tcBorders>
            <w:shd w:val="clear" w:color="auto" w:fill="DBDBDB"/>
            <w:vAlign w:val="center"/>
          </w:tcPr>
          <w:p w:rsidRPr="00B442F6" w:rsidR="00131997" w:rsidP="00F80CB1" w:rsidRDefault="005907F5" w14:paraId="4ED8C978" w14:textId="77777777">
            <w:pPr>
              <w:pStyle w:val="TableParagraph"/>
              <w:tabs>
                <w:tab w:val="left" w:pos="2060"/>
              </w:tabs>
              <w:suppressAutoHyphens/>
              <w:spacing w:before="10" w:line="218" w:lineRule="exact"/>
              <w:ind w:left="101" w:right="154"/>
              <w:rPr>
                <w:rFonts w:cstheme="minorHAnsi"/>
                <w:sz w:val="16"/>
                <w:szCs w:val="16"/>
                <w:lang w:val="nl-NL"/>
              </w:rPr>
            </w:pPr>
            <w:r w:rsidRPr="00B442F6">
              <w:rPr>
                <w:rFonts w:cstheme="minorHAnsi"/>
                <w:sz w:val="16"/>
                <w:szCs w:val="16"/>
                <w:lang w:val="nl-NL"/>
              </w:rPr>
              <w:t xml:space="preserve">Het </w:t>
            </w:r>
            <w:r w:rsidR="00A64433">
              <w:rPr>
                <w:rFonts w:cstheme="minorHAnsi"/>
                <w:sz w:val="16"/>
                <w:szCs w:val="16"/>
                <w:lang w:val="nl-NL"/>
              </w:rPr>
              <w:t>k</w:t>
            </w:r>
            <w:r w:rsidRPr="00B442F6">
              <w:rPr>
                <w:rFonts w:cstheme="minorHAnsi"/>
                <w:sz w:val="16"/>
                <w:szCs w:val="16"/>
                <w:lang w:val="nl-NL"/>
              </w:rPr>
              <w:t xml:space="preserve">abinet wil dat passende zorg de norm wordt, ook in de aanspraak, en dat alleen zorg met bewezen meerwaarde wordt vergoed. Hiervoor is het nodig dat onderzoek naar de pakketwaardigheid van zorg structureel plaatsvindt in alle sectoren van de Zvw, met een focus op effectiviteit, kosteneffectiviteit en arbeidsinzet. Met onderstaande beoogde inzet wordt hier invulling aan gegeven. </w:t>
            </w:r>
          </w:p>
          <w:p w:rsidRPr="00B442F6" w:rsidR="00131997" w:rsidP="00F80CB1" w:rsidRDefault="00131997" w14:paraId="6DB5D4E3" w14:textId="77777777">
            <w:pPr>
              <w:pStyle w:val="TableParagraph"/>
              <w:tabs>
                <w:tab w:val="left" w:pos="2060"/>
              </w:tabs>
              <w:suppressAutoHyphens/>
              <w:spacing w:before="10" w:line="218" w:lineRule="exact"/>
              <w:ind w:left="101" w:right="154"/>
              <w:rPr>
                <w:rFonts w:cstheme="minorHAnsi"/>
                <w:sz w:val="16"/>
                <w:szCs w:val="16"/>
                <w:lang w:val="nl-NL"/>
              </w:rPr>
            </w:pPr>
          </w:p>
        </w:tc>
      </w:tr>
      <w:tr w:rsidR="00D362F1" w:rsidTr="0067149E" w14:paraId="4E2884C6" w14:textId="77777777">
        <w:trPr>
          <w:trHeight w:val="694"/>
        </w:trPr>
        <w:tc>
          <w:tcPr>
            <w:tcW w:w="2640" w:type="dxa"/>
            <w:tcBorders>
              <w:left w:val="nil"/>
            </w:tcBorders>
            <w:shd w:val="clear" w:color="auto" w:fill="7A7A7A"/>
          </w:tcPr>
          <w:p w:rsidRPr="00B442F6" w:rsidR="00131997" w:rsidP="00F80CB1" w:rsidRDefault="005907F5" w14:paraId="7F57651D" w14:textId="77777777">
            <w:pPr>
              <w:pStyle w:val="TableParagraph"/>
              <w:tabs>
                <w:tab w:val="left" w:pos="2060"/>
              </w:tabs>
              <w:suppressAutoHyphens/>
              <w:spacing w:before="4"/>
              <w:ind w:left="103" w:right="231"/>
              <w:rPr>
                <w:rFonts w:cstheme="minorHAnsi"/>
                <w:b/>
                <w:sz w:val="16"/>
                <w:szCs w:val="16"/>
                <w:lang w:val="nl-NL"/>
              </w:rPr>
            </w:pPr>
            <w:r w:rsidRPr="00B442F6">
              <w:rPr>
                <w:rFonts w:cstheme="minorHAnsi"/>
                <w:b/>
                <w:color w:val="FFFFFF"/>
                <w:sz w:val="16"/>
                <w:szCs w:val="16"/>
                <w:lang w:val="nl-NL"/>
              </w:rPr>
              <w:t>Beleidsinstrument(en)</w:t>
            </w:r>
          </w:p>
        </w:tc>
        <w:tc>
          <w:tcPr>
            <w:tcW w:w="6330" w:type="dxa"/>
            <w:tcBorders>
              <w:right w:val="nil"/>
            </w:tcBorders>
            <w:shd w:val="clear" w:color="auto" w:fill="DBDBDB"/>
            <w:vAlign w:val="center"/>
          </w:tcPr>
          <w:p w:rsidRPr="00B442F6" w:rsidR="00131997" w:rsidP="00F80CB1" w:rsidRDefault="005907F5" w14:paraId="56CF08D6" w14:textId="77777777">
            <w:pPr>
              <w:pStyle w:val="TableParagraph"/>
              <w:tabs>
                <w:tab w:val="left" w:pos="2060"/>
              </w:tabs>
              <w:suppressAutoHyphens/>
              <w:spacing w:line="218" w:lineRule="exact"/>
              <w:ind w:left="101" w:right="543"/>
              <w:rPr>
                <w:rFonts w:cstheme="minorHAnsi"/>
                <w:sz w:val="16"/>
                <w:szCs w:val="16"/>
                <w:lang w:val="nl-NL"/>
              </w:rPr>
            </w:pPr>
            <w:r w:rsidRPr="00B442F6">
              <w:rPr>
                <w:rFonts w:cstheme="minorHAnsi"/>
                <w:sz w:val="16"/>
                <w:szCs w:val="16"/>
                <w:lang w:val="nl-NL"/>
              </w:rPr>
              <w:t xml:space="preserve">Het beleidsinstrumentarium is een subsidieprogramma gericht op kennisontwikkeling over de </w:t>
            </w:r>
            <w:r w:rsidRPr="00B442F6">
              <w:rPr>
                <w:rFonts w:cstheme="minorHAnsi"/>
                <w:sz w:val="16"/>
                <w:szCs w:val="16"/>
                <w:lang w:val="nl-NL"/>
              </w:rPr>
              <w:t>pakketwaardigheid van zorg, met een focus op effectiviteit en kosteneffectiviteit.</w:t>
            </w:r>
            <w:r w:rsidRPr="00B442F6">
              <w:rPr>
                <w:sz w:val="16"/>
                <w:szCs w:val="16"/>
                <w:lang w:val="nl-NL"/>
              </w:rPr>
              <w:t xml:space="preserve"> </w:t>
            </w:r>
            <w:r w:rsidRPr="00B442F6">
              <w:rPr>
                <w:rFonts w:cstheme="minorHAnsi"/>
                <w:sz w:val="16"/>
                <w:szCs w:val="16"/>
                <w:lang w:val="nl-NL"/>
              </w:rPr>
              <w:t xml:space="preserve">Onderdeel van deze inzet is dat partijen in staat worden gesteld een passende onderzoeksinfrastructuur in te richten, die een vaste basis oplevert voor structurele kennisontwikkeling. Met dit subsidieprogramma wordt een vervolg mogelijk gemaakt voor het huidige KPPZ, dat loopt t/m 2028. </w:t>
            </w:r>
          </w:p>
          <w:p w:rsidRPr="00B442F6" w:rsidR="00131997" w:rsidP="00F80CB1" w:rsidRDefault="00131997" w14:paraId="5F92EAF5" w14:textId="77777777">
            <w:pPr>
              <w:pStyle w:val="TableParagraph"/>
              <w:tabs>
                <w:tab w:val="left" w:pos="2060"/>
              </w:tabs>
              <w:suppressAutoHyphens/>
              <w:spacing w:line="218" w:lineRule="exact"/>
              <w:ind w:left="101" w:right="543"/>
              <w:rPr>
                <w:rFonts w:cstheme="minorHAnsi"/>
                <w:sz w:val="16"/>
                <w:szCs w:val="16"/>
                <w:lang w:val="nl-NL"/>
              </w:rPr>
            </w:pPr>
          </w:p>
          <w:p w:rsidRPr="00B442F6" w:rsidR="00131997" w:rsidP="00F80CB1" w:rsidRDefault="005907F5" w14:paraId="224CA474" w14:textId="77777777">
            <w:pPr>
              <w:pStyle w:val="TableParagraph"/>
              <w:tabs>
                <w:tab w:val="left" w:pos="2060"/>
              </w:tabs>
              <w:suppressAutoHyphens/>
              <w:spacing w:line="218" w:lineRule="exact"/>
              <w:ind w:left="101" w:right="543"/>
              <w:rPr>
                <w:rFonts w:cstheme="minorHAnsi"/>
                <w:sz w:val="16"/>
                <w:szCs w:val="16"/>
                <w:lang w:val="nl-NL"/>
              </w:rPr>
            </w:pPr>
            <w:r w:rsidRPr="00B442F6">
              <w:rPr>
                <w:rFonts w:cstheme="minorHAnsi"/>
                <w:sz w:val="16"/>
                <w:szCs w:val="16"/>
                <w:lang w:val="nl-NL"/>
              </w:rPr>
              <w:t>Aanvullend hierop wordt de inzet van het instrument Vergoeding in Onderzoek (ViO)</w:t>
            </w:r>
            <w:r>
              <w:rPr>
                <w:rStyle w:val="Voetnootmarkering"/>
                <w:rFonts w:cstheme="minorHAnsi"/>
                <w:sz w:val="16"/>
                <w:szCs w:val="16"/>
                <w:lang w:val="nl-NL"/>
              </w:rPr>
              <w:footnoteReference w:id="3"/>
            </w:r>
            <w:r w:rsidRPr="00B442F6">
              <w:rPr>
                <w:rFonts w:cstheme="minorHAnsi"/>
                <w:sz w:val="16"/>
                <w:szCs w:val="16"/>
                <w:lang w:val="nl-NL"/>
              </w:rPr>
              <w:t xml:space="preserve"> geïntensiveerd. Dit instrument maakt het mogelijk om bestaande zorg waarvan de effectiviteit onduidelijk is tijdelijk onder voorwaarde van onderzoek uit de Zvw te blijven vergoeden. Hiermee kan aanvullend worden gestuurd op de totstandkoming van onderzoek.</w:t>
            </w:r>
          </w:p>
          <w:p w:rsidRPr="00B442F6" w:rsidR="00131997" w:rsidP="00F80CB1" w:rsidRDefault="00131997" w14:paraId="714DBBBF" w14:textId="77777777">
            <w:pPr>
              <w:pStyle w:val="TableParagraph"/>
              <w:tabs>
                <w:tab w:val="left" w:pos="2060"/>
              </w:tabs>
              <w:suppressAutoHyphens/>
              <w:spacing w:line="218" w:lineRule="exact"/>
              <w:ind w:left="101" w:right="543"/>
              <w:rPr>
                <w:rFonts w:cstheme="minorHAnsi"/>
                <w:sz w:val="16"/>
                <w:szCs w:val="16"/>
                <w:lang w:val="nl-NL"/>
              </w:rPr>
            </w:pPr>
          </w:p>
        </w:tc>
      </w:tr>
      <w:tr w:rsidR="00D362F1" w:rsidTr="0067149E" w14:paraId="76C5F1FC" w14:textId="77777777">
        <w:trPr>
          <w:trHeight w:val="805"/>
        </w:trPr>
        <w:tc>
          <w:tcPr>
            <w:tcW w:w="2640" w:type="dxa"/>
            <w:tcBorders>
              <w:left w:val="nil"/>
            </w:tcBorders>
            <w:shd w:val="clear" w:color="auto" w:fill="7A7A7A"/>
          </w:tcPr>
          <w:p w:rsidRPr="00B442F6" w:rsidR="00131997" w:rsidP="00F80CB1" w:rsidRDefault="005907F5" w14:paraId="037A7979" w14:textId="77777777">
            <w:pPr>
              <w:pStyle w:val="TableParagraph"/>
              <w:tabs>
                <w:tab w:val="left" w:pos="2060"/>
              </w:tabs>
              <w:suppressAutoHyphens/>
              <w:spacing w:before="4" w:line="242" w:lineRule="auto"/>
              <w:ind w:left="103" w:right="506"/>
              <w:rPr>
                <w:rFonts w:cstheme="minorHAnsi"/>
                <w:b/>
                <w:sz w:val="16"/>
                <w:szCs w:val="16"/>
                <w:lang w:val="nl-NL"/>
              </w:rPr>
            </w:pPr>
            <w:r w:rsidRPr="00B442F6">
              <w:rPr>
                <w:rFonts w:cstheme="minorHAnsi"/>
                <w:b/>
                <w:color w:val="FFFFFF"/>
                <w:sz w:val="16"/>
                <w:szCs w:val="16"/>
                <w:lang w:val="nl-NL"/>
              </w:rPr>
              <w:t>Financiële gevolgen voor het Rijk</w:t>
            </w:r>
          </w:p>
        </w:tc>
        <w:tc>
          <w:tcPr>
            <w:tcW w:w="6330" w:type="dxa"/>
            <w:tcBorders>
              <w:right w:val="nil"/>
            </w:tcBorders>
            <w:shd w:val="clear" w:color="auto" w:fill="DBDBDB"/>
            <w:vAlign w:val="center"/>
          </w:tcPr>
          <w:p w:rsidRPr="00B442F6" w:rsidR="00131997" w:rsidP="00F80CB1" w:rsidRDefault="005907F5" w14:paraId="0C92CCC2" w14:textId="77777777">
            <w:pPr>
              <w:pStyle w:val="TableParagraph"/>
              <w:tabs>
                <w:tab w:val="left" w:pos="2060"/>
              </w:tabs>
              <w:suppressAutoHyphens/>
              <w:spacing w:before="3" w:line="218" w:lineRule="exact"/>
              <w:ind w:left="101" w:right="945"/>
              <w:rPr>
                <w:rFonts w:cstheme="minorHAnsi"/>
                <w:sz w:val="16"/>
                <w:szCs w:val="16"/>
                <w:lang w:val="nl-NL"/>
              </w:rPr>
            </w:pPr>
            <w:r w:rsidRPr="00B442F6">
              <w:rPr>
                <w:rFonts w:cstheme="minorHAnsi"/>
                <w:sz w:val="16"/>
                <w:szCs w:val="16"/>
                <w:lang w:val="nl-NL"/>
              </w:rPr>
              <w:t xml:space="preserve">Het vervolgprogramma KPPZ vraagt om incidentele middelen in 2029 t/m 2031 (2029: € 5 miljoen, 2030: € 10 miljoen, 2031: € 21 miljoen; totaal: € 36 miljoen). Deze middelen zijn opgenomen op de aanvullende post en zijn door het </w:t>
            </w:r>
            <w:r w:rsidR="00A64433">
              <w:rPr>
                <w:rFonts w:cstheme="minorHAnsi"/>
                <w:sz w:val="16"/>
                <w:szCs w:val="16"/>
                <w:lang w:val="nl-NL"/>
              </w:rPr>
              <w:t>k</w:t>
            </w:r>
            <w:r w:rsidRPr="00B442F6">
              <w:rPr>
                <w:rFonts w:cstheme="minorHAnsi"/>
                <w:sz w:val="16"/>
                <w:szCs w:val="16"/>
                <w:lang w:val="nl-NL"/>
              </w:rPr>
              <w:t>abinet</w:t>
            </w:r>
            <w:r w:rsidR="00A64433">
              <w:rPr>
                <w:rFonts w:cstheme="minorHAnsi"/>
                <w:sz w:val="16"/>
                <w:szCs w:val="16"/>
                <w:lang w:val="nl-NL"/>
              </w:rPr>
              <w:t>-</w:t>
            </w:r>
            <w:r w:rsidRPr="00B442F6">
              <w:rPr>
                <w:rFonts w:cstheme="minorHAnsi"/>
                <w:sz w:val="16"/>
                <w:szCs w:val="16"/>
                <w:lang w:val="nl-NL"/>
              </w:rPr>
              <w:t>Rutte IV beschikbaar gesteld voor (onderzoek naar) passende zorg.</w:t>
            </w:r>
          </w:p>
        </w:tc>
      </w:tr>
      <w:tr w:rsidR="00D362F1" w:rsidTr="0067149E" w14:paraId="58BEFBDD" w14:textId="77777777">
        <w:trPr>
          <w:trHeight w:val="891"/>
        </w:trPr>
        <w:tc>
          <w:tcPr>
            <w:tcW w:w="2640" w:type="dxa"/>
            <w:tcBorders>
              <w:left w:val="nil"/>
            </w:tcBorders>
            <w:shd w:val="clear" w:color="auto" w:fill="7A7A7A"/>
          </w:tcPr>
          <w:p w:rsidRPr="00B442F6" w:rsidR="00131997" w:rsidP="00F80CB1" w:rsidRDefault="005907F5" w14:paraId="22E143A4" w14:textId="77777777">
            <w:pPr>
              <w:pStyle w:val="TableParagraph"/>
              <w:tabs>
                <w:tab w:val="left" w:pos="2060"/>
              </w:tabs>
              <w:suppressAutoHyphens/>
              <w:spacing w:before="4"/>
              <w:ind w:left="103" w:right="92"/>
              <w:rPr>
                <w:rFonts w:cstheme="minorHAnsi"/>
                <w:b/>
                <w:sz w:val="16"/>
                <w:szCs w:val="16"/>
                <w:lang w:val="nl-NL"/>
              </w:rPr>
            </w:pPr>
            <w:r w:rsidRPr="00B442F6">
              <w:rPr>
                <w:rFonts w:cstheme="minorHAnsi"/>
                <w:b/>
                <w:color w:val="FFFFFF"/>
                <w:sz w:val="16"/>
                <w:szCs w:val="16"/>
                <w:lang w:val="nl-NL"/>
              </w:rPr>
              <w:lastRenderedPageBreak/>
              <w:t xml:space="preserve">Financiële gevolgen voor maatschappelijke sectoren </w:t>
            </w:r>
          </w:p>
        </w:tc>
        <w:tc>
          <w:tcPr>
            <w:tcW w:w="6330" w:type="dxa"/>
            <w:tcBorders>
              <w:right w:val="nil"/>
            </w:tcBorders>
            <w:shd w:val="clear" w:color="auto" w:fill="DBDBDB"/>
            <w:vAlign w:val="center"/>
          </w:tcPr>
          <w:p w:rsidR="00131997" w:rsidP="00F80CB1" w:rsidRDefault="005907F5" w14:paraId="36EC9E0E" w14:textId="77777777">
            <w:pPr>
              <w:pStyle w:val="TableParagraph"/>
              <w:tabs>
                <w:tab w:val="left" w:pos="2060"/>
              </w:tabs>
              <w:suppressAutoHyphens/>
              <w:spacing w:before="4" w:line="218" w:lineRule="exact"/>
              <w:ind w:left="101" w:right="166"/>
              <w:rPr>
                <w:rFonts w:cstheme="minorHAnsi"/>
                <w:sz w:val="16"/>
                <w:szCs w:val="16"/>
                <w:lang w:val="nl-NL"/>
              </w:rPr>
            </w:pPr>
            <w:r w:rsidRPr="00B442F6">
              <w:rPr>
                <w:rFonts w:cstheme="minorHAnsi"/>
                <w:sz w:val="16"/>
                <w:szCs w:val="16"/>
                <w:lang w:val="nl-NL"/>
              </w:rPr>
              <w:t xml:space="preserve">Het vervolgprogramma KPPZ levert naar verwachting een maatschappelijke kostenbesparing op. Een inschatting kan worden afgeleid uit de in 2024 </w:t>
            </w:r>
            <w:r w:rsidRPr="00B442F6">
              <w:rPr>
                <w:rFonts w:cstheme="minorHAnsi"/>
                <w:sz w:val="16"/>
                <w:szCs w:val="16"/>
                <w:lang w:val="nl-NL"/>
              </w:rPr>
              <w:t>uitgevoerde externe evaluatie van het programma DoelmatigheidsOnderzoek 2018-2023.</w:t>
            </w:r>
            <w:r>
              <w:rPr>
                <w:rStyle w:val="Voetnootmarkering"/>
                <w:rFonts w:cstheme="minorHAnsi"/>
                <w:sz w:val="16"/>
                <w:szCs w:val="16"/>
                <w:lang w:val="nl-NL"/>
              </w:rPr>
              <w:footnoteReference w:id="4"/>
            </w:r>
            <w:r w:rsidRPr="00B442F6">
              <w:rPr>
                <w:rFonts w:cstheme="minorHAnsi"/>
                <w:sz w:val="16"/>
                <w:szCs w:val="16"/>
                <w:lang w:val="nl-NL"/>
              </w:rPr>
              <w:t xml:space="preserve"> Hierin is berekend dat elke euro aan doelmatigheidsonderzoek 3 tot 9 euro kan besparen. Daarnaast geeft het rapport ‘Geschat Potentieel Effectieve Zorg’ van SiRM scenario’s voor impact op passende zorg vanuit onderzoek.</w:t>
            </w:r>
            <w:r w:rsidRPr="00B442F6">
              <w:rPr>
                <w:lang w:val="nl-NL"/>
              </w:rPr>
              <w:t xml:space="preserve"> </w:t>
            </w:r>
            <w:r w:rsidRPr="00B442F6">
              <w:rPr>
                <w:rFonts w:cstheme="minorHAnsi"/>
                <w:sz w:val="16"/>
                <w:szCs w:val="16"/>
                <w:lang w:val="nl-NL"/>
              </w:rPr>
              <w:t xml:space="preserve">Dit rapport was de financiële onderbouwing voor de ombuiging van </w:t>
            </w:r>
            <w:r w:rsidR="00A64433">
              <w:rPr>
                <w:rFonts w:cstheme="minorHAnsi"/>
                <w:sz w:val="16"/>
                <w:szCs w:val="16"/>
                <w:lang w:val="nl-NL"/>
              </w:rPr>
              <w:t>het kabinet-</w:t>
            </w:r>
            <w:r w:rsidRPr="00B442F6">
              <w:rPr>
                <w:rFonts w:cstheme="minorHAnsi"/>
                <w:sz w:val="16"/>
                <w:szCs w:val="16"/>
                <w:lang w:val="nl-NL"/>
              </w:rPr>
              <w:t>Rutte IV op Passende zorg.</w:t>
            </w:r>
          </w:p>
          <w:p w:rsidRPr="00B442F6" w:rsidR="00594197" w:rsidP="00F80CB1" w:rsidRDefault="00594197" w14:paraId="2E7850C2" w14:textId="77777777">
            <w:pPr>
              <w:pStyle w:val="TableParagraph"/>
              <w:tabs>
                <w:tab w:val="left" w:pos="2060"/>
              </w:tabs>
              <w:suppressAutoHyphens/>
              <w:spacing w:before="4" w:line="218" w:lineRule="exact"/>
              <w:ind w:left="101" w:right="166"/>
              <w:rPr>
                <w:rFonts w:cstheme="minorHAnsi"/>
                <w:sz w:val="16"/>
                <w:szCs w:val="16"/>
                <w:lang w:val="nl-NL"/>
              </w:rPr>
            </w:pPr>
          </w:p>
        </w:tc>
      </w:tr>
      <w:tr w:rsidR="00D362F1" w:rsidTr="0067149E" w14:paraId="0E9FD79E" w14:textId="77777777">
        <w:trPr>
          <w:trHeight w:val="955"/>
        </w:trPr>
        <w:tc>
          <w:tcPr>
            <w:tcW w:w="2640" w:type="dxa"/>
            <w:tcBorders>
              <w:left w:val="nil"/>
            </w:tcBorders>
            <w:shd w:val="clear" w:color="auto" w:fill="7A7A7A"/>
          </w:tcPr>
          <w:p w:rsidRPr="00B442F6" w:rsidR="00131997" w:rsidP="00F80CB1" w:rsidRDefault="005907F5" w14:paraId="31D141E0" w14:textId="77777777">
            <w:pPr>
              <w:pStyle w:val="TableParagraph"/>
              <w:tabs>
                <w:tab w:val="left" w:pos="2060"/>
              </w:tabs>
              <w:suppressAutoHyphens/>
              <w:spacing w:before="4"/>
              <w:ind w:left="103" w:right="829"/>
              <w:rPr>
                <w:rFonts w:cstheme="minorHAnsi"/>
                <w:b/>
                <w:sz w:val="16"/>
                <w:szCs w:val="16"/>
                <w:lang w:val="nl-NL"/>
              </w:rPr>
            </w:pPr>
            <w:r w:rsidRPr="00B442F6">
              <w:rPr>
                <w:rFonts w:cstheme="minorHAnsi"/>
                <w:b/>
                <w:color w:val="FFFFFF"/>
                <w:sz w:val="16"/>
                <w:szCs w:val="16"/>
                <w:lang w:val="nl-NL"/>
              </w:rPr>
              <w:t>Nagestreefde doeltreffendheid</w:t>
            </w:r>
          </w:p>
        </w:tc>
        <w:tc>
          <w:tcPr>
            <w:tcW w:w="6330" w:type="dxa"/>
            <w:tcBorders>
              <w:right w:val="nil"/>
            </w:tcBorders>
            <w:shd w:val="clear" w:color="auto" w:fill="DBDBDB"/>
            <w:vAlign w:val="center"/>
          </w:tcPr>
          <w:p w:rsidRPr="00B442F6" w:rsidR="00131997" w:rsidP="00F80CB1" w:rsidRDefault="005907F5" w14:paraId="43D8FA21" w14:textId="77777777">
            <w:pPr>
              <w:pStyle w:val="TableParagraph"/>
              <w:tabs>
                <w:tab w:val="left" w:pos="2060"/>
              </w:tabs>
              <w:suppressAutoHyphens/>
              <w:spacing w:before="4" w:line="218" w:lineRule="exact"/>
              <w:ind w:left="101" w:right="166"/>
              <w:rPr>
                <w:rFonts w:cstheme="minorHAnsi"/>
                <w:sz w:val="16"/>
                <w:szCs w:val="16"/>
                <w:lang w:val="nl-NL"/>
              </w:rPr>
            </w:pPr>
            <w:r w:rsidRPr="00B442F6">
              <w:rPr>
                <w:rFonts w:cstheme="minorHAnsi"/>
                <w:sz w:val="16"/>
                <w:szCs w:val="16"/>
                <w:lang w:val="nl-NL"/>
              </w:rPr>
              <w:t xml:space="preserve">Overheid en veldpartijen kunnen enkel onderbouwde keuzes maken in </w:t>
            </w:r>
            <w:r w:rsidRPr="00B442F6">
              <w:rPr>
                <w:rFonts w:cstheme="minorHAnsi"/>
                <w:sz w:val="16"/>
                <w:szCs w:val="16"/>
                <w:lang w:val="nl-NL"/>
              </w:rPr>
              <w:t>het pakketbeheer als zij hiervoor de benodigde kennis hebben. Het beoogde programma werkt via de cirkel van gepast gebruik, waarbij betrokken partijen gezamenlijk afspraken maken over de uitvoering van het onderzoek en de daadwerkelijke implementatie van de resultaten in de praktijk. Waar nodig kan met het instrument ViO worden gestuurd op de totstandkoming van het onderzoek.</w:t>
            </w:r>
          </w:p>
          <w:p w:rsidRPr="00B442F6" w:rsidR="00131997" w:rsidP="00F80CB1" w:rsidRDefault="00131997" w14:paraId="76008FF6" w14:textId="77777777">
            <w:pPr>
              <w:pStyle w:val="TableParagraph"/>
              <w:tabs>
                <w:tab w:val="left" w:pos="2060"/>
              </w:tabs>
              <w:suppressAutoHyphens/>
              <w:spacing w:before="4" w:line="218" w:lineRule="exact"/>
              <w:ind w:left="101" w:right="166"/>
              <w:rPr>
                <w:rFonts w:cstheme="minorHAnsi"/>
                <w:sz w:val="16"/>
                <w:szCs w:val="16"/>
                <w:lang w:val="nl-NL"/>
              </w:rPr>
            </w:pPr>
          </w:p>
        </w:tc>
      </w:tr>
      <w:tr w:rsidR="00D362F1" w:rsidTr="0067149E" w14:paraId="20C3D7EE" w14:textId="77777777">
        <w:trPr>
          <w:trHeight w:val="983"/>
        </w:trPr>
        <w:tc>
          <w:tcPr>
            <w:tcW w:w="2640" w:type="dxa"/>
            <w:tcBorders>
              <w:left w:val="nil"/>
            </w:tcBorders>
            <w:shd w:val="clear" w:color="auto" w:fill="7A7A7A"/>
          </w:tcPr>
          <w:p w:rsidRPr="00B442F6" w:rsidR="00131997" w:rsidP="00F80CB1" w:rsidRDefault="005907F5" w14:paraId="251F76A2" w14:textId="77777777">
            <w:pPr>
              <w:pStyle w:val="TableParagraph"/>
              <w:tabs>
                <w:tab w:val="left" w:pos="2060"/>
              </w:tabs>
              <w:suppressAutoHyphens/>
              <w:spacing w:before="4"/>
              <w:ind w:left="103" w:right="1066"/>
              <w:rPr>
                <w:rFonts w:cstheme="minorHAnsi"/>
                <w:b/>
                <w:sz w:val="16"/>
                <w:szCs w:val="16"/>
                <w:lang w:val="nl-NL"/>
              </w:rPr>
            </w:pPr>
            <w:r w:rsidRPr="00B442F6">
              <w:rPr>
                <w:rFonts w:cstheme="minorHAnsi"/>
                <w:b/>
                <w:color w:val="FFFFFF"/>
                <w:sz w:val="16"/>
                <w:szCs w:val="16"/>
                <w:lang w:val="nl-NL"/>
              </w:rPr>
              <w:t>Nagestreefde doelmatigheid</w:t>
            </w:r>
          </w:p>
        </w:tc>
        <w:tc>
          <w:tcPr>
            <w:tcW w:w="6330" w:type="dxa"/>
            <w:tcBorders>
              <w:right w:val="nil"/>
            </w:tcBorders>
            <w:shd w:val="clear" w:color="auto" w:fill="DBDBDB"/>
            <w:vAlign w:val="center"/>
          </w:tcPr>
          <w:p w:rsidRPr="00B442F6" w:rsidR="00131997" w:rsidP="00F80CB1" w:rsidRDefault="005907F5" w14:paraId="4316DB1A" w14:textId="77777777">
            <w:pPr>
              <w:pStyle w:val="TableParagraph"/>
              <w:tabs>
                <w:tab w:val="left" w:pos="2060"/>
              </w:tabs>
              <w:suppressAutoHyphens/>
              <w:spacing w:line="213" w:lineRule="exact"/>
              <w:ind w:left="101"/>
              <w:rPr>
                <w:rFonts w:cstheme="minorHAnsi"/>
                <w:sz w:val="16"/>
                <w:szCs w:val="16"/>
                <w:lang w:val="nl-NL"/>
              </w:rPr>
            </w:pPr>
            <w:r w:rsidRPr="00B442F6">
              <w:rPr>
                <w:rFonts w:cstheme="minorHAnsi"/>
                <w:sz w:val="16"/>
                <w:szCs w:val="16"/>
                <w:lang w:val="nl-NL"/>
              </w:rPr>
              <w:t xml:space="preserve">Om de rollen van veldpartijen in het pakketbeheer te versterken zijn verschillende afspraken gemaakt in het IZA en AZWA. Daarnaast is de rol van het Zorginstituut versterkt via de inzet op het </w:t>
            </w:r>
            <w:r w:rsidRPr="00B442F6">
              <w:rPr>
                <w:rFonts w:cstheme="minorHAnsi"/>
                <w:i/>
                <w:iCs/>
                <w:sz w:val="16"/>
                <w:szCs w:val="16"/>
                <w:lang w:val="nl-NL"/>
              </w:rPr>
              <w:t>Verbeteren en Verbreden van de Toets op het Basispakket</w:t>
            </w:r>
            <w:r w:rsidRPr="00B442F6">
              <w:rPr>
                <w:rFonts w:cstheme="minorHAnsi"/>
                <w:sz w:val="16"/>
                <w:szCs w:val="16"/>
                <w:lang w:val="nl-NL"/>
              </w:rPr>
              <w:t xml:space="preserve"> (VVTB). Om de versterkte rollen impact te laten hebben in de praktijk moet wetenschappelijk bewijs beschikbaar zijn – het intensiveren van onderzoek is hiervoor een doelmatig instrument. </w:t>
            </w:r>
          </w:p>
          <w:p w:rsidRPr="00B442F6" w:rsidR="00131997" w:rsidP="00F80CB1" w:rsidRDefault="00131997" w14:paraId="5EE03B67" w14:textId="77777777">
            <w:pPr>
              <w:pStyle w:val="TableParagraph"/>
              <w:tabs>
                <w:tab w:val="left" w:pos="2060"/>
              </w:tabs>
              <w:suppressAutoHyphens/>
              <w:spacing w:line="213" w:lineRule="exact"/>
              <w:ind w:left="101"/>
              <w:rPr>
                <w:rFonts w:cstheme="minorHAnsi"/>
                <w:sz w:val="16"/>
                <w:szCs w:val="16"/>
                <w:lang w:val="nl-NL"/>
              </w:rPr>
            </w:pPr>
          </w:p>
          <w:p w:rsidRPr="00B442F6" w:rsidR="00131997" w:rsidP="00F80CB1" w:rsidRDefault="005907F5" w14:paraId="5B53B8C8" w14:textId="77777777">
            <w:pPr>
              <w:pStyle w:val="TableParagraph"/>
              <w:tabs>
                <w:tab w:val="left" w:pos="2060"/>
              </w:tabs>
              <w:suppressAutoHyphens/>
              <w:spacing w:line="213" w:lineRule="exact"/>
              <w:ind w:left="101"/>
              <w:rPr>
                <w:rFonts w:cstheme="minorHAnsi"/>
                <w:sz w:val="16"/>
                <w:szCs w:val="16"/>
                <w:lang w:val="nl-NL"/>
              </w:rPr>
            </w:pPr>
            <w:r w:rsidRPr="00B442F6">
              <w:rPr>
                <w:rFonts w:cstheme="minorHAnsi"/>
                <w:sz w:val="16"/>
                <w:szCs w:val="16"/>
                <w:lang w:val="nl-NL"/>
              </w:rPr>
              <w:t>Het onderzoek binnen het vervolgprogramma KPPZ concurreert minimaal met onderzoek dat door (veld)partijen zelf wordt gefinancierd. Het onderzoeksbelang van markt-/veldpartijen ligt in het aantonen van de effectiviteit van nieuwe zorginnovaties. Het (vervolg) KPPZ richt zich juist op onderzoek naar de effectiviteit van het bestaande behandelaanbod, waar maatschappelijk gezien de meeste winst is te behalen.</w:t>
            </w:r>
          </w:p>
          <w:p w:rsidRPr="00B442F6" w:rsidR="00131997" w:rsidP="00F80CB1" w:rsidRDefault="00131997" w14:paraId="35E4ACBE" w14:textId="77777777">
            <w:pPr>
              <w:pStyle w:val="TableParagraph"/>
              <w:tabs>
                <w:tab w:val="left" w:pos="2060"/>
              </w:tabs>
              <w:suppressAutoHyphens/>
              <w:spacing w:line="213" w:lineRule="exact"/>
              <w:ind w:left="101"/>
              <w:rPr>
                <w:rFonts w:cstheme="minorHAnsi"/>
                <w:sz w:val="16"/>
                <w:szCs w:val="16"/>
                <w:lang w:val="nl-NL"/>
              </w:rPr>
            </w:pPr>
          </w:p>
        </w:tc>
      </w:tr>
      <w:tr w:rsidR="00D362F1" w:rsidTr="0067149E" w14:paraId="4C90E7C6" w14:textId="77777777">
        <w:trPr>
          <w:trHeight w:val="983"/>
        </w:trPr>
        <w:tc>
          <w:tcPr>
            <w:tcW w:w="2640" w:type="dxa"/>
            <w:tcBorders>
              <w:left w:val="nil"/>
            </w:tcBorders>
            <w:shd w:val="clear" w:color="auto" w:fill="7A7A7A"/>
          </w:tcPr>
          <w:p w:rsidRPr="00B442F6" w:rsidR="00131997" w:rsidP="00F80CB1" w:rsidRDefault="005907F5" w14:paraId="143F9650" w14:textId="77777777">
            <w:pPr>
              <w:pStyle w:val="TableParagraph"/>
              <w:tabs>
                <w:tab w:val="left" w:pos="2060"/>
              </w:tabs>
              <w:suppressAutoHyphens/>
              <w:spacing w:before="4"/>
              <w:ind w:left="103" w:right="1066"/>
              <w:rPr>
                <w:rFonts w:cstheme="minorHAnsi"/>
                <w:i/>
                <w:sz w:val="16"/>
                <w:szCs w:val="16"/>
                <w:lang w:val="nl-NL"/>
              </w:rPr>
            </w:pPr>
            <w:r w:rsidRPr="00B442F6">
              <w:rPr>
                <w:rFonts w:cstheme="minorHAnsi"/>
                <w:b/>
                <w:color w:val="FFFFFF"/>
                <w:sz w:val="16"/>
                <w:szCs w:val="16"/>
                <w:lang w:val="nl-NL"/>
              </w:rPr>
              <w:t>Evaluatieparagraaf</w:t>
            </w:r>
          </w:p>
        </w:tc>
        <w:tc>
          <w:tcPr>
            <w:tcW w:w="6330" w:type="dxa"/>
            <w:tcBorders>
              <w:right w:val="nil"/>
            </w:tcBorders>
            <w:shd w:val="clear" w:color="auto" w:fill="DBDBDB"/>
            <w:vAlign w:val="center"/>
          </w:tcPr>
          <w:p w:rsidRPr="00B442F6" w:rsidR="00131997" w:rsidP="00F80CB1" w:rsidRDefault="005907F5" w14:paraId="66762E29" w14:textId="77777777">
            <w:pPr>
              <w:pStyle w:val="TableParagraph"/>
              <w:tabs>
                <w:tab w:val="left" w:pos="2060"/>
              </w:tabs>
              <w:suppressAutoHyphens/>
              <w:spacing w:line="213" w:lineRule="exact"/>
              <w:ind w:left="101"/>
              <w:rPr>
                <w:rFonts w:cstheme="minorHAnsi"/>
                <w:sz w:val="16"/>
                <w:szCs w:val="16"/>
                <w:lang w:val="nl-NL"/>
              </w:rPr>
            </w:pPr>
            <w:r w:rsidRPr="00B442F6">
              <w:rPr>
                <w:rFonts w:cstheme="minorHAnsi"/>
                <w:sz w:val="16"/>
                <w:szCs w:val="16"/>
                <w:lang w:val="nl-NL"/>
              </w:rPr>
              <w:t xml:space="preserve">De evaluatie van het vervolgprogramma KPPZ gebeurt onder verantwoordelijkheid van ZonMw en wordt uitgevoerd door een externe partij. Monitoring van het </w:t>
            </w:r>
            <w:r w:rsidRPr="00B442F6">
              <w:rPr>
                <w:rFonts w:cstheme="minorHAnsi"/>
                <w:sz w:val="16"/>
                <w:szCs w:val="16"/>
                <w:lang w:val="nl-NL"/>
              </w:rPr>
              <w:t>programma vindt eens per kwartaal plaats via voortgangsrapportages van ZonMw. Daarnaast is eenmaal per jaar een formeel bijsturingsmoment, waarin VWS als opdrachtgever het programma inhoudelijk en financieel kan bijsturen.</w:t>
            </w:r>
          </w:p>
          <w:p w:rsidRPr="00B442F6" w:rsidR="00131997" w:rsidP="00F80CB1" w:rsidRDefault="00131997" w14:paraId="5ED5D673" w14:textId="77777777">
            <w:pPr>
              <w:pStyle w:val="TableParagraph"/>
              <w:tabs>
                <w:tab w:val="left" w:pos="2060"/>
              </w:tabs>
              <w:suppressAutoHyphens/>
              <w:spacing w:line="213" w:lineRule="exact"/>
              <w:ind w:left="101"/>
              <w:rPr>
                <w:rFonts w:cstheme="minorHAnsi"/>
                <w:sz w:val="16"/>
                <w:szCs w:val="16"/>
                <w:lang w:val="nl-NL"/>
              </w:rPr>
            </w:pPr>
          </w:p>
        </w:tc>
      </w:tr>
    </w:tbl>
    <w:p w:rsidR="00131997" w:rsidP="00F80CB1" w:rsidRDefault="00131997" w14:paraId="6E186347" w14:textId="77777777">
      <w:pPr>
        <w:pStyle w:val="Geenafstand"/>
        <w:suppressAutoHyphens/>
        <w:spacing w:line="276" w:lineRule="auto"/>
        <w:rPr>
          <w:rFonts w:ascii="Verdana" w:hAnsi="Verdana"/>
          <w:sz w:val="18"/>
          <w:szCs w:val="18"/>
        </w:rPr>
      </w:pPr>
    </w:p>
    <w:p w:rsidR="00594197" w:rsidP="00F80CB1" w:rsidRDefault="00594197" w14:paraId="38A59E85" w14:textId="77777777">
      <w:pPr>
        <w:widowControl/>
        <w:autoSpaceDN/>
        <w:spacing w:line="259" w:lineRule="auto"/>
        <w:textAlignment w:val="auto"/>
        <w:rPr>
          <w:b/>
          <w:bCs/>
        </w:rPr>
      </w:pPr>
    </w:p>
    <w:p w:rsidRPr="009A536F" w:rsidR="00131997" w:rsidP="00F80CB1" w:rsidRDefault="005907F5" w14:paraId="44BF1461" w14:textId="77777777">
      <w:pPr>
        <w:widowControl/>
        <w:autoSpaceDN/>
        <w:spacing w:line="259" w:lineRule="auto"/>
        <w:textAlignment w:val="auto"/>
        <w:rPr>
          <w:b/>
          <w:bCs/>
        </w:rPr>
      </w:pPr>
      <w:r w:rsidRPr="009A536F">
        <w:rPr>
          <w:b/>
          <w:bCs/>
        </w:rPr>
        <w:lastRenderedPageBreak/>
        <w:t>Stand van zaken huidige trajecten in Voorwaardelijke Toelating en Subsidieregeling veelbelovende zorg</w:t>
      </w:r>
    </w:p>
    <w:p w:rsidR="00131997" w:rsidP="00F80CB1" w:rsidRDefault="005907F5" w14:paraId="717DB2B0" w14:textId="77777777">
      <w:r w:rsidRPr="005C4559">
        <w:t>Jaarlijks informeer</w:t>
      </w:r>
      <w:r w:rsidR="003F160E">
        <w:t xml:space="preserve">t het kabinet </w:t>
      </w:r>
      <w:r>
        <w:t>de</w:t>
      </w:r>
      <w:r w:rsidRPr="005C4559">
        <w:t xml:space="preserve"> Kamer over de stand van zaken met betrekking tot de voorwaardelijke toelating (VT) en de Subsidieregeling veelbelovende zorg (VeZo). </w:t>
      </w:r>
      <w:r>
        <w:t>D</w:t>
      </w:r>
      <w:r w:rsidRPr="005C4559">
        <w:t>e voortgangsrapportage van VT en VeZo voor het kalenderjaar 2025</w:t>
      </w:r>
      <w:r>
        <w:t xml:space="preserve"> is als bijlage bij deze brief toegevoegd</w:t>
      </w:r>
      <w:r w:rsidRPr="005C4559">
        <w:t xml:space="preserve">. Het Zorginstituut beschrijft hierin de voortgang van de lopende VT-trajecten en de Subsidieregeling VeZo. </w:t>
      </w:r>
    </w:p>
    <w:p w:rsidR="00131997" w:rsidP="00F80CB1" w:rsidRDefault="00131997" w14:paraId="7E3D07E3" w14:textId="77777777"/>
    <w:p w:rsidRPr="005C4559" w:rsidR="00131997" w:rsidP="00F80CB1" w:rsidRDefault="005907F5" w14:paraId="06649CB5" w14:textId="77777777">
      <w:r w:rsidRPr="005C4559">
        <w:t>De resultaten van deze onderzoeken dragen bij aan de toegang tot potentieel veelbelovende en innovatieve zorg, en helpen tegelijkertijd niet-passende zorg te voorkomen.</w:t>
      </w:r>
      <w:r>
        <w:t xml:space="preserve"> Waar in voorgaande jaren de trajecten ook leidden tot opname van innovatie zorg in het pakket, hebben de trajecten die in 2025 afgerond zijn geleid tot negatieve standpunten. Het gaat vaak om dure en intensieve zorg. Het is extra belangrijk dat we weten dat zulke zorg écht werkt, zodat we patiënten en zorgmedewerkers niet onnodig belasten. Voor de nog lopende trajecten verwacht het Zorginstituut tot en met 2033 nog 28 standpunten of adviezen uit te brengen.</w:t>
      </w:r>
    </w:p>
    <w:p w:rsidRPr="005C4559" w:rsidR="00131997" w:rsidP="00F80CB1" w:rsidRDefault="00131997" w14:paraId="5CDC8E5D" w14:textId="77777777">
      <w:pPr>
        <w:ind w:left="708"/>
      </w:pPr>
    </w:p>
    <w:p w:rsidRPr="005C4559" w:rsidR="00131997" w:rsidP="00F80CB1" w:rsidRDefault="005907F5" w14:paraId="144E71FC" w14:textId="77777777">
      <w:pPr>
        <w:rPr>
          <w:b/>
          <w:bCs/>
        </w:rPr>
      </w:pPr>
      <w:r w:rsidRPr="005C4559">
        <w:rPr>
          <w:b/>
          <w:bCs/>
        </w:rPr>
        <w:t>Voortgang trajecten Voorwaardelijke Toelating</w:t>
      </w:r>
    </w:p>
    <w:p w:rsidRPr="005C4559" w:rsidR="00131997" w:rsidP="00F80CB1" w:rsidRDefault="005907F5" w14:paraId="20778F1D" w14:textId="77777777">
      <w:r w:rsidRPr="005C4559">
        <w:t>Per 1 januari 2012 is de VT geïntroduceerd om zorg die nog niet of niet meer bewezen effectief is toch tijdelijk toe te kunnen laten tot het basispakket. Als voorwaarde geldt dat in de periode van de tijdelijke toelating gegevens worden verzameld over de effectiviteit en de kosteneffectiviteit van de zorg. In de laatste zes maanden van de periode van tijdelijke toelating gebruikt het Zorginstituut die onderzoeksgegevens om vast te stellen of de vergoeding van de betreffende zorg uit het basispakket voortgez</w:t>
      </w:r>
      <w:r w:rsidRPr="005C4559">
        <w:t>et kan worden.</w:t>
      </w:r>
    </w:p>
    <w:p w:rsidR="00131997" w:rsidP="00F80CB1" w:rsidRDefault="00131997" w14:paraId="25BA18B7" w14:textId="77777777"/>
    <w:p w:rsidR="00131997" w:rsidP="00F80CB1" w:rsidRDefault="005907F5" w14:paraId="6F52DB66" w14:textId="77777777">
      <w:r w:rsidRPr="005C4559">
        <w:t>In 2025 liepen</w:t>
      </w:r>
      <w:r>
        <w:t xml:space="preserve"> er</w:t>
      </w:r>
      <w:r w:rsidRPr="005C4559">
        <w:t xml:space="preserve"> vijf VT-trajecten. </w:t>
      </w:r>
      <w:r>
        <w:t>Er zijn twee trajecten afgerond en de zorg is beoordeeld:</w:t>
      </w:r>
      <w:r w:rsidRPr="005C4559">
        <w:t xml:space="preserve"> </w:t>
      </w:r>
    </w:p>
    <w:p w:rsidRPr="005C4559" w:rsidR="00131997" w:rsidP="00F80CB1" w:rsidRDefault="005907F5" w14:paraId="58B7DDBA" w14:textId="77777777">
      <w:pPr>
        <w:pStyle w:val="Lijstalinea"/>
        <w:numPr>
          <w:ilvl w:val="0"/>
          <w:numId w:val="3"/>
        </w:numPr>
      </w:pPr>
      <w:r w:rsidRPr="005C4559">
        <w:t>Geïntensiveerde, alkylerende chemotherapie met stamceltransplantatie bij stadium III BRCA-1-like borstkanker</w:t>
      </w:r>
      <w:r w:rsidR="003D2201">
        <w:t>.</w:t>
      </w:r>
      <w:r w:rsidRPr="005C4559">
        <w:t xml:space="preserve"> </w:t>
      </w:r>
    </w:p>
    <w:p w:rsidRPr="005C4559" w:rsidR="00131997" w:rsidP="00F80CB1" w:rsidRDefault="005907F5" w14:paraId="20C20436" w14:textId="77777777">
      <w:pPr>
        <w:numPr>
          <w:ilvl w:val="0"/>
          <w:numId w:val="3"/>
        </w:numPr>
      </w:pPr>
      <w:r w:rsidRPr="005C4559">
        <w:t xml:space="preserve">Combinatiebehandeling van een maagoperatie met plaatselijke chemotherapie (HIPEC) bij patiënten met maagkanker met beperkte uitzaaiingen. </w:t>
      </w:r>
    </w:p>
    <w:p w:rsidR="00131997" w:rsidP="00F80CB1" w:rsidRDefault="005907F5" w14:paraId="4E2844B6" w14:textId="77777777">
      <w:r w:rsidRPr="005C4559">
        <w:t>Voor beide trajecten concludeerde het Zorginstituut dat de behandelingen niet voldoen aan het wettelijk criterium ‘de stand van de wetenschap en praktijk’.</w:t>
      </w:r>
      <w:r>
        <w:t xml:space="preserve"> Er is geen meerwaarde aangetoond tegenover de standaardbehandeling.</w:t>
      </w:r>
      <w:r w:rsidRPr="005C4559">
        <w:t xml:space="preserve"> De</w:t>
      </w:r>
      <w:r>
        <w:t xml:space="preserve"> </w:t>
      </w:r>
      <w:r w:rsidRPr="005C4559">
        <w:t>zorg is daarom niet ingestroomd in het basispakket.</w:t>
      </w:r>
    </w:p>
    <w:p w:rsidR="00131997" w:rsidP="00F80CB1" w:rsidRDefault="00131997" w14:paraId="79E0E3B0" w14:textId="77777777"/>
    <w:p w:rsidRPr="005C4559" w:rsidR="00131997" w:rsidP="00F80CB1" w:rsidRDefault="005907F5" w14:paraId="438BD484" w14:textId="77777777">
      <w:pPr>
        <w:rPr>
          <w:b/>
          <w:bCs/>
        </w:rPr>
      </w:pPr>
      <w:r w:rsidRPr="005C4559">
        <w:rPr>
          <w:b/>
          <w:bCs/>
        </w:rPr>
        <w:t>Voortgang</w:t>
      </w:r>
      <w:r>
        <w:rPr>
          <w:b/>
          <w:bCs/>
        </w:rPr>
        <w:t xml:space="preserve"> trajecten</w:t>
      </w:r>
      <w:r w:rsidRPr="005C4559">
        <w:rPr>
          <w:b/>
          <w:bCs/>
        </w:rPr>
        <w:t xml:space="preserve"> </w:t>
      </w:r>
      <w:r>
        <w:rPr>
          <w:b/>
          <w:bCs/>
        </w:rPr>
        <w:t>s</w:t>
      </w:r>
      <w:r w:rsidRPr="005C4559">
        <w:rPr>
          <w:b/>
          <w:bCs/>
        </w:rPr>
        <w:t>ubsidieregeling Ve</w:t>
      </w:r>
      <w:r>
        <w:rPr>
          <w:b/>
          <w:bCs/>
        </w:rPr>
        <w:t xml:space="preserve">elbelovende </w:t>
      </w:r>
      <w:r w:rsidRPr="005C4559">
        <w:rPr>
          <w:b/>
          <w:bCs/>
        </w:rPr>
        <w:t>Zo</w:t>
      </w:r>
      <w:r>
        <w:rPr>
          <w:b/>
          <w:bCs/>
        </w:rPr>
        <w:t>rg</w:t>
      </w:r>
    </w:p>
    <w:p w:rsidR="00131997" w:rsidP="00F80CB1" w:rsidRDefault="005907F5" w14:paraId="6664B646" w14:textId="77777777">
      <w:r w:rsidRPr="005C4559">
        <w:t>Met de Subsidieregeling VeZo was het mogelijk een tijdelijke financiering te krijgen voor behandelingen die veelbelovend lijken, maar nog niet uit het basispakket worden vergoed. Na afronding van een gesubsidieerd onderzoeksproject volgt een duiding van het Zorginstituut over opname van de behandeling in het basispakket. Bij een positief advies stroomt de zorg automatisch het pakket in.</w:t>
      </w:r>
    </w:p>
    <w:p w:rsidRPr="005C4559" w:rsidR="00131997" w:rsidP="00F80CB1" w:rsidRDefault="00131997" w14:paraId="40B191F7" w14:textId="77777777"/>
    <w:p w:rsidR="00131997" w:rsidP="00F80CB1" w:rsidRDefault="005907F5" w14:paraId="77399834" w14:textId="77777777">
      <w:r w:rsidRPr="005C4559">
        <w:t>Zoals eerder gemeld is de Subsidieregeling VeZo per 1 januari 2026 beëindigd</w:t>
      </w:r>
      <w:r>
        <w:t>.</w:t>
      </w:r>
      <w:r>
        <w:rPr>
          <w:rStyle w:val="Voetnootmarkering"/>
        </w:rPr>
        <w:footnoteReference w:id="5"/>
      </w:r>
      <w:r w:rsidRPr="005C4559">
        <w:t xml:space="preserve"> Lopende onderzoeken worden voortgezet en afgerond.</w:t>
      </w:r>
      <w:r>
        <w:t xml:space="preserve"> Daarnaast heeft de</w:t>
      </w:r>
      <w:r w:rsidRPr="005C4559">
        <w:t xml:space="preserve"> uitvoering van verschillende projecten vertraging opgelopen als gevolg van onder meer de COVID-19-pandemie. </w:t>
      </w:r>
      <w:r>
        <w:t>Daarom is</w:t>
      </w:r>
      <w:r w:rsidRPr="005C4559">
        <w:t xml:space="preserve"> de maximale looptijd van projecten </w:t>
      </w:r>
      <w:r>
        <w:t xml:space="preserve">in 2025 </w:t>
      </w:r>
      <w:r w:rsidRPr="005C4559">
        <w:t>verlengd van zeven naar tien jaar.</w:t>
      </w:r>
      <w:r>
        <w:rPr>
          <w:rStyle w:val="Voetnootmarkering"/>
        </w:rPr>
        <w:footnoteReference w:id="6"/>
      </w:r>
      <w:r w:rsidRPr="005C4559">
        <w:t xml:space="preserve"> </w:t>
      </w:r>
    </w:p>
    <w:p w:rsidRPr="005C4559" w:rsidR="00131997" w:rsidP="00F80CB1" w:rsidRDefault="005907F5" w14:paraId="7790FD2C" w14:textId="77777777">
      <w:r w:rsidRPr="005C4559">
        <w:lastRenderedPageBreak/>
        <w:t xml:space="preserve">In 2025 waren er 34 projecten in uitvoering. </w:t>
      </w:r>
      <w:r>
        <w:t>Er</w:t>
      </w:r>
      <w:r w:rsidRPr="005C4559">
        <w:t xml:space="preserve"> zijn in 2025 vijf nieuwe subsidies verleend:</w:t>
      </w:r>
    </w:p>
    <w:p w:rsidRPr="005C4559" w:rsidR="00131997" w:rsidP="00F80CB1" w:rsidRDefault="005907F5" w14:paraId="104D6B9C" w14:textId="77777777">
      <w:pPr>
        <w:pStyle w:val="Lijstalinea"/>
        <w:numPr>
          <w:ilvl w:val="0"/>
          <w:numId w:val="4"/>
        </w:numPr>
      </w:pPr>
      <w:r w:rsidRPr="005C4559">
        <w:t xml:space="preserve">Orgaansparende immuuntherapie bij patiënten met mondholtekanker; </w:t>
      </w:r>
    </w:p>
    <w:p w:rsidRPr="005C4559" w:rsidR="00131997" w:rsidP="00F80CB1" w:rsidRDefault="005907F5" w14:paraId="0526056F" w14:textId="77777777">
      <w:pPr>
        <w:pStyle w:val="Lijstalinea"/>
        <w:numPr>
          <w:ilvl w:val="0"/>
          <w:numId w:val="4"/>
        </w:numPr>
      </w:pPr>
      <w:r w:rsidRPr="005C4559">
        <w:t xml:space="preserve">CAR T-celtherapie voor patiënten met bepaalde auto-immuunziektes; </w:t>
      </w:r>
    </w:p>
    <w:p w:rsidRPr="005C4559" w:rsidR="00131997" w:rsidP="00F80CB1" w:rsidRDefault="005907F5" w14:paraId="1EAB2AEC" w14:textId="77777777">
      <w:pPr>
        <w:pStyle w:val="Lijstalinea"/>
        <w:numPr>
          <w:ilvl w:val="0"/>
          <w:numId w:val="4"/>
        </w:numPr>
      </w:pPr>
      <w:r>
        <w:t xml:space="preserve">Dendritische </w:t>
      </w:r>
      <w:r w:rsidRPr="005C4559">
        <w:t>cel</w:t>
      </w:r>
      <w:r>
        <w:t>-</w:t>
      </w:r>
      <w:r w:rsidRPr="005C4559">
        <w:t xml:space="preserve">vaccinatie voor het voorkomen van Lynch-syndroom-gerelateerde tumoren; </w:t>
      </w:r>
    </w:p>
    <w:p w:rsidRPr="005C4559" w:rsidR="00131997" w:rsidP="00F80CB1" w:rsidRDefault="005907F5" w14:paraId="279A7109" w14:textId="77777777">
      <w:pPr>
        <w:pStyle w:val="Lijstalinea"/>
        <w:numPr>
          <w:ilvl w:val="0"/>
          <w:numId w:val="4"/>
        </w:numPr>
      </w:pPr>
      <w:r w:rsidRPr="005C4559">
        <w:t xml:space="preserve">Autologe vettransplantatie voor borstreconstructie na borstverwijdering en bestraling vanwege borstkanker; </w:t>
      </w:r>
    </w:p>
    <w:p w:rsidR="00131997" w:rsidP="00F80CB1" w:rsidRDefault="005907F5" w14:paraId="6AEF1CD1" w14:textId="77777777">
      <w:pPr>
        <w:pStyle w:val="Lijstalinea"/>
        <w:numPr>
          <w:ilvl w:val="0"/>
          <w:numId w:val="4"/>
        </w:numPr>
      </w:pPr>
      <w:r w:rsidRPr="005C4559">
        <w:t xml:space="preserve">Gepersonaliseerde bacteriofagenbehandeling bij patiënten met </w:t>
      </w:r>
      <w:r>
        <w:t>terugkerende</w:t>
      </w:r>
      <w:r w:rsidRPr="005C4559">
        <w:t xml:space="preserve"> urineweginfecties. </w:t>
      </w:r>
    </w:p>
    <w:p w:rsidR="00131997" w:rsidP="00F80CB1" w:rsidRDefault="00131997" w14:paraId="723160C1" w14:textId="77777777"/>
    <w:p w:rsidR="00131997" w:rsidP="00F80CB1" w:rsidRDefault="005907F5" w14:paraId="6B59BC6E" w14:textId="77777777">
      <w:r>
        <w:t xml:space="preserve">De eerste duiding naar aanleiding van deze subsidieregeling is in 2025 gepubliceerd. </w:t>
      </w:r>
    </w:p>
    <w:p w:rsidRPr="005C4559" w:rsidR="00131997" w:rsidP="00F80CB1" w:rsidRDefault="005907F5" w14:paraId="6C9EAC96" w14:textId="77777777">
      <w:pPr>
        <w:pStyle w:val="Lijstalinea"/>
        <w:numPr>
          <w:ilvl w:val="0"/>
          <w:numId w:val="3"/>
        </w:numPr>
        <w:rPr>
          <w:i/>
          <w:iCs/>
        </w:rPr>
      </w:pPr>
      <w:r w:rsidRPr="005C4559">
        <w:rPr>
          <w:i/>
          <w:iCs/>
        </w:rPr>
        <w:t>Standpunt operatietechniek EBD voor ziekte van Ménière</w:t>
      </w:r>
    </w:p>
    <w:p w:rsidRPr="005C4559" w:rsidR="00131997" w:rsidP="00F80CB1" w:rsidRDefault="005907F5" w14:paraId="1E4FF499" w14:textId="77777777">
      <w:pPr>
        <w:pStyle w:val="Lijstalinea"/>
      </w:pPr>
      <w:r w:rsidRPr="00CD7BA6">
        <w:t xml:space="preserve">Naar aanleiding van het </w:t>
      </w:r>
      <w:r w:rsidR="00AB0333">
        <w:t>eindrapport</w:t>
      </w:r>
      <w:r w:rsidRPr="00CD7BA6">
        <w:t xml:space="preserve"> van dit </w:t>
      </w:r>
      <w:r>
        <w:t>t</w:t>
      </w:r>
      <w:r w:rsidRPr="00CD7BA6">
        <w:t xml:space="preserve">raject heeft het Zorginstituut op </w:t>
      </w:r>
      <w:r>
        <w:t>24 september</w:t>
      </w:r>
      <w:r w:rsidRPr="00CD7BA6">
        <w:t xml:space="preserve"> een uitspraak gedaan</w:t>
      </w:r>
      <w:r>
        <w:t xml:space="preserve">. </w:t>
      </w:r>
      <w:r w:rsidRPr="005C4559">
        <w:t xml:space="preserve">Het Zorginstituut concludeerde dat </w:t>
      </w:r>
      <w:r>
        <w:t>e</w:t>
      </w:r>
      <w:r w:rsidRPr="005C4559">
        <w:t xml:space="preserve">ndolymfatische ductus blokkade (EDB) </w:t>
      </w:r>
      <w:r>
        <w:t xml:space="preserve">als </w:t>
      </w:r>
      <w:r w:rsidRPr="005C4559">
        <w:t xml:space="preserve">operatietechniek voor de onderzochte patiëntengroep niet </w:t>
      </w:r>
      <w:r>
        <w:t>effectief</w:t>
      </w:r>
      <w:r w:rsidRPr="005C4559">
        <w:t xml:space="preserve"> is en daarom niet wordt opgenomen in het basispakket.</w:t>
      </w:r>
    </w:p>
    <w:p w:rsidR="00131997" w:rsidP="00F80CB1" w:rsidRDefault="00131997" w14:paraId="7C676007" w14:textId="77777777"/>
    <w:p w:rsidRPr="001A681C" w:rsidR="00131997" w:rsidP="00F80CB1" w:rsidRDefault="005907F5" w14:paraId="24DBF391" w14:textId="77777777">
      <w:r w:rsidRPr="005C4559">
        <w:t xml:space="preserve">In 2025 is in totaal € 46,1 miljoen aan nieuwe subsidies verleend. Dit was het laatste jaar waarin nieuwe subsidies konden worden toegekend, aangezien de subsidieregeling per 1 januari 2026 is beëindigd. </w:t>
      </w:r>
    </w:p>
    <w:p w:rsidR="00131997" w:rsidP="00F80CB1" w:rsidRDefault="00131997" w14:paraId="251BC171" w14:textId="77777777">
      <w:pPr>
        <w:pStyle w:val="Geenafstand"/>
        <w:suppressAutoHyphens/>
        <w:spacing w:line="276" w:lineRule="auto"/>
        <w:rPr>
          <w:rFonts w:ascii="Verdana" w:hAnsi="Verdana"/>
          <w:sz w:val="18"/>
          <w:szCs w:val="18"/>
        </w:rPr>
      </w:pPr>
    </w:p>
    <w:p w:rsidRPr="00131997" w:rsidR="00334C45" w:rsidP="00F80CB1" w:rsidRDefault="005907F5" w14:paraId="34D8D5A2" w14:textId="77777777">
      <w:pPr>
        <w:pStyle w:val="Geenafstand"/>
        <w:suppressAutoHyphens/>
        <w:spacing w:line="276" w:lineRule="auto"/>
        <w:rPr>
          <w:rFonts w:ascii="Verdana" w:hAnsi="Verdana"/>
          <w:sz w:val="18"/>
          <w:szCs w:val="18"/>
        </w:rPr>
      </w:pPr>
      <w:r>
        <w:rPr>
          <w:rFonts w:ascii="Verdana" w:hAnsi="Verdana"/>
          <w:sz w:val="18"/>
          <w:szCs w:val="18"/>
        </w:rPr>
        <w:t xml:space="preserve">Ik hoop u hiermee voldoende geïnformeerd te hebben. </w:t>
      </w:r>
    </w:p>
    <w:p w:rsidRPr="009A31BF" w:rsidR="00CD5856" w:rsidP="00F80CB1" w:rsidRDefault="005907F5" w14:paraId="7D88698F" w14:textId="77777777">
      <w:pPr>
        <w:pStyle w:val="Huisstijl-Slotzin"/>
      </w:pPr>
      <w:r>
        <w:t>Hoogachtend,</w:t>
      </w:r>
    </w:p>
    <w:p w:rsidR="00BC481F" w:rsidP="00F80CB1" w:rsidRDefault="00BC481F" w14:paraId="75469E9D" w14:textId="77777777">
      <w:pPr>
        <w:spacing w:line="240" w:lineRule="auto"/>
        <w:rPr>
          <w:noProof/>
        </w:rPr>
      </w:pPr>
    </w:p>
    <w:p w:rsidR="00A96C0E" w:rsidP="00F80CB1" w:rsidRDefault="005907F5" w14:paraId="313FDD0E" w14:textId="77777777">
      <w:pPr>
        <w:spacing w:line="240" w:lineRule="atLeast"/>
      </w:pPr>
      <w:r>
        <w:t xml:space="preserve">de minister van Volksgezondheid, </w:t>
      </w:r>
    </w:p>
    <w:p w:rsidR="00C62B6C" w:rsidP="00F80CB1" w:rsidRDefault="005907F5" w14:paraId="7A102AD7" w14:textId="77777777">
      <w:pPr>
        <w:spacing w:line="240" w:lineRule="atLeast"/>
        <w:rPr>
          <w:szCs w:val="18"/>
        </w:rPr>
      </w:pPr>
      <w:r>
        <w:t xml:space="preserve">Welzijn en Sport </w:t>
      </w:r>
      <w:r>
        <w:rPr>
          <w:szCs w:val="18"/>
        </w:rPr>
        <w:t>,</w:t>
      </w:r>
    </w:p>
    <w:p w:rsidRPr="007B6A41" w:rsidR="00C62B6C" w:rsidP="00F80CB1" w:rsidRDefault="00C62B6C" w14:paraId="59486241" w14:textId="77777777">
      <w:pPr>
        <w:spacing w:line="240" w:lineRule="atLeast"/>
        <w:rPr>
          <w:szCs w:val="18"/>
        </w:rPr>
      </w:pPr>
      <w:bookmarkStart w:name="bmkHandtekening" w:id="1"/>
    </w:p>
    <w:bookmarkEnd w:id="1"/>
    <w:p w:rsidR="00A96C0E" w:rsidP="00F80CB1" w:rsidRDefault="00A96C0E" w14:paraId="48EE4409" w14:textId="77777777">
      <w:pPr>
        <w:spacing w:line="240" w:lineRule="atLeast"/>
      </w:pPr>
    </w:p>
    <w:p w:rsidR="00A96C0E" w:rsidP="00F80CB1" w:rsidRDefault="00A96C0E" w14:paraId="77B4E0BD" w14:textId="77777777">
      <w:pPr>
        <w:spacing w:line="240" w:lineRule="atLeast"/>
      </w:pPr>
    </w:p>
    <w:p w:rsidRPr="007B6A41" w:rsidR="00C62B6C" w:rsidP="00F80CB1" w:rsidRDefault="005907F5" w14:paraId="711E99D5" w14:textId="77777777">
      <w:pPr>
        <w:spacing w:line="240" w:lineRule="atLeast"/>
        <w:rPr>
          <w:szCs w:val="18"/>
        </w:rPr>
      </w:pPr>
      <w:r>
        <w:cr/>
      </w:r>
      <w:r>
        <w:cr/>
      </w:r>
    </w:p>
    <w:p w:rsidRPr="007B6A41" w:rsidR="00C62B6C" w:rsidP="00F80CB1" w:rsidRDefault="005907F5" w14:paraId="3E00853A" w14:textId="77777777">
      <w:pPr>
        <w:spacing w:line="240" w:lineRule="atLeast"/>
        <w:rPr>
          <w:szCs w:val="18"/>
        </w:rPr>
      </w:pPr>
      <w:r>
        <w:t>Sophie Hermans</w:t>
      </w:r>
    </w:p>
    <w:p w:rsidR="00C95CA9" w:rsidP="00F80CB1" w:rsidRDefault="00C95CA9" w14:paraId="3503DDDC"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188F" w14:textId="77777777" w:rsidR="008C078E" w:rsidRDefault="008C078E">
      <w:pPr>
        <w:spacing w:line="240" w:lineRule="auto"/>
      </w:pPr>
      <w:r>
        <w:separator/>
      </w:r>
    </w:p>
  </w:endnote>
  <w:endnote w:type="continuationSeparator" w:id="0">
    <w:p w14:paraId="71AD4628" w14:textId="77777777" w:rsidR="008C078E" w:rsidRDefault="008C07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88C8" w14:textId="77777777" w:rsidR="00DC7639" w:rsidRDefault="005907F5">
    <w:pPr>
      <w:pStyle w:val="Voettekst"/>
    </w:pPr>
    <w:r>
      <w:rPr>
        <w:noProof/>
        <w:lang w:val="en-US" w:eastAsia="en-US" w:bidi="ar-SA"/>
      </w:rPr>
      <w:pict w14:anchorId="271E09FB">
        <v:shapetype id="_x0000_t202" coordsize="21600,21600" o:spt="202" path="m,l,21600r21600,l21600,xe">
          <v:stroke joinstyle="miter"/>
          <v:path gradientshapeok="t" o:connecttype="rect"/>
        </v:shapetype>
        <v:shape 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707A73AC" w14:textId="77777777" w:rsidR="00DC7639" w:rsidRDefault="005907F5"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8216" w14:textId="77777777" w:rsidR="008C078E" w:rsidRDefault="008C078E">
      <w:pPr>
        <w:spacing w:line="240" w:lineRule="auto"/>
      </w:pPr>
      <w:r>
        <w:separator/>
      </w:r>
    </w:p>
  </w:footnote>
  <w:footnote w:type="continuationSeparator" w:id="0">
    <w:p w14:paraId="28E9A6E4" w14:textId="77777777" w:rsidR="008C078E" w:rsidRDefault="008C078E">
      <w:pPr>
        <w:spacing w:line="240" w:lineRule="auto"/>
      </w:pPr>
      <w:r>
        <w:continuationSeparator/>
      </w:r>
    </w:p>
  </w:footnote>
  <w:footnote w:id="1">
    <w:p w14:paraId="462F6D39" w14:textId="77777777" w:rsidR="00A64433" w:rsidRPr="004F0F88" w:rsidRDefault="005907F5" w:rsidP="00A64433">
      <w:pPr>
        <w:pStyle w:val="Voetnoottekst"/>
        <w:rPr>
          <w:sz w:val="14"/>
          <w:szCs w:val="14"/>
        </w:rPr>
      </w:pPr>
      <w:r w:rsidRPr="004F0F88">
        <w:rPr>
          <w:rStyle w:val="Voetnootmarkering"/>
          <w:sz w:val="14"/>
          <w:szCs w:val="14"/>
        </w:rPr>
        <w:footnoteRef/>
      </w:r>
      <w:r w:rsidRPr="004F0F88">
        <w:rPr>
          <w:sz w:val="14"/>
          <w:szCs w:val="14"/>
        </w:rPr>
        <w:t xml:space="preserve"> Kamerstukken II 202</w:t>
      </w:r>
      <w:r>
        <w:rPr>
          <w:sz w:val="14"/>
          <w:szCs w:val="14"/>
        </w:rPr>
        <w:t>5</w:t>
      </w:r>
      <w:r w:rsidRPr="004F0F88">
        <w:rPr>
          <w:sz w:val="14"/>
          <w:szCs w:val="14"/>
        </w:rPr>
        <w:t>/2</w:t>
      </w:r>
      <w:r>
        <w:rPr>
          <w:sz w:val="14"/>
          <w:szCs w:val="14"/>
        </w:rPr>
        <w:t>6</w:t>
      </w:r>
      <w:r w:rsidRPr="004F0F88">
        <w:rPr>
          <w:sz w:val="14"/>
          <w:szCs w:val="14"/>
        </w:rPr>
        <w:t>, 36 800 XVI, nr. 191</w:t>
      </w:r>
    </w:p>
  </w:footnote>
  <w:footnote w:id="2">
    <w:p w14:paraId="247DFDEC" w14:textId="77777777" w:rsidR="00A64433" w:rsidRDefault="005907F5" w:rsidP="00A64433">
      <w:pPr>
        <w:pStyle w:val="Voetnoottekst"/>
      </w:pPr>
      <w:r w:rsidRPr="00524F3E">
        <w:rPr>
          <w:rStyle w:val="Voetnootmarkering"/>
          <w:sz w:val="14"/>
          <w:szCs w:val="14"/>
        </w:rPr>
        <w:footnoteRef/>
      </w:r>
      <w:r w:rsidRPr="00524F3E">
        <w:rPr>
          <w:sz w:val="14"/>
          <w:szCs w:val="14"/>
        </w:rPr>
        <w:t xml:space="preserve"> Kamerstukken II 2025/26, 29</w:t>
      </w:r>
      <w:r>
        <w:rPr>
          <w:sz w:val="14"/>
          <w:szCs w:val="14"/>
        </w:rPr>
        <w:t xml:space="preserve"> </w:t>
      </w:r>
      <w:r w:rsidRPr="00524F3E">
        <w:rPr>
          <w:sz w:val="14"/>
          <w:szCs w:val="14"/>
        </w:rPr>
        <w:t>477, nr. 975</w:t>
      </w:r>
    </w:p>
  </w:footnote>
  <w:footnote w:id="3">
    <w:p w14:paraId="108314E3" w14:textId="77777777" w:rsidR="00131997" w:rsidRPr="00740AAA" w:rsidRDefault="005907F5" w:rsidP="00131997">
      <w:pPr>
        <w:pStyle w:val="Voetnoottekst"/>
        <w:rPr>
          <w:sz w:val="14"/>
          <w:szCs w:val="14"/>
        </w:rPr>
      </w:pPr>
      <w:r w:rsidRPr="00740AAA">
        <w:rPr>
          <w:rStyle w:val="Voetnootmarkering"/>
          <w:sz w:val="14"/>
          <w:szCs w:val="14"/>
        </w:rPr>
        <w:footnoteRef/>
      </w:r>
      <w:r w:rsidRPr="00740AAA">
        <w:rPr>
          <w:sz w:val="14"/>
          <w:szCs w:val="14"/>
        </w:rPr>
        <w:t xml:space="preserve"> Kamerstukken II, 2025/26, 29 689 nr. 1322</w:t>
      </w:r>
    </w:p>
  </w:footnote>
  <w:footnote w:id="4">
    <w:p w14:paraId="0FC50D41" w14:textId="77777777" w:rsidR="00131997" w:rsidRPr="00740AAA" w:rsidRDefault="005907F5" w:rsidP="00131997">
      <w:pPr>
        <w:pStyle w:val="Voetnoottekst"/>
        <w:rPr>
          <w:sz w:val="14"/>
          <w:szCs w:val="14"/>
        </w:rPr>
      </w:pPr>
      <w:r w:rsidRPr="00740AAA">
        <w:rPr>
          <w:rStyle w:val="Voetnootmarkering"/>
          <w:sz w:val="14"/>
          <w:szCs w:val="14"/>
        </w:rPr>
        <w:footnoteRef/>
      </w:r>
      <w:r w:rsidRPr="00740AAA">
        <w:rPr>
          <w:sz w:val="14"/>
          <w:szCs w:val="14"/>
        </w:rPr>
        <w:t xml:space="preserve"> TwynstraGudde (2024), Externe evaluatie van het ZonMw-programma DoelmatigheidsOnderzoek 2018-2023</w:t>
      </w:r>
    </w:p>
  </w:footnote>
  <w:footnote w:id="5">
    <w:p w14:paraId="159A205A" w14:textId="77777777" w:rsidR="00131997" w:rsidRPr="005E73EB" w:rsidRDefault="005907F5" w:rsidP="00131997">
      <w:pPr>
        <w:pStyle w:val="Voetnoottekst"/>
        <w:rPr>
          <w:sz w:val="14"/>
          <w:szCs w:val="14"/>
        </w:rPr>
      </w:pPr>
      <w:r w:rsidRPr="005E73EB">
        <w:rPr>
          <w:rStyle w:val="Voetnootmarkering"/>
          <w:sz w:val="14"/>
          <w:szCs w:val="14"/>
        </w:rPr>
        <w:footnoteRef/>
      </w:r>
      <w:r w:rsidRPr="005E73EB">
        <w:rPr>
          <w:sz w:val="14"/>
          <w:szCs w:val="14"/>
        </w:rPr>
        <w:t xml:space="preserve"> Kamerstuk</w:t>
      </w:r>
      <w:r>
        <w:rPr>
          <w:sz w:val="14"/>
          <w:szCs w:val="14"/>
        </w:rPr>
        <w:t>ken II,</w:t>
      </w:r>
      <w:r w:rsidRPr="005E73EB">
        <w:rPr>
          <w:sz w:val="14"/>
          <w:szCs w:val="14"/>
        </w:rPr>
        <w:t xml:space="preserve"> </w:t>
      </w:r>
      <w:r>
        <w:rPr>
          <w:sz w:val="14"/>
          <w:szCs w:val="14"/>
        </w:rPr>
        <w:t xml:space="preserve">2024/25, </w:t>
      </w:r>
      <w:r w:rsidRPr="005E73EB">
        <w:rPr>
          <w:sz w:val="14"/>
          <w:szCs w:val="14"/>
        </w:rPr>
        <w:t>29 689, nr. 1294</w:t>
      </w:r>
    </w:p>
  </w:footnote>
  <w:footnote w:id="6">
    <w:p w14:paraId="54D7D6D7" w14:textId="77777777" w:rsidR="00131997" w:rsidRDefault="005907F5" w:rsidP="00131997">
      <w:pPr>
        <w:pStyle w:val="Voetnoottekst"/>
      </w:pPr>
      <w:r w:rsidRPr="005E73EB">
        <w:rPr>
          <w:rStyle w:val="Voetnootmarkering"/>
          <w:sz w:val="14"/>
          <w:szCs w:val="14"/>
        </w:rPr>
        <w:footnoteRef/>
      </w:r>
      <w:r w:rsidRPr="005E73EB">
        <w:rPr>
          <w:sz w:val="14"/>
          <w:szCs w:val="14"/>
        </w:rPr>
        <w:t xml:space="preserve"> </w:t>
      </w:r>
      <w:hyperlink r:id="rId1" w:history="1">
        <w:r w:rsidR="00131997" w:rsidRPr="005E73EB">
          <w:rPr>
            <w:rStyle w:val="Hyperlink"/>
            <w:sz w:val="14"/>
            <w:szCs w:val="14"/>
          </w:rPr>
          <w:t>Staatscourant 2025, 37233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41FB" w14:textId="77777777" w:rsidR="00CD5856" w:rsidRDefault="005907F5">
    <w:pPr>
      <w:pStyle w:val="Koptekst"/>
    </w:pPr>
    <w:r>
      <w:rPr>
        <w:lang w:eastAsia="nl-NL" w:bidi="ar-SA"/>
      </w:rPr>
      <w:pict w14:anchorId="21F5EB53">
        <v:shapetype id="_x0000_t202" coordsize="21600,21600" o:spt="202" path="m,l,21600r21600,l21600,xe">
          <v:stroke joinstyle="miter"/>
          <v:path gradientshapeok="t" o:connecttype="rect"/>
        </v:shapetype>
        <v:shape id="Text Box 29" o:spid="_x0000_s3073" type="#_x0000_t202" style="position:absolute;margin-left:79.65pt;margin-top:296.85pt;width:376.3pt;height:48.75pt;z-index:251657216;visibility:visible;mso-position-horizontal-relative:page;mso-position-vertical-relative:page;mso-width-relative:margin;mso-height-relative:margin" strokecolor="white">
          <v:textbox style="mso-fit-shape-to-text:t" inset="0,0,0,0">
            <w:txbxContent>
              <w:p w14:paraId="4B464BB0" w14:textId="3A71682F" w:rsidR="00CD5856" w:rsidRDefault="005907F5">
                <w:pPr>
                  <w:pStyle w:val="Huisstijl-Datumenbetreft"/>
                  <w:tabs>
                    <w:tab w:val="clear" w:pos="737"/>
                    <w:tab w:val="left" w:pos="-5954"/>
                    <w:tab w:val="left" w:pos="-5670"/>
                    <w:tab w:val="left" w:pos="1134"/>
                  </w:tabs>
                </w:pPr>
                <w:r>
                  <w:t>Datum</w:t>
                </w:r>
                <w:r w:rsidR="00E1490C">
                  <w:tab/>
                </w:r>
                <w:r w:rsidR="005935D2">
                  <w:t>1 juni 2026</w:t>
                </w:r>
              </w:p>
              <w:p w14:paraId="62D28EA7" w14:textId="77777777" w:rsidR="00CD5856" w:rsidRDefault="005907F5">
                <w:pPr>
                  <w:pStyle w:val="Huisstijl-Datumenbetreft"/>
                  <w:tabs>
                    <w:tab w:val="clear" w:pos="737"/>
                    <w:tab w:val="left" w:pos="-5954"/>
                    <w:tab w:val="left" w:pos="-5670"/>
                    <w:tab w:val="left" w:pos="1134"/>
                  </w:tabs>
                </w:pPr>
                <w:r>
                  <w:t>Betreft</w:t>
                </w:r>
                <w:r w:rsidR="00E1490C">
                  <w:tab/>
                </w:r>
                <w:r>
                  <w:t>Kamerbrief Voortgang van en beleidskeuze rondom</w:t>
                </w:r>
                <w:r>
                  <w:tab/>
                  <w:t>onderzoeksprogramma’s passende zorg</w:t>
                </w:r>
              </w:p>
              <w:p w14:paraId="42B79634" w14:textId="77777777" w:rsidR="00CD5856" w:rsidRDefault="00CD5856">
                <w:pPr>
                  <w:pStyle w:val="Huisstijl-Datumenbetreft"/>
                  <w:tabs>
                    <w:tab w:val="left" w:pos="-5954"/>
                    <w:tab w:val="left" w:pos="-5670"/>
                  </w:tabs>
                </w:pPr>
              </w:p>
            </w:txbxContent>
          </v:textbox>
          <w10:wrap anchorx="page" anchory="page"/>
        </v:shape>
      </w:pict>
    </w:r>
    <w:r w:rsidR="00A96C0E">
      <w:rPr>
        <w:noProof/>
        <w:lang w:eastAsia="nl-NL" w:bidi="ar-SA"/>
      </w:rPr>
      <w:drawing>
        <wp:anchor distT="0" distB="0" distL="114300" distR="114300" simplePos="0" relativeHeight="251652096" behindDoc="1" locked="0" layoutInCell="1" allowOverlap="1" wp14:anchorId="72518C37" wp14:editId="3D7D1B9B">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A96C0E">
      <w:rPr>
        <w:noProof/>
        <w:lang w:eastAsia="nl-NL" w:bidi="ar-SA"/>
      </w:rPr>
      <w:drawing>
        <wp:anchor distT="0" distB="0" distL="114300" distR="114300" simplePos="0" relativeHeight="251651072" behindDoc="0" locked="0" layoutInCell="1" allowOverlap="1" wp14:anchorId="0398EC71" wp14:editId="1CB36A7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2A073E27">
        <v:shape id="Text Box 30" o:spid="_x0000_s3074"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55B58AB2" w14:textId="77777777" w:rsidR="00CD5856" w:rsidRDefault="005907F5">
                <w:pPr>
                  <w:pStyle w:val="Huisstijl-AfzendgegevensW1"/>
                </w:pPr>
                <w:r>
                  <w:t>Bezoekadres</w:t>
                </w:r>
              </w:p>
              <w:p w14:paraId="3096A1E9" w14:textId="77777777" w:rsidR="00CD5856" w:rsidRDefault="005907F5">
                <w:pPr>
                  <w:pStyle w:val="Huisstijl-Afzendgegevens"/>
                </w:pPr>
                <w:r>
                  <w:t>Parnassusplein 5</w:t>
                </w:r>
              </w:p>
              <w:p w14:paraId="1DCE39EB" w14:textId="77777777" w:rsidR="00CD5856" w:rsidRDefault="005907F5">
                <w:pPr>
                  <w:pStyle w:val="Huisstijl-Afzendgegevens"/>
                </w:pPr>
                <w:r>
                  <w:t>2511</w:t>
                </w:r>
                <w:r w:rsidR="008D59C5" w:rsidRPr="008D59C5">
                  <w:t xml:space="preserve"> </w:t>
                </w:r>
                <w:r>
                  <w:t>VX</w:t>
                </w:r>
                <w:r w:rsidR="00E1490C">
                  <w:t xml:space="preserve">  </w:t>
                </w:r>
                <w:r w:rsidR="008D59C5" w:rsidRPr="008D59C5">
                  <w:t>Den Haag</w:t>
                </w:r>
              </w:p>
              <w:p w14:paraId="0B90B0C9" w14:textId="77777777" w:rsidR="00CD5856" w:rsidRDefault="005907F5">
                <w:pPr>
                  <w:pStyle w:val="Huisstijl-Afzendgegevens"/>
                </w:pPr>
                <w:r w:rsidRPr="008D59C5">
                  <w:t>www.rijksoverheid.nl</w:t>
                </w:r>
              </w:p>
              <w:p w14:paraId="48DABC47" w14:textId="77777777" w:rsidR="00CD5856" w:rsidRDefault="005907F5">
                <w:pPr>
                  <w:pStyle w:val="Huisstijl-ReferentiegegevenskopW2"/>
                </w:pPr>
                <w:r w:rsidRPr="008D59C5">
                  <w:t>Kenmerk</w:t>
                </w:r>
              </w:p>
              <w:p w14:paraId="0A75BE8C" w14:textId="77777777" w:rsidR="00CD5856" w:rsidRDefault="005907F5">
                <w:pPr>
                  <w:pStyle w:val="Huisstijl-Referentiegegevens"/>
                </w:pPr>
                <w:bookmarkStart w:id="0" w:name="_Hlk117784077"/>
                <w:r>
                  <w:t>4388137-1099018-Z</w:t>
                </w:r>
              </w:p>
              <w:bookmarkEnd w:id="0"/>
              <w:p w14:paraId="621BB0A9" w14:textId="77777777" w:rsidR="00CD5856" w:rsidRPr="002B504F" w:rsidRDefault="005907F5">
                <w:pPr>
                  <w:pStyle w:val="Huisstijl-ReferentiegegevenskopW1"/>
                </w:pPr>
                <w:r w:rsidRPr="008D59C5">
                  <w:t>Bijlage(n)</w:t>
                </w:r>
              </w:p>
              <w:p w14:paraId="5B553F40" w14:textId="77777777" w:rsidR="00131997" w:rsidRDefault="005907F5" w:rsidP="00131997">
                <w:pPr>
                  <w:pStyle w:val="Huisstijl-Referentiegegevens"/>
                  <w:numPr>
                    <w:ilvl w:val="0"/>
                    <w:numId w:val="2"/>
                  </w:numPr>
                </w:pPr>
                <w:r>
                  <w:t>V</w:t>
                </w:r>
                <w:r w:rsidRPr="008964E0">
                  <w:t>oortgangsrapportage</w:t>
                </w:r>
                <w:r>
                  <w:t xml:space="preserve"> 2025</w:t>
                </w:r>
                <w:r w:rsidRPr="008964E0">
                  <w:t xml:space="preserve"> VT en VeZo</w:t>
                </w:r>
              </w:p>
              <w:p w14:paraId="70685DC1" w14:textId="77777777" w:rsidR="00CD5856" w:rsidRDefault="00CD5856">
                <w:pPr>
                  <w:pStyle w:val="Huisstijl-Referentiegegevens"/>
                </w:pPr>
              </w:p>
              <w:p w14:paraId="6EE19757" w14:textId="77777777" w:rsidR="00CD5856" w:rsidRDefault="005907F5">
                <w:pPr>
                  <w:pStyle w:val="Huisstijl-Algemenevoorwaarden"/>
                </w:pPr>
                <w:r>
                  <w:t>Correspondentie uitsluitend richten aan het retouradres met vermelding van de datum en het kenmerk van deze brief.</w:t>
                </w:r>
              </w:p>
              <w:p w14:paraId="5F77E9E7" w14:textId="77777777" w:rsidR="00CD5856" w:rsidRDefault="00CD5856"/>
            </w:txbxContent>
          </v:textbox>
          <w10:wrap anchorx="page" anchory="page"/>
        </v:shape>
      </w:pict>
    </w:r>
    <w:r>
      <w:rPr>
        <w:lang w:eastAsia="nl-NL" w:bidi="ar-SA"/>
      </w:rPr>
      <w:pict w14:anchorId="72E8347C">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5B0C06D6" w14:textId="77777777" w:rsidR="00CD5856" w:rsidRDefault="00CD5856">
                <w:pPr>
                  <w:pStyle w:val="Huisstijl-Toezendgegevens"/>
                </w:pPr>
              </w:p>
            </w:txbxContent>
          </v:textbox>
          <w10:wrap anchorx="page" anchory="page"/>
        </v:shape>
      </w:pict>
    </w:r>
    <w:r>
      <w:rPr>
        <w:lang w:eastAsia="nl-NL" w:bidi="ar-SA"/>
      </w:rPr>
      <w:pict w14:anchorId="51325C7A">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7DAAE9FC" w14:textId="77777777" w:rsidR="00CD5856" w:rsidRDefault="005907F5">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14128FA9">
        <v:shape 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35E4DDF2" w14:textId="77777777" w:rsidR="00CD5856" w:rsidRDefault="005907F5">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FB84" w14:textId="77777777" w:rsidR="00CD5856" w:rsidRDefault="005907F5">
    <w:pPr>
      <w:pStyle w:val="Koptekst"/>
    </w:pPr>
    <w:r>
      <w:rPr>
        <w:lang w:eastAsia="nl-NL" w:bidi="ar-SA"/>
      </w:rPr>
      <w:pict w14:anchorId="4671B5E1">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3B08E900" w14:textId="77777777" w:rsidR="00CD5856" w:rsidRDefault="005907F5">
                <w:pPr>
                  <w:pStyle w:val="Huisstijl-ReferentiegegevenskopW2"/>
                </w:pPr>
                <w:r w:rsidRPr="008D59C5">
                  <w:t>Kenmerk</w:t>
                </w:r>
              </w:p>
              <w:p w14:paraId="5FDF87C1" w14:textId="77777777" w:rsidR="00C95CA9" w:rsidRPr="00C95CA9" w:rsidRDefault="005907F5" w:rsidP="00C95CA9">
                <w:pPr>
                  <w:pStyle w:val="Huisstijl-Referentiegegevens"/>
                </w:pPr>
                <w:r w:rsidRPr="00C95CA9">
                  <w:t>4388137-1099018-Z</w:t>
                </w:r>
              </w:p>
              <w:p w14:paraId="1D67E064" w14:textId="77777777" w:rsidR="00CD5856" w:rsidRDefault="00CD5856">
                <w:pPr>
                  <w:pStyle w:val="Huisstijl-Referentiegegevens"/>
                </w:pPr>
              </w:p>
            </w:txbxContent>
          </v:textbox>
          <w10:wrap anchorx="page" anchory="page"/>
        </v:shape>
      </w:pict>
    </w:r>
    <w:r>
      <w:rPr>
        <w:lang w:eastAsia="nl-NL" w:bidi="ar-SA"/>
      </w:rPr>
      <w:pict w14:anchorId="135B4E76">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7850F5ED" w14:textId="037455BC" w:rsidR="00CD5856" w:rsidRDefault="005907F5">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F160E">
                  <w:fldChar w:fldCharType="begin"/>
                </w:r>
                <w:r>
                  <w:instrText xml:space="preserve"> SECTIONPAGES  \* Arabic  \* MERGEFORMAT </w:instrText>
                </w:r>
                <w:r w:rsidR="003F160E">
                  <w:fldChar w:fldCharType="separate"/>
                </w:r>
                <w:r>
                  <w:rPr>
                    <w:noProof/>
                  </w:rPr>
                  <w:t>5</w:t>
                </w:r>
                <w:r w:rsidR="003F160E">
                  <w:rPr>
                    <w:noProof/>
                  </w:rPr>
                  <w:fldChar w:fldCharType="end"/>
                </w:r>
              </w:p>
              <w:p w14:paraId="54F77A22" w14:textId="77777777" w:rsidR="00CD5856" w:rsidRDefault="00CD5856"/>
              <w:p w14:paraId="35156011" w14:textId="77777777" w:rsidR="00CD5856" w:rsidRDefault="00CD5856">
                <w:pPr>
                  <w:pStyle w:val="Huisstijl-Paginanummer"/>
                </w:pPr>
              </w:p>
              <w:p w14:paraId="10132D5E"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2DCF" w14:textId="77777777" w:rsidR="00CD5856" w:rsidRDefault="005907F5">
    <w:pPr>
      <w:pStyle w:val="Koptekst"/>
    </w:pPr>
    <w:r>
      <w:rPr>
        <w:lang w:eastAsia="nl-NL" w:bidi="ar-SA"/>
      </w:rPr>
      <w:pict w14:anchorId="30DDB08D">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482563FC" w14:textId="77777777" w:rsidR="00CD5856" w:rsidRDefault="005907F5">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F80CB1">
                      <w:t>26 juni 2014</w:t>
                    </w:r>
                  </w:sdtContent>
                </w:sdt>
              </w:p>
              <w:p w14:paraId="5D79A6F7" w14:textId="77777777" w:rsidR="00CD5856" w:rsidRDefault="005907F5">
                <w:pPr>
                  <w:pStyle w:val="Huisstijl-Datumenbetreft"/>
                  <w:tabs>
                    <w:tab w:val="left" w:pos="-5954"/>
                    <w:tab w:val="left" w:pos="-5670"/>
                  </w:tabs>
                </w:pPr>
                <w:r>
                  <w:t>Betreft</w:t>
                </w:r>
                <w:r>
                  <w:tab/>
                </w:r>
                <w:r w:rsidR="008D59C5">
                  <w:t>BETREFT</w:t>
                </w:r>
              </w:p>
              <w:p w14:paraId="1F074B91"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43CAE717" wp14:editId="5A103D5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C0E003B" wp14:editId="002BB82C">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28451035">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49012BD2" w14:textId="77777777" w:rsidR="00CD5856" w:rsidRDefault="005907F5">
                <w:pPr>
                  <w:pStyle w:val="Huisstijl-Afzendgegevens"/>
                </w:pPr>
                <w:r w:rsidRPr="008D59C5">
                  <w:t>Rijnstraat 50</w:t>
                </w:r>
              </w:p>
              <w:p w14:paraId="4CFAEC08" w14:textId="77777777" w:rsidR="00CD5856" w:rsidRDefault="005907F5">
                <w:pPr>
                  <w:pStyle w:val="Huisstijl-Afzendgegevens"/>
                </w:pPr>
                <w:r w:rsidRPr="008D59C5">
                  <w:t xml:space="preserve">Den </w:t>
                </w:r>
                <w:r w:rsidRPr="008D59C5">
                  <w:t>Haag</w:t>
                </w:r>
              </w:p>
              <w:p w14:paraId="513DD974" w14:textId="77777777" w:rsidR="00CD5856" w:rsidRDefault="005907F5">
                <w:pPr>
                  <w:pStyle w:val="Huisstijl-Afzendgegevens"/>
                </w:pPr>
                <w:r w:rsidRPr="008D59C5">
                  <w:t>www.rijksoverheid.nl</w:t>
                </w:r>
              </w:p>
              <w:p w14:paraId="4CCC1C38" w14:textId="77777777" w:rsidR="00CD5856" w:rsidRDefault="005907F5">
                <w:pPr>
                  <w:pStyle w:val="Huisstijl-AfzendgegevenskopW1"/>
                </w:pPr>
                <w:r>
                  <w:t>Contactpersoon</w:t>
                </w:r>
              </w:p>
              <w:p w14:paraId="4D636B75" w14:textId="77777777" w:rsidR="00CD5856" w:rsidRDefault="005907F5">
                <w:pPr>
                  <w:pStyle w:val="Huisstijl-Afzendgegevens"/>
                </w:pPr>
                <w:r w:rsidRPr="008D59C5">
                  <w:t>ing. J.A. Ramlal</w:t>
                </w:r>
              </w:p>
              <w:p w14:paraId="7A1E3C8B" w14:textId="77777777" w:rsidR="00CD5856" w:rsidRDefault="005907F5">
                <w:pPr>
                  <w:pStyle w:val="Huisstijl-Afzendgegevens"/>
                </w:pPr>
                <w:r w:rsidRPr="008D59C5">
                  <w:t>ja.ramlal@minvws.nl</w:t>
                </w:r>
              </w:p>
              <w:p w14:paraId="7505A6EA" w14:textId="77777777" w:rsidR="00CD5856" w:rsidRDefault="005907F5">
                <w:pPr>
                  <w:pStyle w:val="Huisstijl-ReferentiegegevenskopW2"/>
                </w:pPr>
                <w:r>
                  <w:t>Ons kenmerk</w:t>
                </w:r>
              </w:p>
              <w:p w14:paraId="74E15A1D" w14:textId="77777777" w:rsidR="00CD5856" w:rsidRDefault="005907F5">
                <w:pPr>
                  <w:pStyle w:val="Huisstijl-Referentiegegevens"/>
                </w:pPr>
                <w:r>
                  <w:t>KENMERK</w:t>
                </w:r>
              </w:p>
              <w:p w14:paraId="044AF529" w14:textId="77777777" w:rsidR="00CD5856" w:rsidRDefault="005907F5">
                <w:pPr>
                  <w:pStyle w:val="Huisstijl-ReferentiegegevenskopW1"/>
                </w:pPr>
                <w:r>
                  <w:t>Uw kenmerk</w:t>
                </w:r>
              </w:p>
              <w:p w14:paraId="4AABEBA7" w14:textId="77777777" w:rsidR="00CD5856" w:rsidRDefault="005907F5">
                <w:pPr>
                  <w:pStyle w:val="Huisstijl-Referentiegegevens"/>
                </w:pPr>
                <w:r>
                  <w:t>UW BRIEF</w:t>
                </w:r>
              </w:p>
            </w:txbxContent>
          </v:textbox>
          <w10:wrap anchorx="page" anchory="page"/>
        </v:shape>
      </w:pict>
    </w:r>
    <w:r>
      <w:rPr>
        <w:lang w:eastAsia="nl-NL" w:bidi="ar-SA"/>
      </w:rPr>
      <w:pict w14:anchorId="7C8B78C6">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7A3B48C8" w14:textId="77777777" w:rsidR="00CD5856" w:rsidRDefault="005907F5">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0DA54303">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4FC3444A" w14:textId="77777777" w:rsidR="00CD5856" w:rsidRDefault="005907F5">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18087FF7">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095A9837" w14:textId="77777777" w:rsidR="00CD5856" w:rsidRDefault="00CD5856">
                <w:pPr>
                  <w:pStyle w:val="Huisstijl-Toezendgegevens"/>
                </w:pPr>
              </w:p>
            </w:txbxContent>
          </v:textbox>
          <w10:wrap anchorx="page" anchory="page"/>
        </v:shape>
      </w:pict>
    </w:r>
    <w:r>
      <w:rPr>
        <w:lang w:eastAsia="nl-NL" w:bidi="ar-SA"/>
      </w:rPr>
      <w:pict w14:anchorId="1921F136">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2F18A7D8" w14:textId="77777777" w:rsidR="00CD5856" w:rsidRDefault="005907F5">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65A"/>
    <w:multiLevelType w:val="hybridMultilevel"/>
    <w:tmpl w:val="AF6E8B36"/>
    <w:lvl w:ilvl="0" w:tplc="ED36C120">
      <w:start w:val="1"/>
      <w:numFmt w:val="decimal"/>
      <w:lvlText w:val="%1."/>
      <w:lvlJc w:val="left"/>
      <w:pPr>
        <w:ind w:left="360" w:hanging="360"/>
      </w:pPr>
    </w:lvl>
    <w:lvl w:ilvl="1" w:tplc="8A12729C" w:tentative="1">
      <w:start w:val="1"/>
      <w:numFmt w:val="lowerLetter"/>
      <w:lvlText w:val="%2."/>
      <w:lvlJc w:val="left"/>
      <w:pPr>
        <w:ind w:left="1080" w:hanging="360"/>
      </w:pPr>
    </w:lvl>
    <w:lvl w:ilvl="2" w:tplc="2EAC0B8C" w:tentative="1">
      <w:start w:val="1"/>
      <w:numFmt w:val="lowerRoman"/>
      <w:lvlText w:val="%3."/>
      <w:lvlJc w:val="right"/>
      <w:pPr>
        <w:ind w:left="1800" w:hanging="180"/>
      </w:pPr>
    </w:lvl>
    <w:lvl w:ilvl="3" w:tplc="60FE4AE8" w:tentative="1">
      <w:start w:val="1"/>
      <w:numFmt w:val="decimal"/>
      <w:lvlText w:val="%4."/>
      <w:lvlJc w:val="left"/>
      <w:pPr>
        <w:ind w:left="2520" w:hanging="360"/>
      </w:pPr>
    </w:lvl>
    <w:lvl w:ilvl="4" w:tplc="FE78FB66" w:tentative="1">
      <w:start w:val="1"/>
      <w:numFmt w:val="lowerLetter"/>
      <w:lvlText w:val="%5."/>
      <w:lvlJc w:val="left"/>
      <w:pPr>
        <w:ind w:left="3240" w:hanging="360"/>
      </w:pPr>
    </w:lvl>
    <w:lvl w:ilvl="5" w:tplc="3E92E2F4" w:tentative="1">
      <w:start w:val="1"/>
      <w:numFmt w:val="lowerRoman"/>
      <w:lvlText w:val="%6."/>
      <w:lvlJc w:val="right"/>
      <w:pPr>
        <w:ind w:left="3960" w:hanging="180"/>
      </w:pPr>
    </w:lvl>
    <w:lvl w:ilvl="6" w:tplc="554A541A" w:tentative="1">
      <w:start w:val="1"/>
      <w:numFmt w:val="decimal"/>
      <w:lvlText w:val="%7."/>
      <w:lvlJc w:val="left"/>
      <w:pPr>
        <w:ind w:left="4680" w:hanging="360"/>
      </w:pPr>
    </w:lvl>
    <w:lvl w:ilvl="7" w:tplc="EAF091EC" w:tentative="1">
      <w:start w:val="1"/>
      <w:numFmt w:val="lowerLetter"/>
      <w:lvlText w:val="%8."/>
      <w:lvlJc w:val="left"/>
      <w:pPr>
        <w:ind w:left="5400" w:hanging="360"/>
      </w:pPr>
    </w:lvl>
    <w:lvl w:ilvl="8" w:tplc="73CA9132" w:tentative="1">
      <w:start w:val="1"/>
      <w:numFmt w:val="lowerRoman"/>
      <w:lvlText w:val="%9."/>
      <w:lvlJc w:val="right"/>
      <w:pPr>
        <w:ind w:left="6120" w:hanging="180"/>
      </w:pPr>
    </w:lvl>
  </w:abstractNum>
  <w:abstractNum w:abstractNumId="1" w15:restartNumberingAfterBreak="0">
    <w:nsid w:val="0CBC4041"/>
    <w:multiLevelType w:val="multilevel"/>
    <w:tmpl w:val="90241FA0"/>
    <w:lvl w:ilvl="0">
      <w:numFmt w:val="bullet"/>
      <w:lvlText w:val="-"/>
      <w:lvlJc w:val="left"/>
      <w:pPr>
        <w:tabs>
          <w:tab w:val="num" w:pos="720"/>
        </w:tabs>
        <w:ind w:left="720" w:hanging="360"/>
      </w:pPr>
      <w:rPr>
        <w:rFonts w:ascii="Verdana" w:eastAsiaTheme="minorHAnsi" w:hAnsi="Verdana"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8A576F"/>
    <w:multiLevelType w:val="hybridMultilevel"/>
    <w:tmpl w:val="DB8AF5D4"/>
    <w:lvl w:ilvl="0" w:tplc="1B260554">
      <w:numFmt w:val="bullet"/>
      <w:lvlText w:val=""/>
      <w:lvlJc w:val="left"/>
      <w:pPr>
        <w:ind w:left="720" w:hanging="360"/>
      </w:pPr>
      <w:rPr>
        <w:rFonts w:ascii="Wingdings" w:eastAsia="DejaVu Sans" w:hAnsi="Wingdings" w:cs="Lohit Hindi" w:hint="default"/>
      </w:rPr>
    </w:lvl>
    <w:lvl w:ilvl="1" w:tplc="A9D6E9FA" w:tentative="1">
      <w:start w:val="1"/>
      <w:numFmt w:val="bullet"/>
      <w:lvlText w:val="o"/>
      <w:lvlJc w:val="left"/>
      <w:pPr>
        <w:ind w:left="1440" w:hanging="360"/>
      </w:pPr>
      <w:rPr>
        <w:rFonts w:ascii="Courier New" w:hAnsi="Courier New" w:cs="Courier New" w:hint="default"/>
      </w:rPr>
    </w:lvl>
    <w:lvl w:ilvl="2" w:tplc="BDC6E06C" w:tentative="1">
      <w:start w:val="1"/>
      <w:numFmt w:val="bullet"/>
      <w:lvlText w:val=""/>
      <w:lvlJc w:val="left"/>
      <w:pPr>
        <w:ind w:left="2160" w:hanging="360"/>
      </w:pPr>
      <w:rPr>
        <w:rFonts w:ascii="Wingdings" w:hAnsi="Wingdings" w:hint="default"/>
      </w:rPr>
    </w:lvl>
    <w:lvl w:ilvl="3" w:tplc="2B20D5FA" w:tentative="1">
      <w:start w:val="1"/>
      <w:numFmt w:val="bullet"/>
      <w:lvlText w:val=""/>
      <w:lvlJc w:val="left"/>
      <w:pPr>
        <w:ind w:left="2880" w:hanging="360"/>
      </w:pPr>
      <w:rPr>
        <w:rFonts w:ascii="Symbol" w:hAnsi="Symbol" w:hint="default"/>
      </w:rPr>
    </w:lvl>
    <w:lvl w:ilvl="4" w:tplc="84A4E87E" w:tentative="1">
      <w:start w:val="1"/>
      <w:numFmt w:val="bullet"/>
      <w:lvlText w:val="o"/>
      <w:lvlJc w:val="left"/>
      <w:pPr>
        <w:ind w:left="3600" w:hanging="360"/>
      </w:pPr>
      <w:rPr>
        <w:rFonts w:ascii="Courier New" w:hAnsi="Courier New" w:cs="Courier New" w:hint="default"/>
      </w:rPr>
    </w:lvl>
    <w:lvl w:ilvl="5" w:tplc="B07615D8" w:tentative="1">
      <w:start w:val="1"/>
      <w:numFmt w:val="bullet"/>
      <w:lvlText w:val=""/>
      <w:lvlJc w:val="left"/>
      <w:pPr>
        <w:ind w:left="4320" w:hanging="360"/>
      </w:pPr>
      <w:rPr>
        <w:rFonts w:ascii="Wingdings" w:hAnsi="Wingdings" w:hint="default"/>
      </w:rPr>
    </w:lvl>
    <w:lvl w:ilvl="6" w:tplc="66763404" w:tentative="1">
      <w:start w:val="1"/>
      <w:numFmt w:val="bullet"/>
      <w:lvlText w:val=""/>
      <w:lvlJc w:val="left"/>
      <w:pPr>
        <w:ind w:left="5040" w:hanging="360"/>
      </w:pPr>
      <w:rPr>
        <w:rFonts w:ascii="Symbol" w:hAnsi="Symbol" w:hint="default"/>
      </w:rPr>
    </w:lvl>
    <w:lvl w:ilvl="7" w:tplc="D9981512" w:tentative="1">
      <w:start w:val="1"/>
      <w:numFmt w:val="bullet"/>
      <w:lvlText w:val="o"/>
      <w:lvlJc w:val="left"/>
      <w:pPr>
        <w:ind w:left="5760" w:hanging="360"/>
      </w:pPr>
      <w:rPr>
        <w:rFonts w:ascii="Courier New" w:hAnsi="Courier New" w:cs="Courier New" w:hint="default"/>
      </w:rPr>
    </w:lvl>
    <w:lvl w:ilvl="8" w:tplc="B8D2DE70" w:tentative="1">
      <w:start w:val="1"/>
      <w:numFmt w:val="bullet"/>
      <w:lvlText w:val=""/>
      <w:lvlJc w:val="left"/>
      <w:pPr>
        <w:ind w:left="6480" w:hanging="360"/>
      </w:pPr>
      <w:rPr>
        <w:rFonts w:ascii="Wingdings" w:hAnsi="Wingdings" w:hint="default"/>
      </w:rPr>
    </w:lvl>
  </w:abstractNum>
  <w:abstractNum w:abstractNumId="3" w15:restartNumberingAfterBreak="0">
    <w:nsid w:val="64BC399C"/>
    <w:multiLevelType w:val="multilevel"/>
    <w:tmpl w:val="90241FA0"/>
    <w:lvl w:ilvl="0">
      <w:numFmt w:val="bullet"/>
      <w:lvlText w:val="-"/>
      <w:lvlJc w:val="left"/>
      <w:pPr>
        <w:tabs>
          <w:tab w:val="num" w:pos="720"/>
        </w:tabs>
        <w:ind w:left="720" w:hanging="360"/>
      </w:pPr>
      <w:rPr>
        <w:rFonts w:ascii="Verdana" w:eastAsiaTheme="minorHAnsi" w:hAnsi="Verdana"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404756">
    <w:abstractNumId w:val="2"/>
  </w:num>
  <w:num w:numId="2" w16cid:durableId="348147643">
    <w:abstractNumId w:val="0"/>
  </w:num>
  <w:num w:numId="3" w16cid:durableId="1616058541">
    <w:abstractNumId w:val="3"/>
  </w:num>
  <w:num w:numId="4" w16cid:durableId="2076778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B2459"/>
    <w:rsid w:val="00034261"/>
    <w:rsid w:val="000344CB"/>
    <w:rsid w:val="00050D5B"/>
    <w:rsid w:val="0005678F"/>
    <w:rsid w:val="000B1832"/>
    <w:rsid w:val="000B45B1"/>
    <w:rsid w:val="000C0AD5"/>
    <w:rsid w:val="000C29E1"/>
    <w:rsid w:val="000D0CCB"/>
    <w:rsid w:val="000D6D8A"/>
    <w:rsid w:val="000E2F12"/>
    <w:rsid w:val="000E54B6"/>
    <w:rsid w:val="00113778"/>
    <w:rsid w:val="00123F7E"/>
    <w:rsid w:val="00125BDF"/>
    <w:rsid w:val="00131997"/>
    <w:rsid w:val="00146BF3"/>
    <w:rsid w:val="001475A0"/>
    <w:rsid w:val="00172CD9"/>
    <w:rsid w:val="001A0F43"/>
    <w:rsid w:val="001A681C"/>
    <w:rsid w:val="001B41E1"/>
    <w:rsid w:val="001B7303"/>
    <w:rsid w:val="00215CB5"/>
    <w:rsid w:val="00235AED"/>
    <w:rsid w:val="00241BB9"/>
    <w:rsid w:val="00297795"/>
    <w:rsid w:val="002B1D9F"/>
    <w:rsid w:val="002B504F"/>
    <w:rsid w:val="002E3403"/>
    <w:rsid w:val="002E6AE7"/>
    <w:rsid w:val="002F4886"/>
    <w:rsid w:val="0031554E"/>
    <w:rsid w:val="00325881"/>
    <w:rsid w:val="00334C45"/>
    <w:rsid w:val="003451E2"/>
    <w:rsid w:val="00347F1B"/>
    <w:rsid w:val="00374836"/>
    <w:rsid w:val="00384691"/>
    <w:rsid w:val="003B287C"/>
    <w:rsid w:val="003B48D4"/>
    <w:rsid w:val="003C472B"/>
    <w:rsid w:val="003C6ED5"/>
    <w:rsid w:val="003C700C"/>
    <w:rsid w:val="003C7185"/>
    <w:rsid w:val="003D2201"/>
    <w:rsid w:val="003D27F8"/>
    <w:rsid w:val="003F160E"/>
    <w:rsid w:val="003F3A47"/>
    <w:rsid w:val="0043480A"/>
    <w:rsid w:val="00437B5F"/>
    <w:rsid w:val="004509BE"/>
    <w:rsid w:val="0045486D"/>
    <w:rsid w:val="00463DBC"/>
    <w:rsid w:val="004934A8"/>
    <w:rsid w:val="004F0B09"/>
    <w:rsid w:val="004F0F88"/>
    <w:rsid w:val="00510282"/>
    <w:rsid w:val="00516D6A"/>
    <w:rsid w:val="00522D59"/>
    <w:rsid w:val="00523C02"/>
    <w:rsid w:val="00524F3E"/>
    <w:rsid w:val="00544135"/>
    <w:rsid w:val="005600D7"/>
    <w:rsid w:val="005677D6"/>
    <w:rsid w:val="00582E97"/>
    <w:rsid w:val="00587714"/>
    <w:rsid w:val="005907F5"/>
    <w:rsid w:val="005935D2"/>
    <w:rsid w:val="00594197"/>
    <w:rsid w:val="005C3CD4"/>
    <w:rsid w:val="005C4559"/>
    <w:rsid w:val="005D327A"/>
    <w:rsid w:val="005E73EB"/>
    <w:rsid w:val="006279A2"/>
    <w:rsid w:val="0063555A"/>
    <w:rsid w:val="0067149E"/>
    <w:rsid w:val="00686885"/>
    <w:rsid w:val="006922AC"/>
    <w:rsid w:val="00697032"/>
    <w:rsid w:val="006A5DE3"/>
    <w:rsid w:val="006B16C1"/>
    <w:rsid w:val="00723435"/>
    <w:rsid w:val="00740AAA"/>
    <w:rsid w:val="0074764C"/>
    <w:rsid w:val="00763286"/>
    <w:rsid w:val="00763E81"/>
    <w:rsid w:val="00776965"/>
    <w:rsid w:val="007871FE"/>
    <w:rsid w:val="007A4F37"/>
    <w:rsid w:val="007A5B81"/>
    <w:rsid w:val="007B028B"/>
    <w:rsid w:val="007B6A41"/>
    <w:rsid w:val="007D08DD"/>
    <w:rsid w:val="007D0F21"/>
    <w:rsid w:val="007D23C6"/>
    <w:rsid w:val="007E36BA"/>
    <w:rsid w:val="007F380D"/>
    <w:rsid w:val="007F4A98"/>
    <w:rsid w:val="00861473"/>
    <w:rsid w:val="0087691C"/>
    <w:rsid w:val="00893C24"/>
    <w:rsid w:val="008964E0"/>
    <w:rsid w:val="008A21F4"/>
    <w:rsid w:val="008C078E"/>
    <w:rsid w:val="008C0994"/>
    <w:rsid w:val="008C7690"/>
    <w:rsid w:val="008D59C5"/>
    <w:rsid w:val="008D618A"/>
    <w:rsid w:val="008E210E"/>
    <w:rsid w:val="008E4B89"/>
    <w:rsid w:val="008F33AD"/>
    <w:rsid w:val="00960E2B"/>
    <w:rsid w:val="00985A65"/>
    <w:rsid w:val="009A31BF"/>
    <w:rsid w:val="009A536F"/>
    <w:rsid w:val="009B2459"/>
    <w:rsid w:val="009C4777"/>
    <w:rsid w:val="009D3C77"/>
    <w:rsid w:val="009D7D63"/>
    <w:rsid w:val="009F419D"/>
    <w:rsid w:val="00A52DBE"/>
    <w:rsid w:val="00A64433"/>
    <w:rsid w:val="00A83BE3"/>
    <w:rsid w:val="00A96C0E"/>
    <w:rsid w:val="00AA61EA"/>
    <w:rsid w:val="00AB0333"/>
    <w:rsid w:val="00AF6BEC"/>
    <w:rsid w:val="00B442F6"/>
    <w:rsid w:val="00B74E23"/>
    <w:rsid w:val="00B8296E"/>
    <w:rsid w:val="00B82F43"/>
    <w:rsid w:val="00BA7566"/>
    <w:rsid w:val="00BC152E"/>
    <w:rsid w:val="00BC481F"/>
    <w:rsid w:val="00BD75C1"/>
    <w:rsid w:val="00C3438D"/>
    <w:rsid w:val="00C62B6C"/>
    <w:rsid w:val="00C81260"/>
    <w:rsid w:val="00C95CA9"/>
    <w:rsid w:val="00CA061B"/>
    <w:rsid w:val="00CD4AED"/>
    <w:rsid w:val="00CD5856"/>
    <w:rsid w:val="00CD7BA6"/>
    <w:rsid w:val="00CF0F2E"/>
    <w:rsid w:val="00CF3E82"/>
    <w:rsid w:val="00D20CD1"/>
    <w:rsid w:val="00D362F1"/>
    <w:rsid w:val="00D54679"/>
    <w:rsid w:val="00D62852"/>
    <w:rsid w:val="00D67BAF"/>
    <w:rsid w:val="00DA15A1"/>
    <w:rsid w:val="00DC7639"/>
    <w:rsid w:val="00E1490C"/>
    <w:rsid w:val="00E37122"/>
    <w:rsid w:val="00E569E2"/>
    <w:rsid w:val="00E85195"/>
    <w:rsid w:val="00EA275E"/>
    <w:rsid w:val="00EA5BB6"/>
    <w:rsid w:val="00EC2DBC"/>
    <w:rsid w:val="00ED5DE8"/>
    <w:rsid w:val="00EE23CE"/>
    <w:rsid w:val="00EE2A9D"/>
    <w:rsid w:val="00F32EA9"/>
    <w:rsid w:val="00F56EBE"/>
    <w:rsid w:val="00F72360"/>
    <w:rsid w:val="00F80CB1"/>
    <w:rsid w:val="00F847BF"/>
    <w:rsid w:val="00F87E88"/>
    <w:rsid w:val="00F952F9"/>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3179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131997"/>
    <w:rPr>
      <w:color w:val="0000FF" w:themeColor="hyperlink"/>
      <w:u w:val="single"/>
    </w:rPr>
  </w:style>
  <w:style w:type="paragraph" w:styleId="Voetnoottekst">
    <w:name w:val="footnote text"/>
    <w:basedOn w:val="Standaard"/>
    <w:link w:val="VoetnoottekstChar"/>
    <w:uiPriority w:val="99"/>
    <w:unhideWhenUsed/>
    <w:rsid w:val="00131997"/>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rsid w:val="00131997"/>
    <w:rPr>
      <w:rFonts w:ascii="Verdana" w:hAnsi="Verdana"/>
      <w:color w:val="000000"/>
      <w:kern w:val="0"/>
      <w:sz w:val="20"/>
      <w:szCs w:val="20"/>
      <w:lang w:eastAsia="nl-NL" w:bidi="ar-SA"/>
    </w:rPr>
  </w:style>
  <w:style w:type="character" w:styleId="Voetnootmarkering">
    <w:name w:val="footnote reference"/>
    <w:basedOn w:val="Standaardalinea-lettertype"/>
    <w:uiPriority w:val="99"/>
    <w:unhideWhenUsed/>
    <w:rsid w:val="00131997"/>
    <w:rPr>
      <w:vertAlign w:val="superscript"/>
    </w:rPr>
  </w:style>
  <w:style w:type="paragraph" w:styleId="Geenafstand">
    <w:name w:val="No Spacing"/>
    <w:uiPriority w:val="1"/>
    <w:qFormat/>
    <w:rsid w:val="00131997"/>
    <w:pPr>
      <w:widowControl/>
      <w:suppressAutoHyphens w:val="0"/>
      <w:autoSpaceDN/>
      <w:textAlignment w:val="auto"/>
    </w:pPr>
    <w:rPr>
      <w:rFonts w:asciiTheme="minorHAnsi" w:eastAsiaTheme="minorHAnsi" w:hAnsiTheme="minorHAnsi" w:cstheme="minorBidi"/>
      <w:kern w:val="2"/>
      <w:sz w:val="22"/>
      <w:szCs w:val="22"/>
      <w:lang w:eastAsia="en-US" w:bidi="ar-SA"/>
    </w:rPr>
  </w:style>
  <w:style w:type="table" w:customStyle="1" w:styleId="TableNormal0">
    <w:name w:val="Table Normal_0"/>
    <w:uiPriority w:val="2"/>
    <w:semiHidden/>
    <w:unhideWhenUsed/>
    <w:qFormat/>
    <w:rsid w:val="00131997"/>
    <w:pPr>
      <w:suppressAutoHyphens w:val="0"/>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131997"/>
    <w:pPr>
      <w:suppressAutoHyphens w:val="0"/>
      <w:autoSpaceDE w:val="0"/>
      <w:spacing w:line="240" w:lineRule="auto"/>
      <w:textAlignment w:val="auto"/>
    </w:pPr>
    <w:rPr>
      <w:rFonts w:eastAsia="Verdana" w:cs="Verdana"/>
      <w:kern w:val="0"/>
      <w:sz w:val="22"/>
      <w:szCs w:val="22"/>
      <w:lang w:eastAsia="en-US" w:bidi="ar-SA"/>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131997"/>
    <w:pPr>
      <w:ind w:left="720"/>
      <w:contextualSpacing/>
    </w:p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131997"/>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5-37233.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1657</ap:Words>
  <ap:Characters>9119</ap:Characters>
  <ap:DocSecurity>0</ap:DocSecurity>
  <ap:Lines>75</ap:Lines>
  <ap:Paragraphs>21</ap:Paragraphs>
  <ap:ScaleCrop>false</ap:ScaleCrop>
  <ap:LinksUpToDate>false</ap:LinksUpToDate>
  <ap:CharactersWithSpaces>10755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2026-06-01T13:11:00.0000000Z</dcterms:created>
  <dcterms:modified xsi:type="dcterms:W3CDTF">2026-06-01T13:11:00.0000000Z</dcterms:modified>
  <dc:creator/>
  <dc:description>------------------------</dc:description>
  <dc:subject/>
  <dc:title/>
  <keywords/>
  <version/>
  <category/>
</coreProperties>
</file>