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494" w:rsidP="00821494" w:rsidRDefault="00821494" w14:paraId="384DE00B" w14:textId="5C7F402C">
      <w:pPr>
        <w:pStyle w:val="Geenafstand"/>
      </w:pPr>
      <w:r>
        <w:t>AH 2095</w:t>
      </w:r>
    </w:p>
    <w:p w:rsidR="00821494" w:rsidP="00821494" w:rsidRDefault="00821494" w14:paraId="26FD93E3" w14:textId="5BC35E10">
      <w:pPr>
        <w:pStyle w:val="Geenafstand"/>
      </w:pPr>
      <w:r>
        <w:t>2026Z09074</w:t>
      </w:r>
    </w:p>
    <w:p w:rsidR="00821494" w:rsidP="00821494" w:rsidRDefault="00821494" w14:paraId="552F1621" w14:textId="77777777">
      <w:pPr>
        <w:pStyle w:val="Geenafstand"/>
      </w:pPr>
    </w:p>
    <w:p w:rsidR="00821494" w:rsidP="00821494" w:rsidRDefault="00821494" w14:paraId="2038CDCC" w14:textId="06201F5B">
      <w:pPr>
        <w:pStyle w:val="Geenafstand"/>
        <w:rPr>
          <w:sz w:val="24"/>
          <w:szCs w:val="24"/>
        </w:rPr>
      </w:pPr>
      <w:r w:rsidRPr="00821494">
        <w:rPr>
          <w:sz w:val="24"/>
          <w:szCs w:val="24"/>
        </w:rPr>
        <w:t xml:space="preserve">Antwoord van staatssecretaris Van Bruggen (Justitie en Veiligheid) (ontvangen </w:t>
      </w:r>
      <w:r>
        <w:rPr>
          <w:sz w:val="24"/>
          <w:szCs w:val="24"/>
        </w:rPr>
        <w:t xml:space="preserve"> 1 juni 2026)</w:t>
      </w:r>
    </w:p>
    <w:p w:rsidRPr="00821494" w:rsidR="00821494" w:rsidP="00821494" w:rsidRDefault="00821494" w14:paraId="00F163B4" w14:textId="77777777">
      <w:pPr>
        <w:tabs>
          <w:tab w:val="left" w:pos="2340"/>
        </w:tabs>
      </w:pPr>
    </w:p>
    <w:p w:rsidRPr="00821494" w:rsidR="00821494" w:rsidP="00821494" w:rsidRDefault="00821494" w14:paraId="26A0BE41" w14:textId="13BC3B71">
      <w:pPr>
        <w:tabs>
          <w:tab w:val="left" w:pos="2340"/>
        </w:tabs>
      </w:pPr>
      <w:r w:rsidRPr="00821494">
        <w:rPr>
          <w:color w:val="000000"/>
          <w:sz w:val="24"/>
          <w:szCs w:val="24"/>
        </w:rPr>
        <w:t xml:space="preserve">Zie ook Aanhangsel Handelingen, vergaderjaar 2025-2026, nr. </w:t>
      </w:r>
      <w:r>
        <w:rPr>
          <w:color w:val="000000"/>
          <w:sz w:val="24"/>
          <w:szCs w:val="24"/>
        </w:rPr>
        <w:t>1954</w:t>
      </w:r>
    </w:p>
    <w:p w:rsidRPr="00744409" w:rsidR="00821494" w:rsidP="00821494" w:rsidRDefault="00821494" w14:paraId="1E98C623" w14:textId="7EFC0D8C">
      <w:pPr>
        <w:tabs>
          <w:tab w:val="left" w:pos="2340"/>
        </w:tabs>
        <w:rPr>
          <w:b/>
          <w:bCs/>
        </w:rPr>
      </w:pPr>
      <w:r w:rsidRPr="00744409">
        <w:rPr>
          <w:b/>
          <w:bCs/>
        </w:rPr>
        <w:tab/>
      </w:r>
    </w:p>
    <w:p w:rsidRPr="00744409" w:rsidR="00821494" w:rsidP="00821494" w:rsidRDefault="00821494" w14:paraId="65F5F2C5" w14:textId="77777777">
      <w:pPr>
        <w:rPr>
          <w:b/>
          <w:bCs/>
        </w:rPr>
      </w:pPr>
      <w:r w:rsidRPr="00744409">
        <w:rPr>
          <w:b/>
          <w:bCs/>
        </w:rPr>
        <w:t>Vraag 1</w:t>
      </w:r>
    </w:p>
    <w:p w:rsidRPr="00744409" w:rsidR="00821494" w:rsidP="00821494" w:rsidRDefault="00821494" w14:paraId="276F6967" w14:textId="77777777">
      <w:pPr>
        <w:rPr>
          <w:b/>
          <w:bCs/>
        </w:rPr>
      </w:pPr>
      <w:r w:rsidRPr="00744409">
        <w:rPr>
          <w:b/>
          <w:bCs/>
        </w:rPr>
        <w:t>Bent u bekend met de Zembla uitzending 'Gokkers in je tijdlijn', waarin wordt gesteld dat ondanks het rolmodellenverbod sinds 2022 meer dan de helft van de legale online gokaanbieders nog altijd betrokken is bij influencer en affiliate constructies?</w:t>
      </w:r>
      <w:r w:rsidRPr="00744409">
        <w:rPr>
          <w:rStyle w:val="Voetnootmarkering"/>
          <w:b/>
          <w:bCs/>
        </w:rPr>
        <w:footnoteReference w:id="1"/>
      </w:r>
      <w:r w:rsidRPr="00744409">
        <w:rPr>
          <w:b/>
          <w:bCs/>
        </w:rPr>
        <w:br/>
      </w:r>
    </w:p>
    <w:p w:rsidRPr="00744409" w:rsidR="00821494" w:rsidP="00821494" w:rsidRDefault="00821494" w14:paraId="782B553A" w14:textId="77777777">
      <w:pPr>
        <w:rPr>
          <w:b/>
          <w:bCs/>
        </w:rPr>
      </w:pPr>
      <w:r w:rsidRPr="00744409">
        <w:rPr>
          <w:b/>
          <w:bCs/>
        </w:rPr>
        <w:t>Antwoord op vraag 1</w:t>
      </w:r>
    </w:p>
    <w:p w:rsidRPr="00744409" w:rsidR="00821494" w:rsidP="00821494" w:rsidRDefault="00821494" w14:paraId="317196D8" w14:textId="77777777">
      <w:r w:rsidRPr="00744409">
        <w:t>Ja.</w:t>
      </w:r>
    </w:p>
    <w:p w:rsidRPr="00744409" w:rsidR="00821494" w:rsidP="00821494" w:rsidRDefault="00821494" w14:paraId="6DB4B136" w14:textId="77777777">
      <w:pPr>
        <w:rPr>
          <w:b/>
          <w:bCs/>
        </w:rPr>
      </w:pPr>
      <w:r w:rsidRPr="00744409">
        <w:rPr>
          <w:b/>
          <w:bCs/>
        </w:rPr>
        <w:t>Vraag 2</w:t>
      </w:r>
    </w:p>
    <w:p w:rsidRPr="00744409" w:rsidR="00821494" w:rsidP="00821494" w:rsidRDefault="00821494" w14:paraId="47FF4F2A" w14:textId="77777777">
      <w:pPr>
        <w:rPr>
          <w:b/>
          <w:bCs/>
        </w:rPr>
      </w:pPr>
      <w:r w:rsidRPr="00744409">
        <w:rPr>
          <w:b/>
          <w:bCs/>
        </w:rPr>
        <w:t>Wat is uw reactie op de bevindingen uit deze uitzending, en wat zegt dit volgens u over de werking van het rolmodellenverbod en het Besluit ongerichte reclame kansspelen op afstand (Besluit orka)?</w:t>
      </w:r>
    </w:p>
    <w:p w:rsidRPr="00744409" w:rsidR="00821494" w:rsidP="00821494" w:rsidRDefault="00821494" w14:paraId="288CE37D" w14:textId="77777777"/>
    <w:p w:rsidRPr="00744409" w:rsidR="00821494" w:rsidP="00821494" w:rsidRDefault="00821494" w14:paraId="3FFFF519" w14:textId="77777777">
      <w:pPr>
        <w:rPr>
          <w:b/>
          <w:bCs/>
        </w:rPr>
      </w:pPr>
      <w:r w:rsidRPr="00744409">
        <w:rPr>
          <w:b/>
          <w:bCs/>
        </w:rPr>
        <w:t xml:space="preserve">Antwoord op vraag 2 </w:t>
      </w:r>
    </w:p>
    <w:p w:rsidRPr="00744409" w:rsidR="00821494" w:rsidP="00821494" w:rsidRDefault="00821494" w14:paraId="596A8CE2" w14:textId="77777777">
      <w:r w:rsidRPr="00744409">
        <w:t>Ik vind de signalen die naar voren komen in de uitzending van Zembla zorgelijk en neem deze serieus. Het inzetten van rolmodellen, waaronder streamers en influencers, voor online kansspelreclame is sinds de inwerkingtreding van het rolmodellenverbod per 30 juni 2022 niet toegestaan. Dit verbod is destijds ingevoerd om met name jongeren en jongvolwassenen beter te beschermen tegen de risico’s van kansspelen en negatieve beïnvloeding door rolmodellen in dat kader. Jongeren zijn bijzonder kwetsbaar voor beïnvloeding, omdat de impulscontrole op die leeftijd nog onvoldoende is ontwikkeld.</w:t>
      </w:r>
    </w:p>
    <w:p w:rsidRPr="00744409" w:rsidR="00821494" w:rsidP="00821494" w:rsidRDefault="00821494" w14:paraId="67AB9AE8" w14:textId="77777777">
      <w:r w:rsidRPr="00744409">
        <w:t xml:space="preserve">Het beeld dat uit de uitzending naar voren komt, laat zien dat er in de praktijk constructies zijn gebruikt die op gespannen voet staan met de bedoeling van de regelgeving. Dat vind ik kwalijk, des te meer als deze constructies gebruikt worden om jongeren te bereiken. </w:t>
      </w:r>
    </w:p>
    <w:p w:rsidRPr="00744409" w:rsidR="00821494" w:rsidP="00821494" w:rsidRDefault="00821494" w14:paraId="3D62AA32" w14:textId="77777777">
      <w:r w:rsidRPr="00744409">
        <w:lastRenderedPageBreak/>
        <w:t xml:space="preserve">De Kansspelautoriteit (Ksa) is belast met het toezicht op de naleving van de reclameregels voor kansspelen en heeft aangegeven dat zij, mede op basis van ontvangen signalen, haar handhaving op dit punt heeft geïntensiveerd. </w:t>
      </w:r>
    </w:p>
    <w:p w:rsidRPr="00744409" w:rsidR="00821494" w:rsidP="00821494" w:rsidRDefault="00821494" w14:paraId="0D2819EE" w14:textId="77777777">
      <w:pPr>
        <w:rPr>
          <w:b/>
          <w:bCs/>
        </w:rPr>
      </w:pPr>
      <w:r w:rsidRPr="00744409">
        <w:rPr>
          <w:b/>
          <w:bCs/>
        </w:rPr>
        <w:t>Vraag 3</w:t>
      </w:r>
    </w:p>
    <w:p w:rsidRPr="00744409" w:rsidR="00821494" w:rsidP="00821494" w:rsidRDefault="00821494" w14:paraId="56778A2A" w14:textId="77777777">
      <w:pPr>
        <w:rPr>
          <w:b/>
          <w:bCs/>
        </w:rPr>
      </w:pPr>
      <w:r w:rsidRPr="00744409">
        <w:rPr>
          <w:b/>
          <w:bCs/>
        </w:rPr>
        <w:t>Klopt het dat er na deze uitzending in feite twee conclusies mogelijk zijn: ofwel het rolmodellenverbod was juridisch duidelijk maar is jarenlang onvoldoende gehandhaafd, ofwel het verbod was zo onduidelijk dat aanbieders via influencers, streamers en affiliates materieel hetzelfde konden blijven doen als verboden reclame? Welke conclusie acht u de juiste, en wat gaat u doen om dit probleem op te lossen?</w:t>
      </w:r>
    </w:p>
    <w:p w:rsidR="00821494" w:rsidP="00821494" w:rsidRDefault="00821494" w14:paraId="42FC4AC5" w14:textId="77777777"/>
    <w:p w:rsidR="00821494" w:rsidP="00821494" w:rsidRDefault="00821494" w14:paraId="63CD356A" w14:textId="77777777"/>
    <w:p w:rsidR="00821494" w:rsidP="00821494" w:rsidRDefault="00821494" w14:paraId="52871925" w14:textId="77777777"/>
    <w:p w:rsidRPr="00744409" w:rsidR="00821494" w:rsidP="00821494" w:rsidRDefault="00821494" w14:paraId="23DC8107" w14:textId="77777777"/>
    <w:p w:rsidRPr="00744409" w:rsidR="00821494" w:rsidP="00821494" w:rsidRDefault="00821494" w14:paraId="5D4EA230" w14:textId="77777777">
      <w:r w:rsidRPr="00744409">
        <w:rPr>
          <w:b/>
          <w:bCs/>
        </w:rPr>
        <w:t>Antwoord op vraag 3</w:t>
      </w:r>
    </w:p>
    <w:p w:rsidRPr="00744409" w:rsidR="00821494" w:rsidP="00821494" w:rsidRDefault="00821494" w14:paraId="2CB0F191" w14:textId="77777777">
      <w:bookmarkStart w:name="_Hlk229473769" w:id="0"/>
      <w:bookmarkStart w:name="_Hlk222306335" w:id="1"/>
      <w:r w:rsidRPr="00744409">
        <w:t xml:space="preserve">Ik kom niet tot één van beide geschetste conclusies. Het rolmodellenverbod is zowel in de tekst van de regelgeving als in de toelichting daarop duidelijk van toepassing op influencers en daarmee op streamers. </w:t>
      </w:r>
    </w:p>
    <w:p w:rsidRPr="00744409" w:rsidR="00821494" w:rsidP="00821494" w:rsidRDefault="00821494" w14:paraId="1B301142" w14:textId="77777777">
      <w:r w:rsidRPr="00744409">
        <w:t>In de uitzending van Zembla wordt weergegeven dat in de praktijk constructies zijn toegepast waarbij is getracht de reikwijdte van het verbod te beperken. Naar aanleiding van signalen hierover heeft de Ksa haar toezicht en handhaving op deze constructies gericht en verduidelijkt dat dergelijke constructies in strijd zijn met de regels. Zoals ook in de Zembla-uitzending genoemd wordt, hebben de aangesproken vergunninghouders hun overeenkomsten met deze streamers en hun platforms beëindigd. Om eventuele verdere onduidelijkheid, onder andere op dit punt, weg te nemen, heeft de Ksa in februari van dit jaar het rolmodellenverbod verder verduidelijkt.</w:t>
      </w:r>
      <w:r w:rsidRPr="00744409">
        <w:rPr>
          <w:rStyle w:val="Voetnootmarkering"/>
        </w:rPr>
        <w:footnoteReference w:id="2"/>
      </w:r>
      <w:r w:rsidRPr="00744409">
        <w:t xml:space="preserve"> </w:t>
      </w:r>
    </w:p>
    <w:bookmarkEnd w:id="0"/>
    <w:p w:rsidRPr="00744409" w:rsidR="00821494" w:rsidP="00821494" w:rsidRDefault="00821494" w14:paraId="1E12D2B1" w14:textId="77777777">
      <w:pPr>
        <w:rPr>
          <w:b/>
          <w:bCs/>
        </w:rPr>
      </w:pPr>
      <w:r w:rsidRPr="00744409">
        <w:rPr>
          <w:b/>
          <w:bCs/>
        </w:rPr>
        <w:t>Vraag 4</w:t>
      </w:r>
    </w:p>
    <w:p w:rsidRPr="00744409" w:rsidR="00821494" w:rsidP="00821494" w:rsidRDefault="00821494" w14:paraId="53298F3D" w14:textId="77777777">
      <w:pPr>
        <w:rPr>
          <w:b/>
          <w:bCs/>
        </w:rPr>
      </w:pPr>
      <w:r w:rsidRPr="00744409">
        <w:rPr>
          <w:b/>
          <w:bCs/>
        </w:rPr>
        <w:t>Hoeveel onderzoeken heeft de Kansspelautoriteit sinds 2022 ingesteld naar overtredingen van het rolmodellenverbod en verwante reclamebeperkingen, en welke sancties zijn daarbij opgelegd? Acht u deze handhaving effectief?</w:t>
      </w:r>
    </w:p>
    <w:p w:rsidRPr="00744409" w:rsidR="00821494" w:rsidP="00821494" w:rsidRDefault="00821494" w14:paraId="7C69072D" w14:textId="77777777"/>
    <w:p w:rsidRPr="00744409" w:rsidR="00821494" w:rsidP="00821494" w:rsidRDefault="00821494" w14:paraId="64453864" w14:textId="77777777">
      <w:pPr>
        <w:rPr>
          <w:rFonts w:cs="Calibri"/>
        </w:rPr>
      </w:pPr>
      <w:r w:rsidRPr="00744409">
        <w:rPr>
          <w:rFonts w:cs="Calibri"/>
          <w:b/>
          <w:bCs/>
        </w:rPr>
        <w:t>Antwoord op vraag 4</w:t>
      </w:r>
      <w:bookmarkEnd w:id="1"/>
    </w:p>
    <w:p w:rsidRPr="00744409" w:rsidR="00821494" w:rsidP="00821494" w:rsidRDefault="00821494" w14:paraId="4E9135A9" w14:textId="77777777">
      <w:pPr>
        <w:rPr>
          <w:rFonts w:eastAsia="Calibri" w:cs="Times New Roman"/>
        </w:rPr>
      </w:pPr>
      <w:bookmarkStart w:name="_Hlk222307280" w:id="2"/>
      <w:r w:rsidRPr="00744409">
        <w:rPr>
          <w:rFonts w:eastAsia="Calibri" w:cs="Times New Roman"/>
        </w:rPr>
        <w:t xml:space="preserve">De Ksa houdt doorlopend toezicht op de naleving van het rolmodellenverbod en aanverwante reclamebeperkingen. Daarbij verricht de Ksa risicogestuurd onderzoek naar mogelijke overtredingen, onder meer op basis van signalen, meldingen en eigen monitoring. De Ksa rapporteert hierover periodiek in onder meer haar jaarverslagen en toezichtcommunicatie. Exacte cijfers worden daar niet bij genoemd. Wel blijkt uit het jaarverslag 2025 dat de Ksa ook in dat jaar nog een aantal overtredingen van het rolmodellenverbod heeft geconstateerd. De Ksa geeft aan daartegen te hebben opgetreden en hierover actief te hebben gecommuniceerd, mede om toekomstige overtredingen te voorkomen. Daarnaast zijn waarschuwingen gegeven bij overtredingen van het verbod op sportsponsoring, waarna de betreffende reclame-uitingen zijn beëindigd. Er zijn geen grote overtredingen geconstateerd na invoering van het verbod op sportsponsoring per 1 juli 2025. De kleinere overtredingen, zoals het verkopen van merchandise met het logo van een kansspelaanbieder, zijn gestaakt nadat de desbetreffende aanbieders hierop zijn aangesproken. </w:t>
      </w:r>
    </w:p>
    <w:p w:rsidRPr="00744409" w:rsidR="00821494" w:rsidP="00821494" w:rsidRDefault="00821494" w14:paraId="33C46C5D" w14:textId="77777777">
      <w:pPr>
        <w:rPr>
          <w:rFonts w:eastAsia="Calibri" w:cs="Times New Roman"/>
        </w:rPr>
      </w:pPr>
      <w:r w:rsidRPr="00744409">
        <w:rPr>
          <w:rFonts w:eastAsia="Calibri" w:cs="Times New Roman"/>
        </w:rPr>
        <w:t xml:space="preserve">De Ksa maakt gebruik van zowel formele als informele toezichtinterventies. Uit het jaarverslag blijkt dat in 2025 nadrukkelijker is ingezet op informele interventies, met name op het terrein van reclame, om overtredingen snel te beëindigen en aanbieders duidelijkheid te geven over de geldende normen. </w:t>
      </w:r>
    </w:p>
    <w:p w:rsidRPr="00744409" w:rsidR="00821494" w:rsidP="00821494" w:rsidRDefault="00821494" w14:paraId="117DE8B4" w14:textId="77777777">
      <w:pPr>
        <w:rPr>
          <w:rFonts w:eastAsia="Calibri" w:cs="Times New Roman"/>
        </w:rPr>
      </w:pPr>
      <w:r w:rsidRPr="00744409">
        <w:rPr>
          <w:rFonts w:eastAsia="Calibri" w:cs="Times New Roman"/>
        </w:rPr>
        <w:t>In algemene zin blijkt uit de meest recente monitoringsrapportages van de Ksa dat de zichtbaarheid van kansspelreclame sinds de invoering van de aangescherpte regels is afgenomen, ook in de online omgeving. Tegelijkertijd wordt geconstateerd dat reclame via sociale media een belangrijk aandachtspunt blijft. De Ksa heeft aangegeven haar toezicht daarop verder te intensiveren.</w:t>
      </w:r>
      <w:bookmarkEnd w:id="2"/>
    </w:p>
    <w:p w:rsidRPr="00744409" w:rsidR="00821494" w:rsidP="00821494" w:rsidRDefault="00821494" w14:paraId="26550EB8" w14:textId="77777777">
      <w:pPr>
        <w:rPr>
          <w:rFonts w:eastAsia="Calibri" w:cs="Times New Roman"/>
        </w:rPr>
      </w:pPr>
    </w:p>
    <w:p w:rsidRPr="00744409" w:rsidR="00821494" w:rsidP="00821494" w:rsidRDefault="00821494" w14:paraId="28226DB4" w14:textId="77777777">
      <w:pPr>
        <w:rPr>
          <w:b/>
          <w:bCs/>
        </w:rPr>
      </w:pPr>
      <w:r w:rsidRPr="00744409">
        <w:rPr>
          <w:b/>
          <w:bCs/>
        </w:rPr>
        <w:t>Vraag 5</w:t>
      </w:r>
    </w:p>
    <w:p w:rsidRPr="00744409" w:rsidR="00821494" w:rsidP="00821494" w:rsidRDefault="00821494" w14:paraId="4BD76975" w14:textId="77777777">
      <w:pPr>
        <w:rPr>
          <w:b/>
          <w:bCs/>
        </w:rPr>
      </w:pPr>
      <w:r w:rsidRPr="00744409">
        <w:rPr>
          <w:b/>
          <w:bCs/>
        </w:rPr>
        <w:t>Erkent u dat het beschermingsdoel van het rolmodellenverbod niet kan worden uitgehold door te verwijzen naar juridische constructies (zoals contracten met affiliates of websites) wanneer het feitelijke effect gelijk blijft: normalisering van gokken en beïnvloeding van jongeren en kwetsbare groepen? Bent u bereid vast te leggen dat bij toezicht en handhaving de feitelijke beïnvloeding leidend is in plaats van de contractvorm?</w:t>
      </w:r>
    </w:p>
    <w:p w:rsidRPr="00744409" w:rsidR="00821494" w:rsidP="00821494" w:rsidRDefault="00821494" w14:paraId="21F589E5" w14:textId="77777777"/>
    <w:p w:rsidRPr="00744409" w:rsidR="00821494" w:rsidP="00821494" w:rsidRDefault="00821494" w14:paraId="63B7C83E" w14:textId="77777777">
      <w:pPr>
        <w:rPr>
          <w:b/>
          <w:bCs/>
        </w:rPr>
      </w:pPr>
      <w:r w:rsidRPr="00744409">
        <w:rPr>
          <w:b/>
          <w:bCs/>
        </w:rPr>
        <w:t>Antwoord op vraag 5</w:t>
      </w:r>
    </w:p>
    <w:p w:rsidRPr="00744409" w:rsidR="00821494" w:rsidP="00821494" w:rsidRDefault="00821494" w14:paraId="1C89D941" w14:textId="77777777">
      <w:r w:rsidRPr="00744409">
        <w:lastRenderedPageBreak/>
        <w:t xml:space="preserve">Ja, het uitgangspunt van het rolmodellenverbod is bescherming van mensen tegen risico’s van gokken, in het bijzonder kwetsbare groepen zoals jongeren. </w:t>
      </w:r>
    </w:p>
    <w:p w:rsidRPr="00744409" w:rsidR="00821494" w:rsidP="00821494" w:rsidRDefault="00821494" w14:paraId="6F604736" w14:textId="77777777">
      <w:r w:rsidRPr="00744409">
        <w:t xml:space="preserve">In de beleidsregels en de toezichtspraktijk heeft de Ksa verduidelijkt dat influencers die via affiliatie reclame maken ook onder het rolmodellenverbod vallen. Aanbieders zijn verantwoordelijk voor alle werving- en reclameboodschappen waar zij direct of indirect voor betalen. Deze werving en reclame moet telkens aan de wet- en regelgeving voldoen.  </w:t>
      </w:r>
      <w:r w:rsidRPr="00744409">
        <w:br/>
      </w:r>
      <w:r w:rsidRPr="00744409">
        <w:rPr>
          <w:b/>
          <w:bCs/>
        </w:rPr>
        <w:br/>
      </w:r>
      <w:bookmarkStart w:name="_Hlk230183923" w:id="3"/>
      <w:r w:rsidRPr="00744409">
        <w:rPr>
          <w:b/>
          <w:bCs/>
        </w:rPr>
        <w:t>Vraag 6</w:t>
      </w:r>
      <w:r w:rsidRPr="00744409">
        <w:br/>
      </w:r>
      <w:r w:rsidRPr="00744409">
        <w:rPr>
          <w:b/>
          <w:bCs/>
        </w:rPr>
        <w:t>Deelt u de zorg dat jongeren en jongvolwassenen via influencers, livestreams en "informatieve" content alsnog structureel met gokreclame worden geconfronteerd, juist omdat deze minder herkenbaar en daardoor effectiever kan zijn? Hoe wordt deze blootstelling momenteel gemonitord en bent u bereid die monitoring te versterken?</w:t>
      </w:r>
    </w:p>
    <w:p w:rsidRPr="00744409" w:rsidR="00821494" w:rsidP="00821494" w:rsidRDefault="00821494" w14:paraId="5B98D016" w14:textId="77777777">
      <w:pPr>
        <w:rPr>
          <w:b/>
          <w:bCs/>
        </w:rPr>
      </w:pPr>
      <w:r w:rsidRPr="00744409">
        <w:rPr>
          <w:b/>
          <w:bCs/>
        </w:rPr>
        <w:t>Antwoord op vraag 6</w:t>
      </w:r>
    </w:p>
    <w:p w:rsidRPr="00744409" w:rsidR="00821494" w:rsidP="00821494" w:rsidRDefault="00821494" w14:paraId="1073C45F" w14:textId="77777777">
      <w:bookmarkStart w:name="_Hlk230092284" w:id="4"/>
      <w:r w:rsidRPr="00744409">
        <w:t xml:space="preserve">Ja, die zorg deel ik. Juist reclame via influencers, livestreams en content die informerend van aard lijkt te zijn, kan voor kwetsbare groepen, waaronder jongeren en jongvolwassenen, minder herkenbaar zijn als reclame. </w:t>
      </w:r>
    </w:p>
    <w:p w:rsidRPr="00744409" w:rsidR="00821494" w:rsidP="00821494" w:rsidRDefault="00821494" w14:paraId="444124F6" w14:textId="77777777">
      <w:r w:rsidRPr="00744409">
        <w:t>De Ksa monitort actief het gebruik van rolmodellen, zoals influencers en streamers, bij zowel legale als illegale gokaanbieders. Daaronder vallen ook uitingen op sociale mediaplatforms, livestreamingsdiensten en andere online kanalen waar jongeren en jongvolwassenen vaak actief zijn. Hiervoor gebruikt de Ksa verschillende monitoringsinstrumenten. Daarnaast heeft de Ksa een doorlopend proces om signalen over de inzet van rolmodellen voor gokreclame direct op te pakken. Dan gaat het bijvoorbeeld om signalen van consumenten, maatschappelijke organisaties en andere toezichthouders. De Ksa geeft daarbij prioriteit aan interventies gericht op het aanpakken van illegale gokreclame met bijzondere aandacht voor de bescherming van kwetsbare groepen.</w:t>
      </w:r>
    </w:p>
    <w:p w:rsidRPr="00744409" w:rsidR="00821494" w:rsidP="00821494" w:rsidRDefault="00821494" w14:paraId="1233D0E7" w14:textId="77777777">
      <w:r w:rsidRPr="00744409">
        <w:t>Tegelijkertijd is toezicht op online content complex, omdat er sprake is van veel uitingen die, als het gaat om illegaal aanbod, snel worden aangepast of verwijderd. Daarom houdt de Ksa risicogestuurd toezicht waarbij met de capaciteit en middelen die voorhanden zijn een inschatting wordt gemaakt van het risico van bepaalde signalen. Ik kijk bij de voorziene wetswijziging voor online gokken ook naar uitvoeringsaspecten in monitoring, toezicht en handhaving op het gebied van reclame</w:t>
      </w:r>
      <w:bookmarkEnd w:id="3"/>
      <w:bookmarkEnd w:id="4"/>
      <w:r w:rsidRPr="00744409">
        <w:t xml:space="preserve">. </w:t>
      </w:r>
    </w:p>
    <w:p w:rsidRPr="00744409" w:rsidR="00821494" w:rsidP="00821494" w:rsidRDefault="00821494" w14:paraId="68E1F818" w14:textId="77777777">
      <w:pPr>
        <w:rPr>
          <w:b/>
          <w:bCs/>
        </w:rPr>
      </w:pPr>
      <w:r w:rsidRPr="00744409">
        <w:rPr>
          <w:b/>
          <w:bCs/>
        </w:rPr>
        <w:t>Vraag 7</w:t>
      </w:r>
    </w:p>
    <w:p w:rsidRPr="00744409" w:rsidR="00821494" w:rsidP="00821494" w:rsidRDefault="00821494" w14:paraId="3FF7AA2E" w14:textId="77777777">
      <w:pPr>
        <w:rPr>
          <w:b/>
          <w:bCs/>
        </w:rPr>
      </w:pPr>
      <w:r w:rsidRPr="00744409">
        <w:rPr>
          <w:b/>
          <w:bCs/>
        </w:rPr>
        <w:t xml:space="preserve">Deelt u de opvatting dat websites, vergelijkingspagina's, streamkanalen en affiliate constructies die financieel afhankelijk zijn van speelgedrag of verliezen van spelers, feitelijk functioneren als verkapte reclame en niet als </w:t>
      </w:r>
      <w:r w:rsidRPr="00744409">
        <w:rPr>
          <w:b/>
          <w:bCs/>
        </w:rPr>
        <w:lastRenderedPageBreak/>
        <w:t>neutrale informatievoorziening? Acht u het wenselijk dat zulke constructies binnen het huidige reclameregime zijn toegestaan?</w:t>
      </w:r>
    </w:p>
    <w:p w:rsidRPr="00744409" w:rsidR="00821494" w:rsidP="00821494" w:rsidRDefault="00821494" w14:paraId="1B486B0C" w14:textId="77777777">
      <w:r w:rsidRPr="00744409">
        <w:rPr>
          <w:b/>
          <w:bCs/>
        </w:rPr>
        <w:br/>
        <w:t>Antwoord op vraag 7</w:t>
      </w:r>
    </w:p>
    <w:p w:rsidRPr="00744409" w:rsidR="00821494" w:rsidP="00821494" w:rsidRDefault="00821494" w14:paraId="443F7803" w14:textId="77777777">
      <w:r w:rsidRPr="00744409">
        <w:t xml:space="preserve">Wanneer sprake is van reclame, moeten deze uitingen als zodanig herkenbaar zijn en voldoen aan de geldende wet- en regelgeving. Dit geldt ook voor vergelijkingssites, affiliates en andere. De vergunde aanbieders van kansspelen zijn ervoor verantwoordelijk dat in de overeenkomsten met reclamepartijen deze regels worden nageleefd. </w:t>
      </w:r>
    </w:p>
    <w:p w:rsidRPr="00744409" w:rsidR="00821494" w:rsidP="00821494" w:rsidRDefault="00821494" w14:paraId="51EBDDF6" w14:textId="77777777">
      <w:pPr>
        <w:rPr>
          <w:b/>
          <w:bCs/>
        </w:rPr>
      </w:pPr>
      <w:r w:rsidRPr="00744409">
        <w:rPr>
          <w:b/>
          <w:bCs/>
        </w:rPr>
        <w:t>Vraag 8</w:t>
      </w:r>
    </w:p>
    <w:p w:rsidRPr="00744409" w:rsidR="00821494" w:rsidP="00821494" w:rsidRDefault="00821494" w14:paraId="60AEFC29" w14:textId="77777777">
      <w:pPr>
        <w:rPr>
          <w:b/>
          <w:bCs/>
        </w:rPr>
      </w:pPr>
      <w:r w:rsidRPr="00744409">
        <w:rPr>
          <w:b/>
          <w:bCs/>
        </w:rPr>
        <w:t>Nu het zo lijkt te zijn dat dat het onderscheid tussen directe reclame, indirecte promotie, affiliates en zogenaamd informatieve doorverwijzing voor spelers nauwelijks nog zichtbaar en voor toezicht steeds moeilijker handhaafbaar is, deelt u de mening dat reclame voor online kansspelen in brede zin zou moeten worden verboden, juist om administratief ontwijken te voorkomen?</w:t>
      </w:r>
    </w:p>
    <w:p w:rsidRPr="00744409" w:rsidR="00821494" w:rsidP="00821494" w:rsidRDefault="00821494" w14:paraId="340C89E9" w14:textId="77777777">
      <w:pPr>
        <w:rPr>
          <w:b/>
          <w:bCs/>
        </w:rPr>
      </w:pPr>
    </w:p>
    <w:p w:rsidRPr="00744409" w:rsidR="00821494" w:rsidP="00821494" w:rsidRDefault="00821494" w14:paraId="60138164" w14:textId="77777777">
      <w:pPr>
        <w:rPr>
          <w:b/>
          <w:bCs/>
        </w:rPr>
      </w:pPr>
      <w:r w:rsidRPr="00744409">
        <w:rPr>
          <w:b/>
          <w:bCs/>
        </w:rPr>
        <w:t>Antwoord op vraag 8</w:t>
      </w:r>
    </w:p>
    <w:p w:rsidRPr="00744409" w:rsidR="00821494" w:rsidP="00821494" w:rsidRDefault="00821494" w14:paraId="6757B9AF" w14:textId="77777777">
      <w:pPr>
        <w:spacing w:line="276" w:lineRule="auto"/>
      </w:pPr>
      <w:r w:rsidRPr="00744409">
        <w:t>In lijn met het coalitieakkoord werk ik aan een verbod op reclame voor online kansspelen. Bij de vormgeving daarvan kijk ik nadrukkelijk naar de uitvoerbaarheid en handhaafbaarheid, mede met het oog op het voorkomen van ontwijkingsgedrag.</w:t>
      </w:r>
    </w:p>
    <w:p w:rsidRPr="00744409" w:rsidR="00821494" w:rsidP="00821494" w:rsidRDefault="00821494" w14:paraId="2B7B5F0B" w14:textId="77777777">
      <w:pPr>
        <w:spacing w:line="276" w:lineRule="auto"/>
      </w:pPr>
    </w:p>
    <w:p w:rsidRPr="00744409" w:rsidR="00821494" w:rsidP="00821494" w:rsidRDefault="00821494" w14:paraId="36F9F520" w14:textId="77777777">
      <w:pPr>
        <w:spacing w:line="240" w:lineRule="auto"/>
        <w:rPr>
          <w:b/>
          <w:bCs/>
        </w:rPr>
      </w:pPr>
      <w:r w:rsidRPr="00744409">
        <w:rPr>
          <w:b/>
          <w:bCs/>
        </w:rPr>
        <w:t>Vraag 9</w:t>
      </w:r>
    </w:p>
    <w:p w:rsidRPr="00744409" w:rsidR="00821494" w:rsidP="00821494" w:rsidRDefault="00821494" w14:paraId="2E3D9515" w14:textId="77777777">
      <w:pPr>
        <w:rPr>
          <w:b/>
          <w:bCs/>
        </w:rPr>
      </w:pPr>
      <w:r w:rsidRPr="00744409">
        <w:rPr>
          <w:b/>
          <w:bCs/>
        </w:rPr>
        <w:t>Bent u bekend met de oproep van Verslavingskunde Nederland en de Nederlandse ggz voor een totaalverbod op gokreclame? Deelt u de opvatting dat een dergelijk verbod effectiever en eenvoudiger handhaafbaar kan zijn dan in elk geval het huidige stelsel van gedeeltelijke beperkingen maar ook het in het coalitieakkoord aangekondigde reclameverbod voor online gokken?</w:t>
      </w:r>
    </w:p>
    <w:p w:rsidRPr="00744409" w:rsidR="00821494" w:rsidP="00821494" w:rsidRDefault="00821494" w14:paraId="0B8D12E9" w14:textId="77777777">
      <w:r w:rsidRPr="00744409">
        <w:rPr>
          <w:b/>
          <w:bCs/>
        </w:rPr>
        <w:br/>
        <w:t>Antwoord op vraag 9</w:t>
      </w:r>
    </w:p>
    <w:p w:rsidRPr="00744409" w:rsidR="00821494" w:rsidP="00821494" w:rsidRDefault="00821494" w14:paraId="3E1B24AD" w14:textId="77777777">
      <w:bookmarkStart w:name="_Hlk229473596" w:id="5"/>
      <w:r w:rsidRPr="00744409">
        <w:t xml:space="preserve">Ja, ik ben bekend met deze oproep. Voor zover bij mij bekend betreft de oproep van de Nederlandse ggz en Verslavingskunde Nederland een volledig </w:t>
      </w:r>
      <w:r w:rsidRPr="00744409">
        <w:lastRenderedPageBreak/>
        <w:t>reclameverbod voor online gokken, zoals ook geuit in een eerdere brief aan de vaste Kamercommissie voor Justitie en Veiligheid.</w:t>
      </w:r>
      <w:r w:rsidRPr="00744409">
        <w:rPr>
          <w:rStyle w:val="Voetnootmarkering"/>
        </w:rPr>
        <w:footnoteReference w:id="3"/>
      </w:r>
    </w:p>
    <w:p w:rsidRPr="00744409" w:rsidR="00821494" w:rsidP="00821494" w:rsidRDefault="00821494" w14:paraId="325AC4E2" w14:textId="77777777">
      <w:r w:rsidRPr="00744409">
        <w:t>Zoals aangegeven in mijn antwoord op vraag 8 werk ik, in lijn met het coalitieakkoord en de oproep van de Nederlandse ggz en Verslavingskunde Nederland, aan een verbod op reclame voor online kansspelen. Daarbij vind ik het van belang dat het verbod uitvoerbaar en handhaafbaar is, mede met het oog op het voorkomen van ontwijkingsgedrag. Eenduidigheid in regelgeving kan daaraan bijdragen. Ik geef nu prioriteit aan wijzigingen in wet- en regelgeving voor kansspelen op afstand in verband met de zorgelijke ontwikkelingen aldaar. Nadat het wetgevingstraject rond kansspelen op afstand is afgerond, buig ik mij over de eventuele resterende vraagstukken met betrekking tot het landgebonden aanbod</w:t>
      </w:r>
      <w:bookmarkEnd w:id="5"/>
      <w:r w:rsidRPr="00744409">
        <w:t>.</w:t>
      </w:r>
    </w:p>
    <w:p w:rsidR="00821494" w:rsidP="00821494" w:rsidRDefault="00821494" w14:paraId="5F3FE93E" w14:textId="77777777">
      <w:pPr>
        <w:rPr>
          <w:b/>
          <w:bCs/>
        </w:rPr>
      </w:pPr>
    </w:p>
    <w:p w:rsidRPr="00744409" w:rsidR="00821494" w:rsidP="00821494" w:rsidRDefault="00821494" w14:paraId="31E3D2E1" w14:textId="77777777">
      <w:pPr>
        <w:rPr>
          <w:b/>
          <w:bCs/>
        </w:rPr>
      </w:pPr>
      <w:r w:rsidRPr="00744409">
        <w:rPr>
          <w:b/>
          <w:bCs/>
        </w:rPr>
        <w:t>Vraag 10</w:t>
      </w:r>
    </w:p>
    <w:p w:rsidRPr="00744409" w:rsidR="00821494" w:rsidP="00821494" w:rsidRDefault="00821494" w14:paraId="0C1DD609" w14:textId="77777777">
      <w:pPr>
        <w:rPr>
          <w:b/>
          <w:bCs/>
        </w:rPr>
      </w:pPr>
      <w:r w:rsidRPr="00744409">
        <w:rPr>
          <w:b/>
          <w:bCs/>
        </w:rPr>
        <w:t>Kunt u deze vragen afzonderlijk en ruim voorafgaand aan het commissiedebat over kansspelen op 24 juni 2026 beantwoorden?</w:t>
      </w:r>
    </w:p>
    <w:p w:rsidRPr="00744409" w:rsidR="00821494" w:rsidP="00821494" w:rsidRDefault="00821494" w14:paraId="6FA8D801" w14:textId="77777777">
      <w:pPr>
        <w:rPr>
          <w:b/>
          <w:bCs/>
        </w:rPr>
      </w:pPr>
    </w:p>
    <w:p w:rsidRPr="00744409" w:rsidR="00821494" w:rsidP="00821494" w:rsidRDefault="00821494" w14:paraId="3B739C2B" w14:textId="77777777">
      <w:pPr>
        <w:rPr>
          <w:b/>
          <w:bCs/>
        </w:rPr>
      </w:pPr>
      <w:r w:rsidRPr="00744409">
        <w:rPr>
          <w:b/>
          <w:bCs/>
        </w:rPr>
        <w:t>Antwoord op vraag 10</w:t>
      </w:r>
    </w:p>
    <w:p w:rsidR="00821494" w:rsidP="00821494" w:rsidRDefault="00821494" w14:paraId="5D3AF68F" w14:textId="77777777">
      <w:pPr>
        <w:rPr>
          <w:b/>
          <w:bCs/>
        </w:rPr>
      </w:pPr>
      <w:r w:rsidRPr="00744409">
        <w:t>Ja.</w:t>
      </w:r>
    </w:p>
    <w:p w:rsidR="002C3023" w:rsidRDefault="002C3023" w14:paraId="3A11BD17" w14:textId="77777777"/>
    <w:sectPr w:rsidR="002C3023" w:rsidSect="0082149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67DA" w14:textId="77777777" w:rsidR="006A1498" w:rsidRDefault="006A1498" w:rsidP="00821494">
      <w:pPr>
        <w:spacing w:after="0" w:line="240" w:lineRule="auto"/>
      </w:pPr>
      <w:r>
        <w:separator/>
      </w:r>
    </w:p>
  </w:endnote>
  <w:endnote w:type="continuationSeparator" w:id="0">
    <w:p w14:paraId="6CAE5CF4" w14:textId="77777777" w:rsidR="006A1498" w:rsidRDefault="006A1498" w:rsidP="0082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8F41" w14:textId="77777777" w:rsidR="00821494" w:rsidRPr="00821494" w:rsidRDefault="00821494" w:rsidP="008214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167A" w14:textId="77777777" w:rsidR="006A1498" w:rsidRPr="00821494" w:rsidRDefault="006A1498" w:rsidP="008214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9432" w14:textId="77777777" w:rsidR="00821494" w:rsidRPr="00821494" w:rsidRDefault="00821494" w:rsidP="008214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7DAD" w14:textId="77777777" w:rsidR="006A1498" w:rsidRDefault="006A1498" w:rsidP="00821494">
      <w:pPr>
        <w:spacing w:after="0" w:line="240" w:lineRule="auto"/>
      </w:pPr>
      <w:r>
        <w:separator/>
      </w:r>
    </w:p>
  </w:footnote>
  <w:footnote w:type="continuationSeparator" w:id="0">
    <w:p w14:paraId="6EF45959" w14:textId="77777777" w:rsidR="006A1498" w:rsidRDefault="006A1498" w:rsidP="00821494">
      <w:pPr>
        <w:spacing w:after="0" w:line="240" w:lineRule="auto"/>
      </w:pPr>
      <w:r>
        <w:continuationSeparator/>
      </w:r>
    </w:p>
  </w:footnote>
  <w:footnote w:id="1">
    <w:p w14:paraId="21E97BD7" w14:textId="77777777" w:rsidR="00821494" w:rsidRDefault="00821494" w:rsidP="00821494">
      <w:pPr>
        <w:pStyle w:val="Voetnoottekst"/>
      </w:pPr>
      <w:r>
        <w:rPr>
          <w:rStyle w:val="Voetnootmarkering"/>
        </w:rPr>
        <w:footnoteRef/>
      </w:r>
      <w:r>
        <w:t xml:space="preserve"> </w:t>
      </w:r>
      <w:r>
        <w:rPr>
          <w:rFonts w:ascii="Verdana" w:hAnsi="Verdana"/>
          <w:sz w:val="16"/>
          <w:szCs w:val="16"/>
        </w:rPr>
        <w:t>NPO, Gokkers in je tijdlijn (https://npo.nl/start/afspelen/zembla_135).</w:t>
      </w:r>
    </w:p>
  </w:footnote>
  <w:footnote w:id="2">
    <w:p w14:paraId="15409EC8" w14:textId="77777777" w:rsidR="00821494" w:rsidRDefault="00821494" w:rsidP="00821494">
      <w:pPr>
        <w:pStyle w:val="Voetnoottekst"/>
      </w:pPr>
      <w:r>
        <w:rPr>
          <w:rStyle w:val="Voetnootmarkering"/>
        </w:rPr>
        <w:footnoteRef/>
      </w:r>
      <w:r>
        <w:t xml:space="preserve"> </w:t>
      </w:r>
      <w:r>
        <w:rPr>
          <w:i/>
          <w:iCs/>
        </w:rPr>
        <w:t>Rolmodellenverbod verder verduidelijkt: beëindig samenwerking met influencers en streamers | Kansspelautoriteit</w:t>
      </w:r>
      <w:r>
        <w:t>. (2026, 24 februari). Kansspelautoriteit. https://kansspelautoriteit.nl/rolmodellenverbod-verder-verduidelijkt-beeindig-samenwerking-met-influencers-en-streamers</w:t>
      </w:r>
    </w:p>
    <w:p w14:paraId="6B18108E" w14:textId="77777777" w:rsidR="00821494" w:rsidRDefault="00821494" w:rsidP="00821494">
      <w:pPr>
        <w:pStyle w:val="Voetnoottekst"/>
      </w:pPr>
    </w:p>
  </w:footnote>
  <w:footnote w:id="3">
    <w:p w14:paraId="154016BE" w14:textId="77777777" w:rsidR="00821494" w:rsidRPr="002A5965" w:rsidRDefault="00821494" w:rsidP="00821494">
      <w:pPr>
        <w:pStyle w:val="Voetnoottekst"/>
        <w:rPr>
          <w:lang w:val="en-US"/>
        </w:rPr>
      </w:pPr>
      <w:r w:rsidRPr="002A5965">
        <w:rPr>
          <w:rStyle w:val="Voetnootmarkering"/>
        </w:rPr>
        <w:footnoteRef/>
      </w:r>
      <w:r w:rsidRPr="002A5965">
        <w:t xml:space="preserve"> De Nederlandse ggz &amp; Vereniging voor Verslavingsgeneeskunde Nederland. (2025, 13 maart). </w:t>
      </w:r>
      <w:r w:rsidRPr="002A5965">
        <w:rPr>
          <w:i/>
          <w:iCs/>
        </w:rPr>
        <w:t>Inbreng commissiedebat kansspelen 27 maart</w:t>
      </w:r>
      <w:r w:rsidRPr="002A5965">
        <w:t xml:space="preserve"> [Brief aan de vaste Kamercommissie voor Justitie en Veiligheid]. </w:t>
      </w:r>
      <w:r w:rsidRPr="002A5965">
        <w:rPr>
          <w:lang w:val="en-US"/>
        </w:rPr>
        <w:t xml:space="preserve">GGZ Community. </w:t>
      </w:r>
      <w:hyperlink r:id="rId1" w:anchor="folder=3007573" w:tgtFrame="_new" w:history="1">
        <w:r w:rsidRPr="002A5965">
          <w:rPr>
            <w:rStyle w:val="Hyperlink"/>
            <w:lang w:val="en-US"/>
          </w:rPr>
          <w:t>https://www.ggzcommunity.nl/politiek/kamerbrieven/default.aspx#folder=3007573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BEBA" w14:textId="77777777" w:rsidR="00821494" w:rsidRPr="00821494" w:rsidRDefault="00821494" w:rsidP="008214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781" w14:textId="77777777" w:rsidR="006A1498" w:rsidRPr="00821494" w:rsidRDefault="006A1498" w:rsidP="008214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6B2" w14:textId="77777777" w:rsidR="006A1498" w:rsidRPr="00821494" w:rsidRDefault="006A1498" w:rsidP="008214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94"/>
    <w:rsid w:val="002C3023"/>
    <w:rsid w:val="006A1498"/>
    <w:rsid w:val="00821494"/>
    <w:rsid w:val="00AE4E6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BD46C"/>
  <w15:chartTrackingRefBased/>
  <w15:docId w15:val="{FC13009A-CB12-414A-ADE0-E5873E6E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4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4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4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4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4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4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4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4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4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4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4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4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4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4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4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494"/>
    <w:rPr>
      <w:rFonts w:eastAsiaTheme="majorEastAsia" w:cstheme="majorBidi"/>
      <w:color w:val="272727" w:themeColor="text1" w:themeTint="D8"/>
    </w:rPr>
  </w:style>
  <w:style w:type="paragraph" w:styleId="Titel">
    <w:name w:val="Title"/>
    <w:basedOn w:val="Standaard"/>
    <w:next w:val="Standaard"/>
    <w:link w:val="TitelChar"/>
    <w:uiPriority w:val="10"/>
    <w:qFormat/>
    <w:rsid w:val="0082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4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4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4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4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494"/>
    <w:rPr>
      <w:i/>
      <w:iCs/>
      <w:color w:val="404040" w:themeColor="text1" w:themeTint="BF"/>
    </w:rPr>
  </w:style>
  <w:style w:type="paragraph" w:styleId="Lijstalinea">
    <w:name w:val="List Paragraph"/>
    <w:basedOn w:val="Standaard"/>
    <w:uiPriority w:val="34"/>
    <w:qFormat/>
    <w:rsid w:val="00821494"/>
    <w:pPr>
      <w:ind w:left="720"/>
      <w:contextualSpacing/>
    </w:pPr>
  </w:style>
  <w:style w:type="character" w:styleId="Intensievebenadrukking">
    <w:name w:val="Intense Emphasis"/>
    <w:basedOn w:val="Standaardalinea-lettertype"/>
    <w:uiPriority w:val="21"/>
    <w:qFormat/>
    <w:rsid w:val="00821494"/>
    <w:rPr>
      <w:i/>
      <w:iCs/>
      <w:color w:val="0F4761" w:themeColor="accent1" w:themeShade="BF"/>
    </w:rPr>
  </w:style>
  <w:style w:type="paragraph" w:styleId="Duidelijkcitaat">
    <w:name w:val="Intense Quote"/>
    <w:basedOn w:val="Standaard"/>
    <w:next w:val="Standaard"/>
    <w:link w:val="DuidelijkcitaatChar"/>
    <w:uiPriority w:val="30"/>
    <w:qFormat/>
    <w:rsid w:val="0082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494"/>
    <w:rPr>
      <w:i/>
      <w:iCs/>
      <w:color w:val="0F4761" w:themeColor="accent1" w:themeShade="BF"/>
    </w:rPr>
  </w:style>
  <w:style w:type="character" w:styleId="Intensieveverwijzing">
    <w:name w:val="Intense Reference"/>
    <w:basedOn w:val="Standaardalinea-lettertype"/>
    <w:uiPriority w:val="32"/>
    <w:qFormat/>
    <w:rsid w:val="00821494"/>
    <w:rPr>
      <w:b/>
      <w:bCs/>
      <w:smallCaps/>
      <w:color w:val="0F4761" w:themeColor="accent1" w:themeShade="BF"/>
      <w:spacing w:val="5"/>
    </w:rPr>
  </w:style>
  <w:style w:type="character" w:styleId="Hyperlink">
    <w:name w:val="Hyperlink"/>
    <w:basedOn w:val="Standaardalinea-lettertype"/>
    <w:uiPriority w:val="99"/>
    <w:unhideWhenUsed/>
    <w:rsid w:val="00821494"/>
    <w:rPr>
      <w:color w:val="467886" w:themeColor="hyperlink"/>
      <w:u w:val="single"/>
    </w:rPr>
  </w:style>
  <w:style w:type="paragraph" w:customStyle="1" w:styleId="Referentiegegevens">
    <w:name w:val="Referentiegegevens"/>
    <w:basedOn w:val="Standaard"/>
    <w:next w:val="Standaard"/>
    <w:rsid w:val="008214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14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14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214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2149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149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21494"/>
    <w:rPr>
      <w:vertAlign w:val="superscript"/>
    </w:rPr>
  </w:style>
  <w:style w:type="paragraph" w:styleId="Koptekst">
    <w:name w:val="header"/>
    <w:basedOn w:val="Standaard"/>
    <w:link w:val="KoptekstChar"/>
    <w:uiPriority w:val="99"/>
    <w:unhideWhenUsed/>
    <w:rsid w:val="008214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494"/>
  </w:style>
  <w:style w:type="paragraph" w:styleId="Voettekst">
    <w:name w:val="footer"/>
    <w:basedOn w:val="Standaard"/>
    <w:link w:val="VoettekstChar"/>
    <w:uiPriority w:val="99"/>
    <w:unhideWhenUsed/>
    <w:rsid w:val="008214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494"/>
  </w:style>
  <w:style w:type="paragraph" w:styleId="Geenafstand">
    <w:name w:val="No Spacing"/>
    <w:uiPriority w:val="1"/>
    <w:qFormat/>
    <w:rsid w:val="00821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gzcommunity.nl/politiek/kamerbrieven/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1658</ap:Words>
  <ap:Characters>9123</ap:Characters>
  <ap:DocSecurity>0</ap:DocSecurity>
  <ap:Lines>76</ap:Lines>
  <ap:Paragraphs>21</ap:Paragraphs>
  <ap:ScaleCrop>false</ap:ScaleCrop>
  <ap:LinksUpToDate>false</ap:LinksUpToDate>
  <ap:CharactersWithSpaces>10760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2026-06-01T15:02:00.0000000Z</dcterms:created>
  <dcterms:modified xsi:type="dcterms:W3CDTF">2026-06-01T15:03:00.0000000Z</dcterms:modified>
  <version/>
  <category/>
</coreProperties>
</file>