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80516" w:rsidTr="00D9561B" w14:paraId="47C9DFF1" w14:textId="77777777">
        <w:trPr>
          <w:trHeight w:val="1514"/>
        </w:trPr>
        <w:tc>
          <w:tcPr>
            <w:tcW w:w="7522" w:type="dxa"/>
            <w:tcBorders>
              <w:top w:val="nil"/>
              <w:left w:val="nil"/>
              <w:bottom w:val="nil"/>
              <w:right w:val="nil"/>
            </w:tcBorders>
            <w:tcMar>
              <w:left w:w="0" w:type="dxa"/>
              <w:right w:w="0" w:type="dxa"/>
            </w:tcMar>
          </w:tcPr>
          <w:p w:rsidR="00374412" w:rsidP="00D9561B" w:rsidRDefault="007133B7" w14:paraId="55222A67" w14:textId="77777777">
            <w:r>
              <w:t>De v</w:t>
            </w:r>
            <w:r w:rsidR="008E3932">
              <w:t>oorzitter van de Tweede Kamer der Staten-Generaal</w:t>
            </w:r>
          </w:p>
          <w:p w:rsidR="00374412" w:rsidP="00D9561B" w:rsidRDefault="007133B7" w14:paraId="1AC1A3C3" w14:textId="77777777">
            <w:r>
              <w:t>Postbus 20018</w:t>
            </w:r>
          </w:p>
          <w:p w:rsidR="008E3932" w:rsidP="00D9561B" w:rsidRDefault="007133B7" w14:paraId="11B42A5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80516" w:rsidTr="00FF66F9" w14:paraId="2849CF84" w14:textId="77777777">
        <w:trPr>
          <w:trHeight w:val="289" w:hRule="exact"/>
        </w:trPr>
        <w:tc>
          <w:tcPr>
            <w:tcW w:w="929" w:type="dxa"/>
          </w:tcPr>
          <w:p w:rsidRPr="00434042" w:rsidR="0005404B" w:rsidP="00FF66F9" w:rsidRDefault="007133B7" w14:paraId="26A0F632" w14:textId="77777777">
            <w:pPr>
              <w:rPr>
                <w:lang w:eastAsia="en-US"/>
              </w:rPr>
            </w:pPr>
            <w:r>
              <w:rPr>
                <w:lang w:eastAsia="en-US"/>
              </w:rPr>
              <w:t>Datum</w:t>
            </w:r>
          </w:p>
        </w:tc>
        <w:tc>
          <w:tcPr>
            <w:tcW w:w="6581" w:type="dxa"/>
          </w:tcPr>
          <w:p w:rsidRPr="00434042" w:rsidR="0005404B" w:rsidP="00FF66F9" w:rsidRDefault="00AE5DA0" w14:paraId="0811A73F" w14:textId="50695A34">
            <w:pPr>
              <w:rPr>
                <w:lang w:eastAsia="en-US"/>
              </w:rPr>
            </w:pPr>
            <w:r>
              <w:rPr>
                <w:lang w:eastAsia="en-US"/>
              </w:rPr>
              <w:t>1 juni 2026</w:t>
            </w:r>
          </w:p>
        </w:tc>
      </w:tr>
      <w:tr w:rsidR="00A80516" w:rsidTr="00FF66F9" w14:paraId="15DE90D3" w14:textId="77777777">
        <w:trPr>
          <w:trHeight w:val="368"/>
        </w:trPr>
        <w:tc>
          <w:tcPr>
            <w:tcW w:w="929" w:type="dxa"/>
          </w:tcPr>
          <w:p w:rsidR="0005404B" w:rsidP="00FF66F9" w:rsidRDefault="007133B7" w14:paraId="32AAB433" w14:textId="77777777">
            <w:pPr>
              <w:rPr>
                <w:lang w:eastAsia="en-US"/>
              </w:rPr>
            </w:pPr>
            <w:r>
              <w:rPr>
                <w:lang w:eastAsia="en-US"/>
              </w:rPr>
              <w:t>Betreft</w:t>
            </w:r>
          </w:p>
        </w:tc>
        <w:tc>
          <w:tcPr>
            <w:tcW w:w="6581" w:type="dxa"/>
          </w:tcPr>
          <w:p w:rsidR="0005404B" w:rsidP="00FF66F9" w:rsidRDefault="007133B7" w14:paraId="59CFD9AC" w14:textId="3B069398">
            <w:pPr>
              <w:rPr>
                <w:lang w:eastAsia="en-US"/>
              </w:rPr>
            </w:pPr>
            <w:r>
              <w:rPr>
                <w:lang w:eastAsia="en-US"/>
              </w:rPr>
              <w:t xml:space="preserve">Kabinetsreactie </w:t>
            </w:r>
            <w:r w:rsidR="0034609D">
              <w:rPr>
                <w:lang w:eastAsia="en-US"/>
              </w:rPr>
              <w:t xml:space="preserve">op het onderzoek </w:t>
            </w:r>
            <w:r w:rsidRPr="0034609D" w:rsidR="0034609D">
              <w:rPr>
                <w:i/>
                <w:iCs/>
                <w:lang w:eastAsia="en-US"/>
              </w:rPr>
              <w:t>De lhbtiq+-opvattingen van jongeren</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E3217" w:rsidR="00A80516" w:rsidTr="00A421A1" w14:paraId="589619E3" w14:textId="77777777">
        <w:tc>
          <w:tcPr>
            <w:tcW w:w="2160" w:type="dxa"/>
          </w:tcPr>
          <w:p w:rsidRPr="00F53C9D" w:rsidR="006205C0" w:rsidP="00686AED" w:rsidRDefault="007133B7" w14:paraId="7CFBBFE9" w14:textId="77777777">
            <w:pPr>
              <w:pStyle w:val="Colofonkop"/>
              <w:framePr w:hSpace="0" w:wrap="auto" w:hAnchor="text" w:vAnchor="margin" w:xAlign="left" w:yAlign="inline"/>
            </w:pPr>
            <w:r>
              <w:t>Emancipatie</w:t>
            </w:r>
          </w:p>
          <w:p w:rsidR="006205C0" w:rsidP="00A421A1" w:rsidRDefault="007133B7" w14:paraId="60FE58A3" w14:textId="77777777">
            <w:pPr>
              <w:pStyle w:val="Huisstijl-Gegeven"/>
              <w:spacing w:after="0"/>
            </w:pPr>
            <w:r>
              <w:t xml:space="preserve">Rijnstraat 50 </w:t>
            </w:r>
          </w:p>
          <w:p w:rsidR="004425A7" w:rsidP="00E972A2" w:rsidRDefault="007133B7" w14:paraId="189B3CF5" w14:textId="77777777">
            <w:pPr>
              <w:pStyle w:val="Huisstijl-Gegeven"/>
              <w:spacing w:after="0"/>
            </w:pPr>
            <w:r>
              <w:t>Den Haag</w:t>
            </w:r>
          </w:p>
          <w:p w:rsidR="004425A7" w:rsidP="00E972A2" w:rsidRDefault="007133B7" w14:paraId="167E5162" w14:textId="77777777">
            <w:pPr>
              <w:pStyle w:val="Huisstijl-Gegeven"/>
              <w:spacing w:after="0"/>
            </w:pPr>
            <w:r>
              <w:t>Postbus 16375</w:t>
            </w:r>
          </w:p>
          <w:p w:rsidR="004425A7" w:rsidP="00E972A2" w:rsidRDefault="007133B7" w14:paraId="0704CFEE" w14:textId="77777777">
            <w:pPr>
              <w:pStyle w:val="Huisstijl-Gegeven"/>
              <w:spacing w:after="0"/>
            </w:pPr>
            <w:r>
              <w:t>2500 BJ Den Haag</w:t>
            </w:r>
          </w:p>
          <w:p w:rsidR="004425A7" w:rsidP="00E972A2" w:rsidRDefault="007133B7" w14:paraId="5EA9A132" w14:textId="77777777">
            <w:pPr>
              <w:pStyle w:val="Huisstijl-Gegeven"/>
              <w:spacing w:after="90"/>
            </w:pPr>
            <w:r>
              <w:t>www.rijksoverheid.nl</w:t>
            </w:r>
          </w:p>
          <w:p w:rsidRPr="00D86CC6" w:rsidR="006205C0" w:rsidP="00A421A1" w:rsidRDefault="007133B7" w14:paraId="2C99DCCC" w14:textId="77777777">
            <w:pPr>
              <w:spacing w:line="180" w:lineRule="exact"/>
              <w:rPr>
                <w:b/>
                <w:sz w:val="13"/>
                <w:szCs w:val="13"/>
              </w:rPr>
            </w:pPr>
            <w:r>
              <w:rPr>
                <w:b/>
                <w:sz w:val="13"/>
                <w:szCs w:val="13"/>
              </w:rPr>
              <w:t>Contactpersoon</w:t>
            </w:r>
          </w:p>
          <w:p w:rsidR="006205C0" w:rsidP="00A421A1" w:rsidRDefault="006205C0" w14:paraId="627BD0F8" w14:textId="77777777">
            <w:pPr>
              <w:spacing w:line="180" w:lineRule="exact"/>
              <w:rPr>
                <w:sz w:val="13"/>
                <w:szCs w:val="13"/>
              </w:rPr>
            </w:pPr>
          </w:p>
          <w:p w:rsidR="00AE5DA0" w:rsidP="00A421A1" w:rsidRDefault="00AE5DA0" w14:paraId="4F033EE5" w14:textId="77777777">
            <w:pPr>
              <w:spacing w:line="180" w:lineRule="exact"/>
              <w:rPr>
                <w:sz w:val="13"/>
                <w:szCs w:val="13"/>
              </w:rPr>
            </w:pPr>
          </w:p>
          <w:p w:rsidRPr="005F22D2" w:rsidR="00AE5DA0" w:rsidP="00A421A1" w:rsidRDefault="00AE5DA0" w14:paraId="566AC1B5" w14:textId="071D161A">
            <w:pPr>
              <w:spacing w:line="180" w:lineRule="exact"/>
              <w:rPr>
                <w:sz w:val="13"/>
                <w:szCs w:val="13"/>
              </w:rPr>
            </w:pPr>
          </w:p>
        </w:tc>
      </w:tr>
      <w:tr w:rsidRPr="008E3217" w:rsidR="00A80516" w:rsidTr="00A421A1" w14:paraId="79DCB567" w14:textId="77777777">
        <w:trPr>
          <w:trHeight w:val="200" w:hRule="exact"/>
        </w:trPr>
        <w:tc>
          <w:tcPr>
            <w:tcW w:w="2160" w:type="dxa"/>
          </w:tcPr>
          <w:p w:rsidRPr="005F22D2" w:rsidR="006205C0" w:rsidP="00A421A1" w:rsidRDefault="006205C0" w14:paraId="116C1134" w14:textId="77777777">
            <w:pPr>
              <w:spacing w:after="90" w:line="180" w:lineRule="exact"/>
              <w:rPr>
                <w:sz w:val="13"/>
                <w:szCs w:val="13"/>
              </w:rPr>
            </w:pPr>
          </w:p>
        </w:tc>
      </w:tr>
      <w:tr w:rsidR="00A80516" w:rsidTr="00A421A1" w14:paraId="7DC9FF9A" w14:textId="77777777">
        <w:trPr>
          <w:trHeight w:val="450"/>
        </w:trPr>
        <w:tc>
          <w:tcPr>
            <w:tcW w:w="2160" w:type="dxa"/>
          </w:tcPr>
          <w:p w:rsidR="00F51A76" w:rsidP="00A421A1" w:rsidRDefault="007133B7" w14:paraId="2328357E" w14:textId="77777777">
            <w:pPr>
              <w:spacing w:line="180" w:lineRule="exact"/>
              <w:rPr>
                <w:b/>
                <w:sz w:val="13"/>
                <w:szCs w:val="13"/>
              </w:rPr>
            </w:pPr>
            <w:r>
              <w:rPr>
                <w:b/>
                <w:sz w:val="13"/>
                <w:szCs w:val="13"/>
              </w:rPr>
              <w:t>Onze referentie</w:t>
            </w:r>
          </w:p>
          <w:p w:rsidRPr="00FA7882" w:rsidR="006205C0" w:rsidP="00215356" w:rsidRDefault="007133B7" w14:paraId="5898ED07" w14:textId="77777777">
            <w:pPr>
              <w:spacing w:line="180" w:lineRule="exact"/>
              <w:rPr>
                <w:sz w:val="13"/>
                <w:szCs w:val="13"/>
              </w:rPr>
            </w:pPr>
            <w:r>
              <w:rPr>
                <w:sz w:val="13"/>
                <w:szCs w:val="13"/>
              </w:rPr>
              <w:t>63625671</w:t>
            </w:r>
          </w:p>
        </w:tc>
      </w:tr>
      <w:tr w:rsidR="00A80516" w:rsidTr="00D130C0" w14:paraId="79EAA890" w14:textId="77777777">
        <w:trPr>
          <w:trHeight w:val="113"/>
        </w:trPr>
        <w:tc>
          <w:tcPr>
            <w:tcW w:w="2160" w:type="dxa"/>
          </w:tcPr>
          <w:p w:rsidRPr="00C5333A" w:rsidR="006205C0" w:rsidP="00D36088" w:rsidRDefault="007133B7" w14:paraId="495FC3E3" w14:textId="77777777">
            <w:pPr>
              <w:tabs>
                <w:tab w:val="center" w:pos="1080"/>
              </w:tabs>
              <w:spacing w:line="180" w:lineRule="exact"/>
              <w:rPr>
                <w:sz w:val="13"/>
                <w:szCs w:val="13"/>
              </w:rPr>
            </w:pPr>
            <w:r>
              <w:rPr>
                <w:b/>
                <w:sz w:val="13"/>
                <w:szCs w:val="13"/>
              </w:rPr>
              <w:t>Bijlagen</w:t>
            </w:r>
          </w:p>
        </w:tc>
      </w:tr>
      <w:tr w:rsidR="00A80516" w:rsidTr="00D130C0" w14:paraId="67672BB4" w14:textId="77777777">
        <w:trPr>
          <w:trHeight w:val="113"/>
        </w:trPr>
        <w:tc>
          <w:tcPr>
            <w:tcW w:w="2160" w:type="dxa"/>
          </w:tcPr>
          <w:p w:rsidR="006205C0" w:rsidP="0034609D" w:rsidRDefault="0034609D" w14:paraId="168D9574" w14:textId="77777777">
            <w:pPr>
              <w:spacing w:line="180" w:lineRule="exact"/>
              <w:rPr>
                <w:sz w:val="13"/>
              </w:rPr>
            </w:pPr>
            <w:r>
              <w:rPr>
                <w:sz w:val="13"/>
              </w:rPr>
              <w:t>1. Literatuurstudie</w:t>
            </w:r>
          </w:p>
          <w:p w:rsidR="0034609D" w:rsidP="0034609D" w:rsidRDefault="0034609D" w14:paraId="0963A063" w14:textId="77777777">
            <w:pPr>
              <w:spacing w:line="180" w:lineRule="exact"/>
              <w:rPr>
                <w:sz w:val="13"/>
              </w:rPr>
            </w:pPr>
            <w:r>
              <w:rPr>
                <w:sz w:val="13"/>
              </w:rPr>
              <w:t>2. Empirische studie</w:t>
            </w:r>
          </w:p>
          <w:p w:rsidRPr="00D74F66" w:rsidR="0034609D" w:rsidP="0034609D" w:rsidRDefault="0034609D" w14:paraId="3A5198FE" w14:textId="3F1E91FF">
            <w:pPr>
              <w:spacing w:line="180" w:lineRule="exact"/>
              <w:rPr>
                <w:sz w:val="13"/>
              </w:rPr>
            </w:pPr>
            <w:r>
              <w:rPr>
                <w:sz w:val="13"/>
              </w:rPr>
              <w:t>3. Managementsamenvatting</w:t>
            </w:r>
          </w:p>
        </w:tc>
      </w:tr>
    </w:tbl>
    <w:p w:rsidR="00A96C0D" w:rsidP="00CA35E4" w:rsidRDefault="00B66453" w14:paraId="0D569804" w14:textId="03C2E875">
      <w:r>
        <w:t>Gelijkwaardigheid</w:t>
      </w:r>
      <w:r w:rsidR="00804B6A">
        <w:t xml:space="preserve"> en </w:t>
      </w:r>
      <w:r w:rsidR="009E3C91">
        <w:t xml:space="preserve">vrijheid </w:t>
      </w:r>
      <w:r w:rsidR="005F22D2">
        <w:t xml:space="preserve">zijn fundamentele waarden </w:t>
      </w:r>
      <w:r w:rsidR="001261B1">
        <w:t>in</w:t>
      </w:r>
      <w:r w:rsidR="00205293">
        <w:t xml:space="preserve"> onze democratische rechtsstaat. Deze </w:t>
      </w:r>
      <w:r w:rsidRPr="005F22D2" w:rsidR="00205293">
        <w:t>waarden</w:t>
      </w:r>
      <w:r w:rsidR="00205293">
        <w:t xml:space="preserve"> zijn niet onderhandelbaar. </w:t>
      </w:r>
      <w:r w:rsidR="000A0E26">
        <w:t>I</w:t>
      </w:r>
      <w:r w:rsidR="00205293">
        <w:t xml:space="preserve">n Nederland ben je vrij om jezelf te zijn en te houden van wie je wilt. Dat is waar het kabinet voor staat. </w:t>
      </w:r>
      <w:r w:rsidR="005F22D2">
        <w:t xml:space="preserve">In de Nederlandse </w:t>
      </w:r>
      <w:r w:rsidR="000A0E26">
        <w:t xml:space="preserve">samenleving </w:t>
      </w:r>
      <w:r w:rsidR="005F22D2">
        <w:t xml:space="preserve">is </w:t>
      </w:r>
      <w:r w:rsidR="000A0E26">
        <w:t xml:space="preserve">ruimte voor een diversiteit aan opvattingen. </w:t>
      </w:r>
      <w:r w:rsidR="00763CF7">
        <w:t>V</w:t>
      </w:r>
      <w:r w:rsidR="009E3C91">
        <w:t>erschillende opvattingen</w:t>
      </w:r>
      <w:r w:rsidR="00763CF7">
        <w:t xml:space="preserve"> kunnen </w:t>
      </w:r>
      <w:r w:rsidR="009E3C91">
        <w:t>naast elkaar bestaan</w:t>
      </w:r>
      <w:r w:rsidR="00763CF7">
        <w:t xml:space="preserve">, maar </w:t>
      </w:r>
      <w:r w:rsidR="00C62BFF">
        <w:t xml:space="preserve">aan de gelijkwaardigheid van mensen valt niet te tornen. </w:t>
      </w:r>
      <w:r w:rsidR="0027329E">
        <w:t>De vrijheid van de één mag nooit ten koste gaan van de vrijheid van de ander.</w:t>
      </w:r>
    </w:p>
    <w:p w:rsidR="00A96C0D" w:rsidP="00CA35E4" w:rsidRDefault="00A96C0D" w14:paraId="1F1C97A3" w14:textId="77777777"/>
    <w:p w:rsidR="001B5CCA" w:rsidP="00CA35E4" w:rsidRDefault="009E3C91" w14:paraId="0A69D510" w14:textId="77777777">
      <w:r>
        <w:t xml:space="preserve">Het onderzoek </w:t>
      </w:r>
      <w:r w:rsidRPr="000A0E26">
        <w:rPr>
          <w:i/>
          <w:iCs/>
        </w:rPr>
        <w:t>De lhbtiq+-opvattingen van jongeren</w:t>
      </w:r>
      <w:r>
        <w:t xml:space="preserve"> is uitgevoerd </w:t>
      </w:r>
      <w:r w:rsidRPr="009E3C91" w:rsidR="001570FD">
        <w:t xml:space="preserve">door de Universiteit van Amsterdam </w:t>
      </w:r>
      <w:r w:rsidR="00FB2141">
        <w:t xml:space="preserve">(UvA) </w:t>
      </w:r>
      <w:r w:rsidRPr="009E3C91" w:rsidR="001570FD">
        <w:t>in opdracht van het ministerie van Onderwijs, Cultuur en Wetenschap.</w:t>
      </w:r>
      <w:r w:rsidR="001570FD">
        <w:t xml:space="preserve"> </w:t>
      </w:r>
      <w:r w:rsidR="005936F2">
        <w:t>In deze brief geeft het kabinet een reactie op d</w:t>
      </w:r>
      <w:r w:rsidR="006E49DF">
        <w:t>it onderzoek</w:t>
      </w:r>
      <w:r w:rsidR="005936F2">
        <w:t xml:space="preserve">. Daarmee komt het kabinet tegemoet aan het verzoek van de vaste commissie voor Onderwijs, Cultuur en Wetenschap </w:t>
      </w:r>
      <w:r w:rsidR="005F22D2">
        <w:t>om</w:t>
      </w:r>
      <w:r w:rsidR="005936F2">
        <w:t xml:space="preserve"> </w:t>
      </w:r>
      <w:r w:rsidR="005F22D2">
        <w:t>de</w:t>
      </w:r>
      <w:r w:rsidR="005936F2">
        <w:t xml:space="preserve"> </w:t>
      </w:r>
      <w:r w:rsidR="005F22D2">
        <w:t>k</w:t>
      </w:r>
      <w:r w:rsidR="005936F2">
        <w:t>abinetsreactie vóór het Commissiedebat Emancipatie van 25 juni aanstaande</w:t>
      </w:r>
      <w:r w:rsidR="005F22D2">
        <w:t xml:space="preserve"> te ontvangen</w:t>
      </w:r>
      <w:r w:rsidR="005936F2">
        <w:t xml:space="preserve">. </w:t>
      </w:r>
      <w:r w:rsidR="00AE440E">
        <w:t xml:space="preserve">Deze </w:t>
      </w:r>
      <w:r w:rsidR="005F22D2">
        <w:t>k</w:t>
      </w:r>
      <w:r w:rsidR="00AE440E">
        <w:t xml:space="preserve">abinetsreactie behelst een overzicht van de onderzoeksresultaten, een reactie op het onderzoek en de vervolgstappen die dit kabinet zet </w:t>
      </w:r>
      <w:r w:rsidR="00C62BFF">
        <w:t>voor het bevorderen van</w:t>
      </w:r>
      <w:r w:rsidR="00AE440E">
        <w:t xml:space="preserve"> lhbtiq+-acceptatie </w:t>
      </w:r>
      <w:r w:rsidR="005A2DAD">
        <w:t xml:space="preserve">en </w:t>
      </w:r>
      <w:r w:rsidR="00FB2141">
        <w:t>-</w:t>
      </w:r>
      <w:r w:rsidR="005A2DAD">
        <w:t>veiligheid</w:t>
      </w:r>
      <w:r w:rsidR="00AE440E">
        <w:t xml:space="preserve">. </w:t>
      </w:r>
    </w:p>
    <w:p w:rsidR="001B5CCA" w:rsidP="00CA35E4" w:rsidRDefault="001B5CCA" w14:paraId="1BA44786" w14:textId="77777777"/>
    <w:p w:rsidR="005936F2" w:rsidP="00CA35E4" w:rsidRDefault="0099051E" w14:paraId="048468B3" w14:textId="7B39A72E">
      <w:r>
        <w:t>Daarbij bouwt h</w:t>
      </w:r>
      <w:r w:rsidR="00AE440E">
        <w:t xml:space="preserve">et kabinet </w:t>
      </w:r>
      <w:r>
        <w:t xml:space="preserve">voort op de bredere inzet op emancipatiebeleid voor een </w:t>
      </w:r>
      <w:r w:rsidR="00AE440E">
        <w:t xml:space="preserve">Nederland </w:t>
      </w:r>
      <w:r>
        <w:t xml:space="preserve">waarin iedereen </w:t>
      </w:r>
      <w:r w:rsidR="00AE440E">
        <w:t>gelijkwaardig is en zich veilig voelt om zichzelf te zijn.</w:t>
      </w:r>
    </w:p>
    <w:p w:rsidR="005936F2" w:rsidP="00CA35E4" w:rsidRDefault="005936F2" w14:paraId="05481B76" w14:textId="77777777"/>
    <w:p w:rsidR="001570FD" w:rsidP="001570FD" w:rsidRDefault="00BB6B16" w14:paraId="78238CA3" w14:textId="1D93725C">
      <w:pPr>
        <w:rPr>
          <w:b/>
          <w:bCs/>
        </w:rPr>
      </w:pPr>
      <w:r>
        <w:rPr>
          <w:b/>
          <w:bCs/>
        </w:rPr>
        <w:t>Aanleiding</w:t>
      </w:r>
      <w:r w:rsidR="00B66453">
        <w:rPr>
          <w:b/>
          <w:bCs/>
        </w:rPr>
        <w:t xml:space="preserve"> en resultaten van het onderzoek </w:t>
      </w:r>
    </w:p>
    <w:p w:rsidR="006E49DF" w:rsidP="00205293" w:rsidRDefault="00BB6B16" w14:paraId="3668F942" w14:textId="060B71CB">
      <w:r>
        <w:t xml:space="preserve">De aanleiding voor </w:t>
      </w:r>
      <w:r w:rsidR="00FB2141">
        <w:t>he</w:t>
      </w:r>
      <w:r w:rsidR="000A0E26">
        <w:t>t</w:t>
      </w:r>
      <w:r w:rsidR="00681A56">
        <w:t xml:space="preserve"> </w:t>
      </w:r>
      <w:r>
        <w:t xml:space="preserve">onderzoek </w:t>
      </w:r>
      <w:r w:rsidR="00FB2141">
        <w:t xml:space="preserve">door de UvA </w:t>
      </w:r>
      <w:r w:rsidR="00681A56">
        <w:t xml:space="preserve">zijn </w:t>
      </w:r>
      <w:r>
        <w:t xml:space="preserve">de resultaten van </w:t>
      </w:r>
      <w:r w:rsidR="00AE440E">
        <w:t>de Gezondheidsmonitor Jeugd 2023</w:t>
      </w:r>
      <w:r>
        <w:t xml:space="preserve">. </w:t>
      </w:r>
      <w:r w:rsidR="00681A56">
        <w:t xml:space="preserve">Hieruit bleek dat het aandeel leerlingen van klas 2 en 4 van het voortgezet onderwijs dat homoseksualiteit normaal vindt, </w:t>
      </w:r>
      <w:r w:rsidR="00FB2141">
        <w:t xml:space="preserve">in enkele GGD-regio’s </w:t>
      </w:r>
      <w:r w:rsidR="00681A56">
        <w:t>daalde met ongeveer 20%.</w:t>
      </w:r>
      <w:r w:rsidR="00681A56">
        <w:rPr>
          <w:rStyle w:val="Voetnootmarkering"/>
        </w:rPr>
        <w:footnoteReference w:id="1"/>
      </w:r>
      <w:r w:rsidR="00681A56">
        <w:t xml:space="preserve"> Tegelijkertijd nam het percentage leerlingen dat homoseksualiteit verkeerd vindt toe.</w:t>
      </w:r>
      <w:r w:rsidR="00681A56">
        <w:rPr>
          <w:rStyle w:val="Voetnootmarkering"/>
        </w:rPr>
        <w:footnoteReference w:id="2"/>
      </w:r>
      <w:r w:rsidR="00681A56">
        <w:t xml:space="preserve"> Om meer zicht te krijgen op de denkbeelden van jongeren heeft mijn ambtsvoorganger in de Kamerbrief </w:t>
      </w:r>
      <w:r w:rsidR="00681A56">
        <w:lastRenderedPageBreak/>
        <w:t>Emancipatie</w:t>
      </w:r>
      <w:r w:rsidR="00681A56">
        <w:rPr>
          <w:rStyle w:val="Voetnootmarkering"/>
        </w:rPr>
        <w:footnoteReference w:id="3"/>
      </w:r>
      <w:r w:rsidR="00681A56">
        <w:t xml:space="preserve"> na Kamervragen van de leden Becker (VVD)</w:t>
      </w:r>
      <w:r w:rsidR="00681A56">
        <w:rPr>
          <w:rStyle w:val="Voetnootmarkering"/>
        </w:rPr>
        <w:footnoteReference w:id="4"/>
      </w:r>
      <w:r w:rsidR="00681A56">
        <w:t xml:space="preserve"> en Van Zanten (BBB)</w:t>
      </w:r>
      <w:r w:rsidR="00681A56">
        <w:rPr>
          <w:rStyle w:val="Voetnootmarkering"/>
        </w:rPr>
        <w:footnoteReference w:id="5"/>
      </w:r>
      <w:r w:rsidR="00681A56">
        <w:t xml:space="preserve"> toegezegd een onderzoek te laten uitvoeren naar de opvattingen van jongeren over lhbtiq+ personen en de verklarende factoren die hierbij een rol kunnen spelen. </w:t>
      </w:r>
    </w:p>
    <w:p w:rsidR="006E49DF" w:rsidP="00205293" w:rsidRDefault="006E49DF" w14:paraId="352C1DF8" w14:textId="77777777"/>
    <w:p w:rsidR="00C62BFF" w:rsidP="00C62BFF" w:rsidRDefault="006E49DF" w14:paraId="38BF2426" w14:textId="65FF5A03">
      <w:r>
        <w:t>Het onderzoek bestaat uit een literatuurstudie</w:t>
      </w:r>
      <w:r>
        <w:rPr>
          <w:rStyle w:val="Voetnootmarkering"/>
        </w:rPr>
        <w:footnoteReference w:id="6"/>
      </w:r>
      <w:r>
        <w:t xml:space="preserve"> en een empirische studie</w:t>
      </w:r>
      <w:r>
        <w:rPr>
          <w:rStyle w:val="Voetnootmarkering"/>
        </w:rPr>
        <w:footnoteReference w:id="7"/>
      </w:r>
      <w:r>
        <w:t xml:space="preserve">. </w:t>
      </w:r>
      <w:r w:rsidR="00C62BFF">
        <w:t xml:space="preserve">De empirische studie </w:t>
      </w:r>
      <w:r w:rsidR="00D13D62">
        <w:t>maakt gebruik van twee kwantitatieve datas</w:t>
      </w:r>
      <w:r w:rsidR="00C62BFF">
        <w:t xml:space="preserve">ets </w:t>
      </w:r>
      <w:r w:rsidR="00D13D62">
        <w:t xml:space="preserve">met </w:t>
      </w:r>
      <w:r w:rsidR="0093160F">
        <w:t xml:space="preserve">meer dan 30.000 </w:t>
      </w:r>
      <w:r w:rsidR="00D13D62">
        <w:t xml:space="preserve">Nederlandse jongeren </w:t>
      </w:r>
      <w:r w:rsidR="0093160F">
        <w:t xml:space="preserve">tussen de </w:t>
      </w:r>
      <w:r w:rsidR="00D13D62">
        <w:t>12-18 jaar</w:t>
      </w:r>
      <w:r w:rsidR="0093160F">
        <w:t xml:space="preserve"> op meer dan honderd middelbare scholen</w:t>
      </w:r>
      <w:r w:rsidR="00D13D62">
        <w:t xml:space="preserve">. </w:t>
      </w:r>
      <w:r w:rsidR="00C62BFF">
        <w:t xml:space="preserve">De oorspronkelijke opzet voorzag in een nieuwe dataverzameling, maar </w:t>
      </w:r>
      <w:r w:rsidR="005F22D2">
        <w:t xml:space="preserve">dat </w:t>
      </w:r>
      <w:r w:rsidR="00C62BFF">
        <w:t>bleek vanwege de AVG-wetgeving niet uitvoerbaar.</w:t>
      </w:r>
      <w:r w:rsidR="00C62BFF">
        <w:rPr>
          <w:rStyle w:val="Voetnootmarkering"/>
        </w:rPr>
        <w:footnoteReference w:id="8"/>
      </w:r>
      <w:r w:rsidR="00C62BFF">
        <w:t xml:space="preserve"> </w:t>
      </w:r>
    </w:p>
    <w:p w:rsidR="00C62BFF" w:rsidP="00CA35E4" w:rsidRDefault="00C62BFF" w14:paraId="2A30ACA9" w14:textId="17DA90A9"/>
    <w:p w:rsidRPr="00D14794" w:rsidR="00D14794" w:rsidP="00CA35E4" w:rsidRDefault="00D14794" w14:paraId="4B6B81F5" w14:textId="5B36EC4E">
      <w:pPr>
        <w:rPr>
          <w:u w:val="single"/>
        </w:rPr>
      </w:pPr>
      <w:r w:rsidRPr="00D14794">
        <w:rPr>
          <w:u w:val="single"/>
        </w:rPr>
        <w:t>De lhbtiq+-opvattingen van jongeren</w:t>
      </w:r>
      <w:r w:rsidR="00210928">
        <w:rPr>
          <w:u w:val="single"/>
        </w:rPr>
        <w:t xml:space="preserve"> over tijd</w:t>
      </w:r>
    </w:p>
    <w:p w:rsidR="00C62BFF" w:rsidP="00C62BFF" w:rsidRDefault="00210928" w14:paraId="4F47A5D0" w14:textId="75CEE2EC">
      <w:r>
        <w:t xml:space="preserve">De opvattingen zijn in de periode 2021-2024 grotendeels stabiel gebleven, met een zeer kleine verschuiving naar negatievere opvattingen. </w:t>
      </w:r>
      <w:r w:rsidR="00C62BFF">
        <w:t xml:space="preserve">De literatuurstudie legt een discrepantie bloot tussen landelijke studies en recente regionale studies. Uit landelijke studies blijkt dat er </w:t>
      </w:r>
      <w:r w:rsidR="00FB2141">
        <w:t xml:space="preserve">sinds 2009 </w:t>
      </w:r>
      <w:r w:rsidR="00C62BFF">
        <w:t xml:space="preserve">sprake is van een stijgende acceptatie, waarbij jongeren over het algemeen positieve opvattingen hebben over homoseksuele en lesbische personen. </w:t>
      </w:r>
      <w:r w:rsidR="00FB2141">
        <w:t>R</w:t>
      </w:r>
      <w:r w:rsidR="00C62BFF">
        <w:t xml:space="preserve">ecente regionale studies laten zien dat </w:t>
      </w:r>
      <w:r w:rsidR="00FB2141">
        <w:t xml:space="preserve">in enkele GGD-regio’s </w:t>
      </w:r>
      <w:r w:rsidR="00C62BFF">
        <w:t>het percentage jongeren dat homoseksualiteit normaal vindt, met ongeveer 20% is gedaald in 2023 ten opzichte van 2019/21.</w:t>
      </w:r>
      <w:r w:rsidR="005F22D2">
        <w:rPr>
          <w:rStyle w:val="Voetnootmarkering"/>
        </w:rPr>
        <w:footnoteReference w:id="9"/>
      </w:r>
      <w:r w:rsidR="00C62BFF">
        <w:t xml:space="preserve"> Dit </w:t>
      </w:r>
      <w:r w:rsidR="00FB2141">
        <w:t xml:space="preserve">zijn uitkomsten die tot zorg leiden, maar </w:t>
      </w:r>
      <w:r w:rsidR="00C62BFF">
        <w:t xml:space="preserve">volgens de onderzoekers </w:t>
      </w:r>
      <w:r w:rsidR="00FB2141">
        <w:t xml:space="preserve">bieden deze cijfers </w:t>
      </w:r>
      <w:r w:rsidR="00C62BFF">
        <w:t xml:space="preserve">onvoldoende basis om te spreken van een trend. </w:t>
      </w:r>
    </w:p>
    <w:p w:rsidR="00C62BFF" w:rsidP="00CA35E4" w:rsidRDefault="00C62BFF" w14:paraId="07F2A9A4" w14:textId="77777777"/>
    <w:p w:rsidR="00D14794" w:rsidP="00CA35E4" w:rsidRDefault="00681A56" w14:paraId="5E12F874" w14:textId="1D008817">
      <w:r>
        <w:t xml:space="preserve">De opvattingen van jongeren verschillen sterk. </w:t>
      </w:r>
      <w:r w:rsidR="0090756D">
        <w:t>Een meerderheid van de jongeren onderschrijft algemene waarden: 59% vindt dat iedereen gelijk is ongeacht seksuele gerichtheid</w:t>
      </w:r>
      <w:r w:rsidR="00D934A5">
        <w:t xml:space="preserve">, 41% </w:t>
      </w:r>
      <w:r w:rsidR="00FB2141">
        <w:t xml:space="preserve">onderschrijft </w:t>
      </w:r>
      <w:r w:rsidR="00D934A5">
        <w:t>dit niet</w:t>
      </w:r>
      <w:r w:rsidR="008F49AC">
        <w:t>,</w:t>
      </w:r>
      <w:r w:rsidR="00D934A5">
        <w:t xml:space="preserve"> </w:t>
      </w:r>
      <w:r w:rsidR="0090756D">
        <w:t xml:space="preserve">65% </w:t>
      </w:r>
      <w:r w:rsidR="00FB2141">
        <w:t xml:space="preserve">van de jongeren vindt </w:t>
      </w:r>
      <w:r w:rsidR="0090756D">
        <w:t xml:space="preserve">dat </w:t>
      </w:r>
      <w:r w:rsidR="00D934A5">
        <w:t xml:space="preserve">je </w:t>
      </w:r>
      <w:r w:rsidR="0090756D">
        <w:t xml:space="preserve">zelf mag bepalen op wie je verliefd wordt. </w:t>
      </w:r>
      <w:r w:rsidR="00D934A5">
        <w:t>J</w:t>
      </w:r>
      <w:r w:rsidR="0090756D">
        <w:t xml:space="preserve">ongeren </w:t>
      </w:r>
      <w:r w:rsidR="00D934A5">
        <w:t xml:space="preserve">hebben </w:t>
      </w:r>
      <w:r w:rsidR="00210928">
        <w:t xml:space="preserve">gemiddeld </w:t>
      </w:r>
      <w:r w:rsidRPr="001B6C10" w:rsidR="00210928">
        <w:t>negatievere</w:t>
      </w:r>
      <w:r w:rsidR="00210928">
        <w:t xml:space="preserve"> opvattingen o</w:t>
      </w:r>
      <w:r w:rsidR="004378C8">
        <w:t xml:space="preserve">ver zichtbare thema’s rond genderidentiteit: 54% </w:t>
      </w:r>
      <w:r w:rsidR="00210928">
        <w:t>heeft negatieve</w:t>
      </w:r>
      <w:r w:rsidR="0090756D">
        <w:t>re</w:t>
      </w:r>
      <w:r w:rsidR="00210928">
        <w:t xml:space="preserve"> opvattingen over gender, 61% over genderneutrale toiletten en 41% over Paarse Vrijdag. </w:t>
      </w:r>
    </w:p>
    <w:p w:rsidR="00D14794" w:rsidP="00CA35E4" w:rsidRDefault="00D14794" w14:paraId="417290F2" w14:textId="77777777"/>
    <w:p w:rsidRPr="00D14794" w:rsidR="00D14794" w:rsidP="00CA35E4" w:rsidRDefault="00D14794" w14:paraId="7D73C274" w14:textId="1C2F0207">
      <w:pPr>
        <w:rPr>
          <w:u w:val="single"/>
        </w:rPr>
      </w:pPr>
      <w:r w:rsidRPr="00D14794">
        <w:rPr>
          <w:u w:val="single"/>
        </w:rPr>
        <w:t xml:space="preserve">Samenhang met </w:t>
      </w:r>
      <w:r w:rsidR="002B1DF3">
        <w:rPr>
          <w:u w:val="single"/>
        </w:rPr>
        <w:t>demografische en sociale</w:t>
      </w:r>
      <w:r w:rsidR="00010EDF">
        <w:rPr>
          <w:u w:val="single"/>
        </w:rPr>
        <w:t xml:space="preserve"> factoren</w:t>
      </w:r>
    </w:p>
    <w:p w:rsidR="002B1DF3" w:rsidP="002B1DF3" w:rsidRDefault="00A926BC" w14:paraId="457F5C61" w14:textId="77777777">
      <w:r>
        <w:t>De lhbtiq+-opvattingen van jongeren zijn e</w:t>
      </w:r>
      <w:r w:rsidRPr="00BB6B16" w:rsidR="00C62BFF">
        <w:t>en complex samenspel van factoren,</w:t>
      </w:r>
      <w:r w:rsidR="00C62BFF">
        <w:t xml:space="preserve"> </w:t>
      </w:r>
      <w:r w:rsidRPr="00BB6B16" w:rsidR="00C62BFF">
        <w:t>waarbij er niet één factor als enige aanwijsbaar is.</w:t>
      </w:r>
      <w:r>
        <w:t xml:space="preserve"> </w:t>
      </w:r>
      <w:r w:rsidR="00D14794">
        <w:t xml:space="preserve">De opvattingen van jongeren hangen samen met verschillende </w:t>
      </w:r>
      <w:r w:rsidR="002B1DF3">
        <w:t>demografische en sociale factoren:</w:t>
      </w:r>
    </w:p>
    <w:p w:rsidRPr="004F71C3" w:rsidR="00D14794" w:rsidP="004F71C3" w:rsidRDefault="00D14794" w14:paraId="141F2197" w14:textId="45582AFC">
      <w:pPr>
        <w:pStyle w:val="Lijstalinea"/>
        <w:numPr>
          <w:ilvl w:val="0"/>
          <w:numId w:val="26"/>
        </w:numPr>
      </w:pPr>
      <w:r w:rsidRPr="004F71C3">
        <w:t xml:space="preserve">Conservatisme: jongeren met </w:t>
      </w:r>
      <w:r w:rsidRPr="004F71C3" w:rsidR="004F71C3">
        <w:t xml:space="preserve">brede </w:t>
      </w:r>
      <w:r w:rsidRPr="004F71C3">
        <w:t xml:space="preserve">conservatieve </w:t>
      </w:r>
      <w:r w:rsidRPr="004F71C3" w:rsidR="0090756D">
        <w:t>sociaal-</w:t>
      </w:r>
      <w:r w:rsidRPr="004F71C3">
        <w:t xml:space="preserve">maatschappelijke opvattingen hebben </w:t>
      </w:r>
      <w:r w:rsidRPr="004F71C3" w:rsidR="004F71C3">
        <w:t xml:space="preserve">gemiddeld </w:t>
      </w:r>
      <w:r w:rsidRPr="004F71C3">
        <w:t>negatievere lhbtiq+-opvattingen</w:t>
      </w:r>
      <w:r w:rsidRPr="004F71C3" w:rsidR="0090756D">
        <w:t xml:space="preserve"> dan jongeren met progressievere sociaal-maatschappelijke opvattingen</w:t>
      </w:r>
      <w:r w:rsidRPr="004F71C3">
        <w:t>;</w:t>
      </w:r>
    </w:p>
    <w:p w:rsidR="00D14794" w:rsidP="00D14794" w:rsidRDefault="00D14794" w14:paraId="75DE4BA3" w14:textId="6B6FDC0F">
      <w:pPr>
        <w:pStyle w:val="Lijstalinea"/>
        <w:numPr>
          <w:ilvl w:val="0"/>
          <w:numId w:val="26"/>
        </w:numPr>
      </w:pPr>
      <w:r>
        <w:lastRenderedPageBreak/>
        <w:t xml:space="preserve">Geslacht: jongens denken gemiddeld negatiever over lhbtiq+-thema’s dan meiden. Dit verschil is het kleinst op het vmbo en het grootst op het vwo. </w:t>
      </w:r>
    </w:p>
    <w:p w:rsidR="00D14794" w:rsidP="00D14794" w:rsidRDefault="00D14794" w14:paraId="47147969" w14:textId="48A6C705">
      <w:pPr>
        <w:pStyle w:val="Lijstalinea"/>
        <w:numPr>
          <w:ilvl w:val="0"/>
          <w:numId w:val="26"/>
        </w:numPr>
      </w:pPr>
      <w:r>
        <w:t>Godsdienst: religieuze jongeren hebben gemiddeld negatievere lhbtiq+-opvattingen dan niet-religieuze jongeren</w:t>
      </w:r>
      <w:r w:rsidR="0090756D">
        <w:t>, ongeacht religieuze affiliatie</w:t>
      </w:r>
      <w:r>
        <w:t xml:space="preserve">. Onder religieuze jongeren </w:t>
      </w:r>
      <w:r w:rsidR="0090756D">
        <w:t xml:space="preserve">hebben </w:t>
      </w:r>
      <w:r>
        <w:t xml:space="preserve">islamitische jongeren </w:t>
      </w:r>
      <w:r w:rsidR="0090756D">
        <w:t xml:space="preserve">negatievere lhbtiq+-opvattingen dan christelijke en andersgelovige jongeren. </w:t>
      </w:r>
    </w:p>
    <w:p w:rsidR="00D14794" w:rsidP="00D14794" w:rsidRDefault="00D14794" w14:paraId="12AEC3F6" w14:textId="6EAADD96">
      <w:pPr>
        <w:pStyle w:val="Lijstalinea"/>
        <w:numPr>
          <w:ilvl w:val="0"/>
          <w:numId w:val="26"/>
        </w:numPr>
      </w:pPr>
      <w:r>
        <w:t xml:space="preserve">Leerweg: vmbo-leerlingen </w:t>
      </w:r>
      <w:r w:rsidR="0090756D">
        <w:t xml:space="preserve">hebben negatievere lhbtiq+-opvattingen dan </w:t>
      </w:r>
      <w:r>
        <w:t xml:space="preserve">havo- en vwo-leerlingen. </w:t>
      </w:r>
    </w:p>
    <w:p w:rsidR="00210928" w:rsidP="00210928" w:rsidRDefault="00210928" w14:paraId="45F10B44" w14:textId="77777777"/>
    <w:p w:rsidR="00D14794" w:rsidP="00CA35E4" w:rsidRDefault="00FB2141" w14:paraId="17B476F8" w14:textId="2BD01BEC">
      <w:r>
        <w:t>U</w:t>
      </w:r>
      <w:r w:rsidR="00F173F8">
        <w:t>i</w:t>
      </w:r>
      <w:r w:rsidRPr="00F173F8" w:rsidR="00F173F8">
        <w:t xml:space="preserve">t de literatuurstudie </w:t>
      </w:r>
      <w:r>
        <w:t xml:space="preserve">blijkt </w:t>
      </w:r>
      <w:r w:rsidRPr="00F173F8" w:rsidR="00F173F8">
        <w:t xml:space="preserve">dat </w:t>
      </w:r>
      <w:r w:rsidR="00F173F8">
        <w:t>m</w:t>
      </w:r>
      <w:r w:rsidRPr="00F173F8" w:rsidR="00F173F8">
        <w:t xml:space="preserve">igratieachtergrond en leeftijd een rol spelen bij opvattingen over homoseksualiteit. De onderzoekers stellen dat er één studie is die laat zien dat jongeren met een migratieachtergrond of etnische minderheidsstatus gemiddeld minder positieve opvattingen hebben over homoseksuele personen dan jongeren zonder deze kenmerken. </w:t>
      </w:r>
      <w:r w:rsidR="00F173F8">
        <w:t xml:space="preserve">Studies geven geen eenduidig beeld over het effect van leeftijd op lhbtiq+-opvattingen. </w:t>
      </w:r>
      <w:r w:rsidRPr="004F71C3" w:rsidR="00681A56">
        <w:t>In tegenstelling tot</w:t>
      </w:r>
      <w:r w:rsidRPr="004F71C3" w:rsidR="00D14794">
        <w:t xml:space="preserve"> de literatuurstudie vindt de empirische studie geen </w:t>
      </w:r>
      <w:r w:rsidRPr="004F71C3" w:rsidR="00681A56">
        <w:t>significant</w:t>
      </w:r>
      <w:r w:rsidRPr="004F71C3" w:rsidR="00D14794">
        <w:t xml:space="preserve"> verband met migratieachtergrond en leeftijd.</w:t>
      </w:r>
      <w:r w:rsidR="00D14794">
        <w:t xml:space="preserve"> </w:t>
      </w:r>
      <w:r w:rsidR="004F71C3">
        <w:t xml:space="preserve">De signalen uit de literatuur verdienen aandacht, maar </w:t>
      </w:r>
      <w:r w:rsidR="001B6C10">
        <w:t>vanwege het beperkte onderzoek is v</w:t>
      </w:r>
      <w:r w:rsidR="004F71C3">
        <w:t>oorzichtigheid geboden met het trekken van</w:t>
      </w:r>
      <w:r w:rsidR="001B6C10">
        <w:t xml:space="preserve"> </w:t>
      </w:r>
      <w:r w:rsidR="004F71C3">
        <w:t>conclusies.</w:t>
      </w:r>
    </w:p>
    <w:p w:rsidR="0034609D" w:rsidP="00CA35E4" w:rsidRDefault="0034609D" w14:paraId="14AE8E12" w14:textId="77777777"/>
    <w:p w:rsidRPr="00D14794" w:rsidR="00D14794" w:rsidP="00CA35E4" w:rsidRDefault="00D14794" w14:paraId="5DBA488C" w14:textId="5448B4CB">
      <w:pPr>
        <w:rPr>
          <w:u w:val="single"/>
        </w:rPr>
      </w:pPr>
      <w:r w:rsidRPr="00D14794">
        <w:rPr>
          <w:u w:val="single"/>
        </w:rPr>
        <w:t>Aanbevelingen</w:t>
      </w:r>
    </w:p>
    <w:p w:rsidR="0034609D" w:rsidP="00CA35E4" w:rsidRDefault="0051652F" w14:paraId="3AF865BE" w14:textId="4E98DB73">
      <w:r>
        <w:t>H</w:t>
      </w:r>
      <w:r w:rsidR="00AE440E">
        <w:t xml:space="preserve">et rapport geeft aanbevelingen </w:t>
      </w:r>
      <w:r w:rsidR="006E49DF">
        <w:t xml:space="preserve">om </w:t>
      </w:r>
      <w:r w:rsidR="0090756D">
        <w:t>lhbtiq+-</w:t>
      </w:r>
      <w:r w:rsidR="00AE440E">
        <w:t>acceptatie</w:t>
      </w:r>
      <w:r w:rsidR="0090756D">
        <w:t xml:space="preserve"> onder jongeren</w:t>
      </w:r>
      <w:r w:rsidR="006E49DF">
        <w:t xml:space="preserve"> te bevorderen</w:t>
      </w:r>
      <w:r w:rsidR="0090756D">
        <w:t>:</w:t>
      </w:r>
    </w:p>
    <w:p w:rsidR="00D1010D" w:rsidP="00AE440E" w:rsidRDefault="00D14794" w14:paraId="16238F15" w14:textId="3D3AA71B">
      <w:pPr>
        <w:pStyle w:val="Lijstalinea"/>
        <w:numPr>
          <w:ilvl w:val="0"/>
          <w:numId w:val="20"/>
        </w:numPr>
      </w:pPr>
      <w:r>
        <w:t>Stimuleren van een</w:t>
      </w:r>
      <w:r w:rsidR="00D1010D">
        <w:t xml:space="preserve"> open dialoog en initiatieven</w:t>
      </w:r>
      <w:r>
        <w:t xml:space="preserve"> door jongeren zelf</w:t>
      </w:r>
      <w:r w:rsidR="00D92FB4">
        <w:t>;</w:t>
      </w:r>
    </w:p>
    <w:p w:rsidR="00AE440E" w:rsidP="00AE440E" w:rsidRDefault="00D14794" w14:paraId="2161522E" w14:textId="29DE1D81">
      <w:pPr>
        <w:pStyle w:val="Lijstalinea"/>
        <w:numPr>
          <w:ilvl w:val="0"/>
          <w:numId w:val="20"/>
        </w:numPr>
      </w:pPr>
      <w:r>
        <w:t xml:space="preserve">Ontwikkelen van </w:t>
      </w:r>
      <w:r w:rsidR="00AE440E">
        <w:t>interventies op maat</w:t>
      </w:r>
      <w:r w:rsidR="00D92FB4">
        <w:t>;</w:t>
      </w:r>
    </w:p>
    <w:p w:rsidR="00AE440E" w:rsidP="00AE440E" w:rsidRDefault="00D14794" w14:paraId="54F8AD5B" w14:textId="6B43CECC">
      <w:pPr>
        <w:pStyle w:val="Lijstalinea"/>
        <w:numPr>
          <w:ilvl w:val="0"/>
          <w:numId w:val="20"/>
        </w:numPr>
      </w:pPr>
      <w:r>
        <w:t xml:space="preserve">Investeren in </w:t>
      </w:r>
      <w:r w:rsidR="00AE440E">
        <w:t>deskundigheidsbevordering</w:t>
      </w:r>
      <w:r>
        <w:t xml:space="preserve"> van professionals</w:t>
      </w:r>
      <w:r w:rsidR="00D92FB4">
        <w:t>;</w:t>
      </w:r>
    </w:p>
    <w:p w:rsidR="00AE440E" w:rsidP="00AE440E" w:rsidRDefault="00D14794" w14:paraId="026C79B9" w14:textId="3C580959">
      <w:pPr>
        <w:pStyle w:val="Lijstalinea"/>
        <w:numPr>
          <w:ilvl w:val="0"/>
          <w:numId w:val="20"/>
        </w:numPr>
      </w:pPr>
      <w:r>
        <w:t>Verankeren van di</w:t>
      </w:r>
      <w:r w:rsidR="00AE440E">
        <w:t>versiteitsbeleid in praktijk en organisaties</w:t>
      </w:r>
      <w:r w:rsidR="00D92FB4">
        <w:t>.</w:t>
      </w:r>
    </w:p>
    <w:p w:rsidR="001570FD" w:rsidP="00CA35E4" w:rsidRDefault="001570FD" w14:paraId="542F7967" w14:textId="77777777"/>
    <w:p w:rsidRPr="001570FD" w:rsidR="001570FD" w:rsidP="00CA35E4" w:rsidRDefault="0051652F" w14:paraId="559D0C53" w14:textId="34C7A61E">
      <w:pPr>
        <w:rPr>
          <w:b/>
          <w:bCs/>
        </w:rPr>
      </w:pPr>
      <w:r>
        <w:rPr>
          <w:b/>
          <w:bCs/>
        </w:rPr>
        <w:t>Kwalificatie</w:t>
      </w:r>
    </w:p>
    <w:p w:rsidR="007D6578" w:rsidP="007D6578" w:rsidRDefault="006E49DF" w14:paraId="693599F3" w14:textId="6B158EBD">
      <w:r>
        <w:t>Het</w:t>
      </w:r>
      <w:r w:rsidR="0033533F">
        <w:t xml:space="preserve"> onderzoek </w:t>
      </w:r>
      <w:r w:rsidR="0051652F">
        <w:t>draagt bij</w:t>
      </w:r>
      <w:r w:rsidR="0033533F">
        <w:t xml:space="preserve"> aan het inzicht in hoe Nederlandse jongeren denken over lhbtiq+-thema’s. Het is het eerste onderzoek dat op deze schaal de opvattingen van jongeren van 12 tot 18 jaar in kaart brengt inclusief </w:t>
      </w:r>
      <w:r w:rsidR="0051652F">
        <w:t xml:space="preserve">aanwijzingen voor </w:t>
      </w:r>
      <w:r w:rsidR="0033533F">
        <w:t xml:space="preserve">de samenhang met </w:t>
      </w:r>
      <w:r>
        <w:t>demografische en sociale factoren</w:t>
      </w:r>
      <w:r w:rsidR="0033533F">
        <w:t xml:space="preserve">. </w:t>
      </w:r>
      <w:r w:rsidR="002E3EA0">
        <w:t>De resultaten bevestigen het belang van continue landelijke monitoring.</w:t>
      </w:r>
      <w:r w:rsidR="007D6578">
        <w:t xml:space="preserve"> De kwalificatie van de opvattingen vraagt </w:t>
      </w:r>
      <w:r w:rsidR="0051652F">
        <w:t xml:space="preserve">wel </w:t>
      </w:r>
      <w:r w:rsidR="007D6578">
        <w:t>om enige</w:t>
      </w:r>
      <w:r w:rsidR="0051652F">
        <w:t xml:space="preserve"> </w:t>
      </w:r>
      <w:r w:rsidR="007D6578">
        <w:t>terughoudendheid.</w:t>
      </w:r>
      <w:r w:rsidR="00A96C0D">
        <w:t xml:space="preserve"> </w:t>
      </w:r>
      <w:r w:rsidR="0051652F">
        <w:t>De onderliggende</w:t>
      </w:r>
      <w:r w:rsidR="00560B5C">
        <w:t xml:space="preserve"> stellingen </w:t>
      </w:r>
      <w:r w:rsidR="0051652F">
        <w:t>kunnen</w:t>
      </w:r>
      <w:r w:rsidR="00560B5C">
        <w:t xml:space="preserve"> op verschillende manieren worden geïnterpreteerd. Bij</w:t>
      </w:r>
      <w:r w:rsidR="0051652F">
        <w:t>voorbeeld</w:t>
      </w:r>
      <w:r w:rsidR="00560B5C">
        <w:t xml:space="preserve"> “Alle scholen moeten Paarse Vrijdag vieren” k</w:t>
      </w:r>
      <w:r w:rsidR="0051652F">
        <w:t>a</w:t>
      </w:r>
      <w:r w:rsidR="00560B5C">
        <w:t xml:space="preserve">n </w:t>
      </w:r>
      <w:r w:rsidR="0051652F">
        <w:t xml:space="preserve">betekenen dat </w:t>
      </w:r>
      <w:r w:rsidR="00560B5C">
        <w:t xml:space="preserve">respondenten </w:t>
      </w:r>
      <w:r w:rsidR="0051652F">
        <w:t xml:space="preserve">Paarse Vrijdag </w:t>
      </w:r>
      <w:r w:rsidR="00560B5C">
        <w:t xml:space="preserve">wel steunen </w:t>
      </w:r>
      <w:r w:rsidR="0051652F">
        <w:t>(</w:t>
      </w:r>
      <w:r w:rsidR="00560B5C">
        <w:t>op hun eigen school</w:t>
      </w:r>
      <w:r w:rsidR="0051652F">
        <w:t>)</w:t>
      </w:r>
      <w:r w:rsidR="00560B5C">
        <w:t xml:space="preserve">, maar niet vinden dat het een verplichting </w:t>
      </w:r>
      <w:r w:rsidR="0051652F">
        <w:t xml:space="preserve">voor alle scholen </w:t>
      </w:r>
      <w:r w:rsidR="00560B5C">
        <w:t xml:space="preserve">moet zijn. </w:t>
      </w:r>
    </w:p>
    <w:p w:rsidR="0033533F" w:rsidP="001570FD" w:rsidRDefault="0033533F" w14:paraId="3EFE6941" w14:textId="77777777"/>
    <w:p w:rsidRPr="004F71C3" w:rsidR="0051652F" w:rsidP="001570FD" w:rsidRDefault="0051652F" w14:paraId="5C373C36" w14:textId="70A8E4A2">
      <w:pPr>
        <w:rPr>
          <w:b/>
          <w:bCs/>
        </w:rPr>
      </w:pPr>
      <w:r w:rsidRPr="004F71C3">
        <w:rPr>
          <w:b/>
          <w:bCs/>
        </w:rPr>
        <w:t>Betekenis van het onderzoek voor beleid</w:t>
      </w:r>
    </w:p>
    <w:p w:rsidR="00483696" w:rsidP="00830422" w:rsidRDefault="0051652F" w14:paraId="23C4D23E" w14:textId="59473110">
      <w:r>
        <w:t>D</w:t>
      </w:r>
      <w:r w:rsidR="006E49DF">
        <w:t xml:space="preserve">e </w:t>
      </w:r>
      <w:r w:rsidRPr="00C873AC" w:rsidR="00C873AC">
        <w:t xml:space="preserve">meerderheid van </w:t>
      </w:r>
      <w:r w:rsidR="006E49DF">
        <w:t>de</w:t>
      </w:r>
      <w:r w:rsidR="00830422">
        <w:t xml:space="preserve"> </w:t>
      </w:r>
      <w:r w:rsidRPr="00C873AC" w:rsidR="00C873AC">
        <w:t xml:space="preserve">jongeren </w:t>
      </w:r>
      <w:r>
        <w:t xml:space="preserve">onderschrijft </w:t>
      </w:r>
      <w:r w:rsidR="00830422">
        <w:t xml:space="preserve">de </w:t>
      </w:r>
      <w:r w:rsidRPr="00C873AC" w:rsidR="00C873AC">
        <w:t xml:space="preserve">gelijkwaardigheid </w:t>
      </w:r>
      <w:r w:rsidR="006E49DF">
        <w:t>van mensen met verschillende seksuele oriëntaties</w:t>
      </w:r>
      <w:r w:rsidRPr="00C873AC" w:rsidR="00C873AC">
        <w:t>.</w:t>
      </w:r>
      <w:r w:rsidR="00C873AC">
        <w:t xml:space="preserve"> </w:t>
      </w:r>
      <w:r>
        <w:t xml:space="preserve">Dat is bemoedigend. </w:t>
      </w:r>
      <w:r w:rsidR="006E49DF">
        <w:t>Tegelijkertijd i</w:t>
      </w:r>
      <w:r w:rsidR="00C873AC">
        <w:t xml:space="preserve">s het </w:t>
      </w:r>
      <w:r w:rsidR="0033533F">
        <w:t>zorgwekkend dat een aanzienlijk deel van de jongeren heteroseksuele en homoseksuele personen</w:t>
      </w:r>
      <w:r w:rsidR="006E49DF">
        <w:t xml:space="preserve"> niet als gelijkwaardig beschouwt</w:t>
      </w:r>
      <w:r w:rsidR="0033533F">
        <w:t>.</w:t>
      </w:r>
      <w:r w:rsidR="00C873AC">
        <w:t xml:space="preserve"> </w:t>
      </w:r>
      <w:r w:rsidR="002E3EA0">
        <w:t>Het kabinet erkent dat verschillende opvattingen over lhbtiq+-thema’s naast elkaar kunnen bestaan in een vrije en diverse samenleving. De</w:t>
      </w:r>
      <w:r w:rsidR="00483696">
        <w:t xml:space="preserve">rgelijke overtuigingen mogen </w:t>
      </w:r>
      <w:r w:rsidR="005F22D2">
        <w:t xml:space="preserve">op grond van de Nederlandse wetgeving </w:t>
      </w:r>
      <w:r w:rsidR="002E3EA0">
        <w:t xml:space="preserve">echter nooit een rechtvaardiging vormen voor uitsluiting, discriminatie </w:t>
      </w:r>
      <w:r w:rsidR="00483696">
        <w:t xml:space="preserve">en verbaal of fysiek </w:t>
      </w:r>
      <w:r w:rsidR="002E3EA0">
        <w:t>geweld.</w:t>
      </w:r>
      <w:r w:rsidR="00483696">
        <w:t xml:space="preserve"> </w:t>
      </w:r>
      <w:r w:rsidR="00830422">
        <w:t xml:space="preserve">Het wordt dan ook problematisch wanneer opvattingen worden omgezet naar </w:t>
      </w:r>
      <w:r w:rsidR="00483696">
        <w:t xml:space="preserve">schadelijk </w:t>
      </w:r>
      <w:r w:rsidR="00830422">
        <w:t xml:space="preserve">handelen. </w:t>
      </w:r>
      <w:r w:rsidR="00C873AC">
        <w:t>Dit maakt het des te relevanter om opvattingen tijdig te signaleren, zodat de</w:t>
      </w:r>
      <w:r>
        <w:t xml:space="preserve"> eventuele</w:t>
      </w:r>
      <w:r w:rsidR="00C873AC">
        <w:t xml:space="preserve"> stap naar schadelijk handelen kan worden voorkomen. </w:t>
      </w:r>
    </w:p>
    <w:p w:rsidR="00483696" w:rsidP="00830422" w:rsidRDefault="00483696" w14:paraId="591C16E6" w14:textId="77777777"/>
    <w:p w:rsidR="00830422" w:rsidP="00830422" w:rsidRDefault="002E3EA0" w14:paraId="3CEC54E1" w14:textId="32834A1C">
      <w:r>
        <w:t>H</w:t>
      </w:r>
      <w:r w:rsidR="00830422">
        <w:t xml:space="preserve">et is een </w:t>
      </w:r>
      <w:r>
        <w:t xml:space="preserve">gedeelde verantwoordelijkheid van ons allen </w:t>
      </w:r>
      <w:r w:rsidR="00830422">
        <w:t xml:space="preserve">om te zorgen voor een samenleving waarin </w:t>
      </w:r>
      <w:r w:rsidR="005F22D2">
        <w:t>we</w:t>
      </w:r>
      <w:r>
        <w:t xml:space="preserve"> respectvol met verschillen omgaa</w:t>
      </w:r>
      <w:r w:rsidR="005F22D2">
        <w:t>n</w:t>
      </w:r>
      <w:r>
        <w:t xml:space="preserve"> en </w:t>
      </w:r>
      <w:r w:rsidR="00830422">
        <w:t xml:space="preserve">iedereen veilig zichzelf kan zijn. </w:t>
      </w:r>
      <w:r w:rsidR="0051652F">
        <w:t xml:space="preserve">Het kabinet ziet het als zijn taak om gelijke behandeling van personen te bevorderen en de veiligheid van lhbtiq+ personen te bevorderen. </w:t>
      </w:r>
    </w:p>
    <w:p w:rsidR="00483696" w:rsidP="00830422" w:rsidRDefault="00483696" w14:paraId="1E987C85" w14:textId="77777777"/>
    <w:p w:rsidR="00D934A5" w:rsidP="00830422" w:rsidRDefault="00C77B8A" w14:paraId="031F8797" w14:textId="44B23B47">
      <w:r>
        <w:t>H</w:t>
      </w:r>
      <w:r w:rsidR="00D934A5">
        <w:t xml:space="preserve">et onderzoek </w:t>
      </w:r>
      <w:r>
        <w:t xml:space="preserve">laat </w:t>
      </w:r>
      <w:r w:rsidR="00D934A5">
        <w:t xml:space="preserve">zien dat de opvattingen en omgangsvormen van jongeren worden gevormd door contacten met ouders en leeftijdsgenoten zoals thuis, in de buurt, bij sportverenigingen of uitgaansgelegenheden, op online platforms en sociale media of bij religieuze instanties. </w:t>
      </w:r>
      <w:r w:rsidRPr="0093160F" w:rsidR="00D934A5">
        <w:t xml:space="preserve">Hier ligt een </w:t>
      </w:r>
      <w:r w:rsidRPr="0093160F" w:rsidR="0093160F">
        <w:t>kans</w:t>
      </w:r>
      <w:r w:rsidRPr="0093160F" w:rsidR="00D934A5">
        <w:t xml:space="preserve"> voor het zichtbaar uitdragen </w:t>
      </w:r>
      <w:r w:rsidRPr="0093160F" w:rsidR="005F22D2">
        <w:t xml:space="preserve">van normen gericht op het belang van gelijkwaardigheid en gelijke behandeling </w:t>
      </w:r>
      <w:r w:rsidRPr="0093160F" w:rsidR="00D934A5">
        <w:t>en het actief tegengaan van discriminatie.</w:t>
      </w:r>
      <w:r w:rsidR="00D934A5">
        <w:t xml:space="preserve"> </w:t>
      </w:r>
    </w:p>
    <w:p w:rsidR="00D934A5" w:rsidP="00830422" w:rsidRDefault="00D934A5" w14:paraId="637E94A3" w14:textId="77777777"/>
    <w:p w:rsidR="00F86E2F" w:rsidP="001570FD" w:rsidRDefault="00A96C0D" w14:paraId="18D6463D" w14:textId="3CFD2516">
      <w:r>
        <w:t xml:space="preserve">Het onderzoek laat zien dat opvattingen ontstaan in een </w:t>
      </w:r>
      <w:r w:rsidR="00A12DFB">
        <w:t>complexe samenhang van demografische en sociale factoren</w:t>
      </w:r>
      <w:r>
        <w:t xml:space="preserve">. </w:t>
      </w:r>
      <w:r w:rsidR="004A0D41">
        <w:t>Dit laat</w:t>
      </w:r>
      <w:r>
        <w:t xml:space="preserve"> </w:t>
      </w:r>
      <w:r w:rsidR="004A0D41">
        <w:t>zien dat o</w:t>
      </w:r>
      <w:r w:rsidR="00A12DFB">
        <w:t xml:space="preserve">pvattingen </w:t>
      </w:r>
      <w:r w:rsidR="004A0D41">
        <w:t xml:space="preserve">zich niet </w:t>
      </w:r>
      <w:r w:rsidR="00A12DFB">
        <w:t xml:space="preserve">laten </w:t>
      </w:r>
      <w:r w:rsidR="004A0D41">
        <w:t>herleiden</w:t>
      </w:r>
      <w:r w:rsidR="00A12DFB">
        <w:t xml:space="preserve"> tot één </w:t>
      </w:r>
      <w:r w:rsidR="004A0D41">
        <w:t xml:space="preserve">kenmerk. </w:t>
      </w:r>
      <w:r w:rsidR="00C77B8A">
        <w:t>D</w:t>
      </w:r>
      <w:r w:rsidR="00C873AC">
        <w:t xml:space="preserve">e opvattingen in de periode 2021-2024 </w:t>
      </w:r>
      <w:r w:rsidR="00C77B8A">
        <w:t xml:space="preserve">zijn </w:t>
      </w:r>
      <w:r w:rsidR="00C873AC">
        <w:t>grotendeels stabiel gebleven</w:t>
      </w:r>
      <w:r w:rsidR="00C77B8A">
        <w:t>.</w:t>
      </w:r>
      <w:r w:rsidR="00C873AC">
        <w:t xml:space="preserve"> </w:t>
      </w:r>
      <w:r w:rsidR="00137A58">
        <w:t xml:space="preserve">Dit sluit aan bij de trend die landelijke onderzoeken laten zien. </w:t>
      </w:r>
      <w:r w:rsidR="00C77B8A">
        <w:t>D</w:t>
      </w:r>
      <w:r w:rsidR="001510A0">
        <w:t xml:space="preserve">e recente </w:t>
      </w:r>
      <w:r w:rsidR="00137A58">
        <w:t xml:space="preserve">regionale bevindingen </w:t>
      </w:r>
      <w:r w:rsidR="001510A0">
        <w:t xml:space="preserve">schetsen een </w:t>
      </w:r>
      <w:r w:rsidR="00137A58">
        <w:t>zorgwekkend beeld</w:t>
      </w:r>
      <w:r w:rsidR="00C77B8A">
        <w:t>.</w:t>
      </w:r>
      <w:r w:rsidR="00137A58">
        <w:t xml:space="preserve"> </w:t>
      </w:r>
      <w:r w:rsidR="00C77B8A">
        <w:t>O</w:t>
      </w:r>
      <w:r w:rsidR="00137A58">
        <w:t>ok al is het nog te vroeg om te spreken van een dalende trend</w:t>
      </w:r>
      <w:r w:rsidR="00C77B8A">
        <w:t>, ik neem deze signalen serieus</w:t>
      </w:r>
      <w:r w:rsidR="00137A58">
        <w:t xml:space="preserve">. </w:t>
      </w:r>
      <w:r w:rsidR="00C77B8A">
        <w:t>Ze</w:t>
      </w:r>
      <w:r w:rsidR="001510A0">
        <w:t xml:space="preserve"> passen in een bredere context waarin de ervaren veiligheid</w:t>
      </w:r>
      <w:r w:rsidR="00597967">
        <w:t xml:space="preserve"> en het welzijn</w:t>
      </w:r>
      <w:r w:rsidR="001510A0">
        <w:t xml:space="preserve"> van </w:t>
      </w:r>
      <w:r w:rsidR="00137A58">
        <w:t>lhbtiq+ personen in Nederland</w:t>
      </w:r>
      <w:r w:rsidR="001510A0">
        <w:t xml:space="preserve"> onder druk staa</w:t>
      </w:r>
      <w:r w:rsidR="0099051E">
        <w:t>n</w:t>
      </w:r>
      <w:r w:rsidR="001510A0">
        <w:t>.</w:t>
      </w:r>
      <w:r w:rsidR="0080007E">
        <w:t xml:space="preserve"> </w:t>
      </w:r>
    </w:p>
    <w:p w:rsidR="00D934A5" w:rsidP="001570FD" w:rsidRDefault="00D934A5" w14:paraId="5ED5CC2A" w14:textId="77777777"/>
    <w:p w:rsidR="001570FD" w:rsidP="00CA35E4" w:rsidRDefault="005936F2" w14:paraId="6DDB5748" w14:textId="5AFC1D9E">
      <w:pPr>
        <w:rPr>
          <w:b/>
          <w:bCs/>
        </w:rPr>
      </w:pPr>
      <w:r>
        <w:rPr>
          <w:b/>
          <w:bCs/>
        </w:rPr>
        <w:t>Vervolg</w:t>
      </w:r>
      <w:r w:rsidR="002E3EA0">
        <w:rPr>
          <w:b/>
          <w:bCs/>
        </w:rPr>
        <w:t xml:space="preserve"> op het onderzoek</w:t>
      </w:r>
    </w:p>
    <w:p w:rsidRPr="00423083" w:rsidR="00423083" w:rsidP="00423083" w:rsidRDefault="00423083" w14:paraId="6A9FFC71" w14:textId="3D3E5045">
      <w:r w:rsidRPr="00423083">
        <w:t xml:space="preserve">De bevindingen onderstrepen de noodzaak om blijvend </w:t>
      </w:r>
      <w:r>
        <w:t>in te zetten op</w:t>
      </w:r>
      <w:r w:rsidRPr="00423083">
        <w:t xml:space="preserve"> een samenleving waarin respect voor</w:t>
      </w:r>
      <w:r w:rsidR="004A0D41">
        <w:t xml:space="preserve"> gelijkwaardigheid,</w:t>
      </w:r>
      <w:r w:rsidRPr="00423083">
        <w:t xml:space="preserve"> ieders seksuele oriëntatie en genderidentiteit vanzelfsprekend is. </w:t>
      </w:r>
      <w:r w:rsidR="00D934A5">
        <w:t xml:space="preserve">Het kabinet voert actief beleid om de acceptatie en veiligheid van lhbtiq+ personen te bevorderen. </w:t>
      </w:r>
      <w:r w:rsidR="00D00558">
        <w:t xml:space="preserve">Hieronder geef ik een overzicht van het </w:t>
      </w:r>
      <w:r w:rsidR="00C77B8A">
        <w:t xml:space="preserve">lopende </w:t>
      </w:r>
      <w:r w:rsidR="00D00558">
        <w:t xml:space="preserve">beleid om acceptatie van lhbtiq+ personen te vergroten. </w:t>
      </w:r>
      <w:r w:rsidR="00681A56">
        <w:t xml:space="preserve">In de Emancipatienota, die ik na de zomer naar uw Kamer stuur, </w:t>
      </w:r>
      <w:r w:rsidR="00C77B8A">
        <w:t>worden</w:t>
      </w:r>
      <w:r w:rsidR="00681A56">
        <w:t xml:space="preserve"> </w:t>
      </w:r>
      <w:r w:rsidR="00293EC3">
        <w:t xml:space="preserve">de vervolgstappen </w:t>
      </w:r>
      <w:r w:rsidR="00C77B8A">
        <w:t>en aanvullend beleid uiteengezet</w:t>
      </w:r>
      <w:r w:rsidR="00293EC3">
        <w:t xml:space="preserve">. </w:t>
      </w:r>
    </w:p>
    <w:p w:rsidR="00ED311A" w:rsidP="00C75699" w:rsidRDefault="00ED311A" w14:paraId="7029104A" w14:textId="77777777">
      <w:pPr>
        <w:rPr>
          <w:b/>
          <w:bCs/>
        </w:rPr>
      </w:pPr>
    </w:p>
    <w:p w:rsidRPr="00C873AC" w:rsidR="00C77B8A" w:rsidP="00C77B8A" w:rsidRDefault="00C77B8A" w14:paraId="018C35EB" w14:textId="15A87533">
      <w:pPr>
        <w:rPr>
          <w:u w:val="single"/>
        </w:rPr>
      </w:pPr>
      <w:r>
        <w:rPr>
          <w:u w:val="single"/>
        </w:rPr>
        <w:t>V</w:t>
      </w:r>
      <w:r w:rsidRPr="00C873AC">
        <w:rPr>
          <w:u w:val="single"/>
        </w:rPr>
        <w:t xml:space="preserve">eiligheid </w:t>
      </w:r>
      <w:r>
        <w:rPr>
          <w:u w:val="single"/>
        </w:rPr>
        <w:t xml:space="preserve">van </w:t>
      </w:r>
      <w:r w:rsidRPr="00C873AC">
        <w:rPr>
          <w:u w:val="single"/>
        </w:rPr>
        <w:t>lhbtiq+ personen</w:t>
      </w:r>
      <w:r>
        <w:rPr>
          <w:u w:val="single"/>
        </w:rPr>
        <w:t xml:space="preserve"> verbeteren</w:t>
      </w:r>
    </w:p>
    <w:p w:rsidR="00C77B8A" w:rsidP="00C77B8A" w:rsidRDefault="00C77B8A" w14:paraId="7AFD26AC" w14:textId="21A44759">
      <w:r>
        <w:t xml:space="preserve">In het coalitieakkoord is aangekondigd dat het kabinet werkt aan de acceptatie, veiligheid en emancipatie van lhbtiq+ personen, onder meer door uitvoering van het Regenboogakkoord. Samen met de Minister van Justitie en Veiligheid werk ik daarnaast aan de uitvoering van de </w:t>
      </w:r>
      <w:r w:rsidRPr="008E3217">
        <w:rPr>
          <w:i/>
          <w:iCs/>
        </w:rPr>
        <w:t>Versterkte aanpak lhbtiq+</w:t>
      </w:r>
      <w:r>
        <w:rPr>
          <w:i/>
          <w:iCs/>
        </w:rPr>
        <w:t>-</w:t>
      </w:r>
      <w:r w:rsidRPr="008E3217">
        <w:rPr>
          <w:i/>
          <w:iCs/>
        </w:rPr>
        <w:t>veiligheid</w:t>
      </w:r>
      <w:r>
        <w:rPr>
          <w:i/>
          <w:iCs/>
        </w:rPr>
        <w:t xml:space="preserve"> 2026-2029</w:t>
      </w:r>
      <w:r>
        <w:t>, gericht op het verbeteren van de veiligheid van lhbtiq+ personen, waaronder ook jongeren. De aanpak behelst meer aandacht voor de veiligheid van lhbtiq+ personen bij instanties,</w:t>
      </w:r>
      <w:r w:rsidRPr="00C77B8A">
        <w:t xml:space="preserve"> </w:t>
      </w:r>
      <w:r>
        <w:t xml:space="preserve">het vergroten van de persoonlijke vrijheid van lhbtiq+ personen en meer aandacht voor de veiligheid van lhbtiq+ personen als maatschappelijke norm. In opvolging van de aanbevelingen van de Kinderombudsman verken ik, in overleg met de minister van JenV en waar passend de minister voor Langdurige zorg, Jeugd en Sport hoe meer oog kan worden gehouden voor de positie van jongeren binnen de </w:t>
      </w:r>
      <w:r w:rsidRPr="005F22D2">
        <w:rPr>
          <w:i/>
          <w:iCs/>
        </w:rPr>
        <w:t>Versterkte aanpak</w:t>
      </w:r>
      <w:r>
        <w:t xml:space="preserve">. </w:t>
      </w:r>
    </w:p>
    <w:p w:rsidR="00C77B8A" w:rsidP="00C77B8A" w:rsidRDefault="00C77B8A" w14:paraId="5CC19E6D" w14:textId="77777777"/>
    <w:p w:rsidR="00C77B8A" w:rsidP="00C77B8A" w:rsidRDefault="00C77B8A" w14:paraId="0AE7B06A" w14:textId="77777777">
      <w:r>
        <w:t>Hierover wordt uw Kamer geïnformeerd in de voortgangsrapportage die eind 2026 verschijnt, waarmee ik uitvoering geef aan motie Podt (D66)</w:t>
      </w:r>
      <w:r>
        <w:rPr>
          <w:rStyle w:val="Voetnootmarkering"/>
        </w:rPr>
        <w:footnoteReference w:id="10"/>
      </w:r>
      <w:r>
        <w:t xml:space="preserve">. Daarnaast ondersteunt het Programma Regenboogsteden 56 gemeenten en provincies bij het bevorderen van acceptatie en veiligheid van lhbtiq+ personen. Gemeenten </w:t>
      </w:r>
      <w:r>
        <w:lastRenderedPageBreak/>
        <w:t xml:space="preserve">werken samen met de politie, horeca en anti-discriminatievoorzieningen aan de veiligheid op straat en bij het uitgaan. </w:t>
      </w:r>
    </w:p>
    <w:p w:rsidR="00C77B8A" w:rsidP="00C75699" w:rsidRDefault="00C77B8A" w14:paraId="32D07FF7" w14:textId="77777777">
      <w:pPr>
        <w:rPr>
          <w:b/>
          <w:bCs/>
        </w:rPr>
      </w:pPr>
    </w:p>
    <w:p w:rsidRPr="00C873AC" w:rsidR="00C75699" w:rsidP="00C75699" w:rsidRDefault="00C77B8A" w14:paraId="0BC3997C" w14:textId="7DE4C947">
      <w:pPr>
        <w:rPr>
          <w:u w:val="single"/>
        </w:rPr>
      </w:pPr>
      <w:r>
        <w:rPr>
          <w:u w:val="single"/>
        </w:rPr>
        <w:t>Onderwijs ter ondersteuning van respect</w:t>
      </w:r>
    </w:p>
    <w:p w:rsidR="00C75699" w:rsidP="00C75699" w:rsidRDefault="00D83638" w14:paraId="0B95D552" w14:textId="4373067F">
      <w:r>
        <w:t xml:space="preserve">De wettelijke burgerschapsopdracht </w:t>
      </w:r>
      <w:r w:rsidR="00C77B8A">
        <w:t>d</w:t>
      </w:r>
      <w:r>
        <w:t>raagt scholen in het p</w:t>
      </w:r>
      <w:r w:rsidR="00C75699">
        <w:t xml:space="preserve">rimair en voortgezet onderwijs </w:t>
      </w:r>
      <w:r w:rsidR="00C77B8A">
        <w:t xml:space="preserve">op </w:t>
      </w:r>
      <w:r w:rsidR="0044175B">
        <w:t xml:space="preserve">om </w:t>
      </w:r>
      <w:r>
        <w:t xml:space="preserve">actief burgerschap en sociale cohesie </w:t>
      </w:r>
      <w:r w:rsidR="0044175B">
        <w:t xml:space="preserve">onder leerlingen </w:t>
      </w:r>
      <w:r>
        <w:t>te bevorderen</w:t>
      </w:r>
      <w:r w:rsidR="0044175B">
        <w:t xml:space="preserve"> en om leerlingen kennis en respect bij te brengen van en voor de </w:t>
      </w:r>
      <w:r>
        <w:t xml:space="preserve">basiswaarden van de </w:t>
      </w:r>
      <w:r w:rsidR="0044175B">
        <w:t xml:space="preserve">democratische </w:t>
      </w:r>
      <w:r>
        <w:t xml:space="preserve">rechtsstaat en verschillen tussen mensen. Scholen zijn ook </w:t>
      </w:r>
      <w:r w:rsidR="00C75699">
        <w:t xml:space="preserve">wettelijk verplicht </w:t>
      </w:r>
      <w:r>
        <w:t>om in het curriculum aandacht te besteden aan diversiteit, bijvoorbeeld in seksuele oriëntatie, via de kerndoelen ‘burgerschap’ en ‘mens en maatschappij’ zo</w:t>
      </w:r>
      <w:r w:rsidR="00C77B8A">
        <w:t>als</w:t>
      </w:r>
      <w:r>
        <w:t xml:space="preserve"> vastgelegd in wet- en regelgeving. </w:t>
      </w:r>
      <w:r w:rsidR="00C75699">
        <w:t xml:space="preserve">Daarnaast hebben scholen </w:t>
      </w:r>
      <w:r w:rsidR="0044175B">
        <w:t xml:space="preserve">in het primair en voortgezet onderwijs </w:t>
      </w:r>
      <w:r w:rsidR="00C75699">
        <w:t xml:space="preserve">een wettelijke zorgplicht voor de sociale veiligheid van leerlingen. Om deze te versterken </w:t>
      </w:r>
      <w:r w:rsidR="00C77B8A">
        <w:t>ligt</w:t>
      </w:r>
      <w:r w:rsidR="00C75699">
        <w:t xml:space="preserve"> het wetsvoorstel Vrij en veilig onderwijs</w:t>
      </w:r>
      <w:r w:rsidR="00C77B8A">
        <w:t xml:space="preserve"> voor in uw Kamer</w:t>
      </w:r>
      <w:r w:rsidR="00C75699">
        <w:t xml:space="preserve">. </w:t>
      </w:r>
      <w:r w:rsidR="002F343B">
        <w:t xml:space="preserve">Met dit wetsvoorstel krijgen we beter zicht op de veiligheid, goede ondersteuning en begeleiding bij onveiligheid en een jaarlijkse evaluatie van het veiligheidsbeleid. </w:t>
      </w:r>
      <w:r w:rsidR="0044175B">
        <w:t>De beoogde inwerkingtreding is 1 augus</w:t>
      </w:r>
      <w:r w:rsidR="001261B1">
        <w:t>tus</w:t>
      </w:r>
      <w:r w:rsidR="0044175B">
        <w:t xml:space="preserve"> 2027. </w:t>
      </w:r>
      <w:r w:rsidR="00C75699">
        <w:t xml:space="preserve">Ik ondersteun </w:t>
      </w:r>
      <w:r w:rsidR="0044175B">
        <w:t xml:space="preserve">daarnaast </w:t>
      </w:r>
      <w:r w:rsidR="00C75699">
        <w:t>Stichting School &amp; Veiligheid (SSV), de landelijke expertise-organisatie voor sociale veiligheid op school. SSV ondersteunt scholen met informatie en advies</w:t>
      </w:r>
      <w:r w:rsidR="00293EC3">
        <w:t xml:space="preserve"> voor sociale veiligheid op school</w:t>
      </w:r>
      <w:r w:rsidR="00C75699">
        <w:t xml:space="preserve">, </w:t>
      </w:r>
      <w:r w:rsidR="00293EC3">
        <w:t>bijvoorbeeld</w:t>
      </w:r>
      <w:r w:rsidR="00C75699">
        <w:t xml:space="preserve"> via gendi.nl met informatie over gender- en seksuele diversiteit. Ook ondersteun ik het project </w:t>
      </w:r>
      <w:r w:rsidRPr="00293EC3" w:rsidR="00C75699">
        <w:rPr>
          <w:i/>
          <w:iCs/>
        </w:rPr>
        <w:t>Aan het begin van de Regenboog</w:t>
      </w:r>
      <w:r w:rsidR="00C75699">
        <w:t xml:space="preserve"> van COC Nederland</w:t>
      </w:r>
      <w:r w:rsidR="00293EC3">
        <w:t xml:space="preserve">, waarmee leraren </w:t>
      </w:r>
      <w:r w:rsidR="00C75699">
        <w:t xml:space="preserve">in het primair onderwijs handvatten </w:t>
      </w:r>
      <w:r w:rsidR="00293EC3">
        <w:t xml:space="preserve">krijgen </w:t>
      </w:r>
      <w:r w:rsidR="00C75699">
        <w:t>om diversiteit bespreekbaar te maken en een veilige leeromgeving voor lhbtiq+ leerlingen te bevorderen.</w:t>
      </w:r>
      <w:r w:rsidR="00C77B8A">
        <w:t xml:space="preserve"> </w:t>
      </w:r>
    </w:p>
    <w:p w:rsidR="00C75699" w:rsidP="00C75699" w:rsidRDefault="00C75699" w14:paraId="1A28FB39" w14:textId="00B05B03"/>
    <w:p w:rsidRPr="00C873AC" w:rsidR="00C75699" w:rsidP="00C75699" w:rsidRDefault="00C77B8A" w14:paraId="313A8802" w14:textId="05DE0E55">
      <w:pPr>
        <w:rPr>
          <w:u w:val="single"/>
        </w:rPr>
      </w:pPr>
      <w:r>
        <w:rPr>
          <w:u w:val="single"/>
        </w:rPr>
        <w:t xml:space="preserve">Gerichte </w:t>
      </w:r>
      <w:r w:rsidR="00293EC3">
        <w:rPr>
          <w:u w:val="single"/>
        </w:rPr>
        <w:t>s</w:t>
      </w:r>
      <w:r w:rsidR="00C75699">
        <w:rPr>
          <w:u w:val="single"/>
        </w:rPr>
        <w:t xml:space="preserve">amenwerking </w:t>
      </w:r>
      <w:r>
        <w:rPr>
          <w:u w:val="single"/>
        </w:rPr>
        <w:t xml:space="preserve">tussen </w:t>
      </w:r>
      <w:r w:rsidR="00C75699">
        <w:rPr>
          <w:u w:val="single"/>
        </w:rPr>
        <w:t>maatschappelijk</w:t>
      </w:r>
      <w:r>
        <w:rPr>
          <w:u w:val="single"/>
        </w:rPr>
        <w:t>e organisaties</w:t>
      </w:r>
    </w:p>
    <w:p w:rsidR="00C75699" w:rsidP="00C75699" w:rsidRDefault="0093160F" w14:paraId="01D875BD" w14:textId="58DCBCE4">
      <w:r w:rsidRPr="0093160F">
        <w:t>D</w:t>
      </w:r>
      <w:r w:rsidRPr="0093160F" w:rsidR="00293EC3">
        <w:t xml:space="preserve">e allianties Kleurrijk en Vrij, Jong Gelijk en Verandering </w:t>
      </w:r>
      <w:r w:rsidR="001B6C10">
        <w:t xml:space="preserve">worden ondersteund bij het </w:t>
      </w:r>
      <w:r w:rsidRPr="0093160F">
        <w:t>bevorderen van lhbtiq+-acceptatie</w:t>
      </w:r>
      <w:r w:rsidRPr="0093160F" w:rsidR="00293EC3">
        <w:t>.</w:t>
      </w:r>
      <w:r w:rsidR="00293EC3">
        <w:t xml:space="preserve"> A</w:t>
      </w:r>
      <w:r w:rsidR="00C75699">
        <w:t xml:space="preserve">lliantie Kleurrijk en Vrij bestaat uit COC Nederland, Transgender Netwerk, NNID en Bi+ Nederland. De alliantie ondersteunt scholen, docenten en vrijwilligers bij het organiseren van Paarse Vrijdag in het voortgezet onderwijs en mbo en </w:t>
      </w:r>
      <w:r w:rsidRPr="00293EC3" w:rsidR="00C75699">
        <w:rPr>
          <w:i/>
          <w:iCs/>
        </w:rPr>
        <w:t>Gender and Sexuality Alliances</w:t>
      </w:r>
      <w:r w:rsidR="00C75699">
        <w:t xml:space="preserve"> (GSA’s) op scholen. Een GSA is een groep die leerlingen kunnen starten om solidariteit te tonen met lhbtiq+ leerlingen of herkenning en erkenning te vinden. </w:t>
      </w:r>
      <w:r>
        <w:t xml:space="preserve">Jaarlijks organiseren duizenden scholen Paarse Vrijdag en GSA’s zijn een bekend begrip in het onderwijs. </w:t>
      </w:r>
      <w:r w:rsidR="00C75699">
        <w:t xml:space="preserve">Tot slot bevordert COC kennisuitwisseling en goede voorbeelden via een docentennetwerk. De alliantie Jong Gelijk is een samenwerking tussen Rutgers, Colored Qollective, Femmes for Freedom, de Nationale Jeugdraad en Stichting Plattelandsjongeren. De alliantie werkt vóór en dóór jongeren met verschillende achtergronden en zet zich in voor een samenleving waarin jongeren elkaar ruimte geven om zich vrij te ontwikkelen op het gebied van gender en seksualiteit. </w:t>
      </w:r>
      <w:r w:rsidR="00293EC3">
        <w:t xml:space="preserve">Tot slot </w:t>
      </w:r>
      <w:r w:rsidR="00D00558">
        <w:t xml:space="preserve">bestaat de alliantie </w:t>
      </w:r>
      <w:r w:rsidR="00C75699">
        <w:t xml:space="preserve">Verandering van binnenuit 2.0 </w:t>
      </w:r>
      <w:r w:rsidR="00D00558">
        <w:t xml:space="preserve">uit het Consortium Zelfbeschikking, LCC+ en Movisie. Deze alliantie draagt </w:t>
      </w:r>
      <w:r w:rsidR="00C75699">
        <w:t>bij aan de veiligheid en acceptatie van onder andere lhbtiq+ personen in gesloten gemeenschappen</w:t>
      </w:r>
      <w:r w:rsidR="00D00558">
        <w:t xml:space="preserve"> door te werken met ‘voorlopers’ uit de gemeenschappen</w:t>
      </w:r>
      <w:r w:rsidR="00C75699">
        <w:t>.</w:t>
      </w:r>
    </w:p>
    <w:p w:rsidR="00C75699" w:rsidP="00CA35E4" w:rsidRDefault="00C75699" w14:paraId="0560EF4D" w14:textId="77777777">
      <w:pPr>
        <w:rPr>
          <w:b/>
          <w:bCs/>
        </w:rPr>
      </w:pPr>
    </w:p>
    <w:p w:rsidRPr="00423083" w:rsidR="00423083" w:rsidP="00423083" w:rsidRDefault="00423083" w14:paraId="7AEED914" w14:textId="77777777">
      <w:pPr>
        <w:rPr>
          <w:u w:val="single"/>
        </w:rPr>
      </w:pPr>
      <w:r w:rsidRPr="00423083">
        <w:rPr>
          <w:u w:val="single"/>
        </w:rPr>
        <w:t>Monitoring</w:t>
      </w:r>
    </w:p>
    <w:p w:rsidR="00240B71" w:rsidP="00423083" w:rsidRDefault="00423083" w14:paraId="75EE0A63" w14:textId="27474DE6">
      <w:r>
        <w:t xml:space="preserve">De onderzoeksresultaten bevestigen het belang van landelijke monitoring. Het is daarom positief dat lhbtiq+-acceptatie </w:t>
      </w:r>
      <w:r w:rsidR="005F22D2">
        <w:t xml:space="preserve">voor het eerst landelijk </w:t>
      </w:r>
      <w:r>
        <w:t>wordt gemonitord in de Gezondheidsmonitor Jeugd 2026</w:t>
      </w:r>
      <w:r w:rsidR="00F979A9">
        <w:t xml:space="preserve">. </w:t>
      </w:r>
      <w:r w:rsidR="00D00558">
        <w:t>De resultaten worden in 2027 verwacht. Daarnaast verwacht d</w:t>
      </w:r>
      <w:r w:rsidR="00F979A9">
        <w:t xml:space="preserve">e Universiteit van Amsterdam in 2027 een nieuwe studie te publiceren met focus op de invloed van sociale media en de manosfeer ten </w:t>
      </w:r>
      <w:r w:rsidR="00F979A9">
        <w:lastRenderedPageBreak/>
        <w:t xml:space="preserve">aanzien van opvattingen van jongeren over lhbtiq+ personen. </w:t>
      </w:r>
      <w:r w:rsidR="00D00558">
        <w:t xml:space="preserve">Ik kijk met grote belangstelling uit naar beide onderzoeken. </w:t>
      </w:r>
    </w:p>
    <w:p w:rsidR="00240B71" w:rsidP="00423083" w:rsidRDefault="00240B71" w14:paraId="18DAB891" w14:textId="77777777"/>
    <w:p w:rsidR="00423083" w:rsidP="00423083" w:rsidRDefault="00F979A9" w14:paraId="380AD837" w14:textId="7CB92B57">
      <w:r>
        <w:t xml:space="preserve">Op basis van beide onderzoeken ga ik in gesprek met gemeenten via de VNG en met scholen over de aanpak van lhbtiq+-acceptatie en discriminatie. Daarmee voer ik de motie Van der Plas </w:t>
      </w:r>
      <w:r w:rsidR="00F6659B">
        <w:t xml:space="preserve">(BBB) </w:t>
      </w:r>
      <w:r>
        <w:t>uit.</w:t>
      </w:r>
      <w:r>
        <w:rPr>
          <w:rStyle w:val="Voetnootmarkering"/>
        </w:rPr>
        <w:footnoteReference w:id="11"/>
      </w:r>
      <w:r w:rsidR="00240B71">
        <w:t xml:space="preserve"> </w:t>
      </w:r>
      <w:r w:rsidR="0093160F">
        <w:t xml:space="preserve">In de tussentijd blijft het kabinet zich inzetten voor het bevorderen van lhbtiq+-acceptatie en -veiligheid. In de Emancipatienota worden de nadere vervolgstappen uiteengezet. </w:t>
      </w:r>
    </w:p>
    <w:p w:rsidR="00C75699" w:rsidP="00CA35E4" w:rsidRDefault="00C75699" w14:paraId="4691EEFE" w14:textId="77777777"/>
    <w:p w:rsidRPr="00C75699" w:rsidR="00C75699" w:rsidP="00CA35E4" w:rsidRDefault="00C75699" w14:paraId="2FD4ECF2" w14:textId="3DDA2D0A">
      <w:pPr>
        <w:rPr>
          <w:b/>
          <w:bCs/>
        </w:rPr>
      </w:pPr>
      <w:r w:rsidRPr="00C75699">
        <w:rPr>
          <w:b/>
          <w:bCs/>
        </w:rPr>
        <w:t>Tot slot</w:t>
      </w:r>
    </w:p>
    <w:p w:rsidRPr="00C75699" w:rsidR="00C75699" w:rsidP="00CA35E4" w:rsidRDefault="00C75699" w14:paraId="7926F79A" w14:textId="72E86B35">
      <w:r w:rsidRPr="00C75699">
        <w:t xml:space="preserve">Een Nederland </w:t>
      </w:r>
      <w:r>
        <w:t xml:space="preserve">waarin gelijkwaardigheid, vrijheid en solidariteit voor eenieder zijn gewaarborgd, </w:t>
      </w:r>
      <w:r w:rsidR="009436D4">
        <w:t xml:space="preserve">is een gezamenlijke verantwoordelijkheid. </w:t>
      </w:r>
      <w:r>
        <w:t xml:space="preserve">We kunnen niet toestaan dat op deze fundamentele waarden wordt ingeboet. Het onderzoek </w:t>
      </w:r>
      <w:r w:rsidRPr="00C75699">
        <w:rPr>
          <w:i/>
          <w:iCs/>
        </w:rPr>
        <w:t>De lhbtiq+-opvattingen van jongeren</w:t>
      </w:r>
      <w:r>
        <w:t xml:space="preserve"> </w:t>
      </w:r>
      <w:r w:rsidR="00240B71">
        <w:t xml:space="preserve">bevestigt de vermoedens </w:t>
      </w:r>
      <w:r>
        <w:t>dat de opvattingen over de gelijkwaardigheid van lhbtiq+ personen bij een deel van de jongeren onder druk staan. Het kabinet beschouwt neemt de</w:t>
      </w:r>
      <w:r w:rsidR="009436D4">
        <w:t>ze</w:t>
      </w:r>
      <w:r>
        <w:t xml:space="preserve"> signalen serieus</w:t>
      </w:r>
      <w:r w:rsidR="00240B71">
        <w:t xml:space="preserve"> en zet zich vol overtuiging in om </w:t>
      </w:r>
      <w:r>
        <w:t xml:space="preserve">basiswaarden van de democratische rechtsstaat </w:t>
      </w:r>
      <w:r w:rsidR="00240B71">
        <w:t>te versterken</w:t>
      </w:r>
      <w:r>
        <w:t xml:space="preserve">. </w:t>
      </w:r>
    </w:p>
    <w:p w:rsidR="00820DDA" w:rsidP="00CA35E4" w:rsidRDefault="007829F8" w14:paraId="3CBAA75B" w14:textId="2A415861">
      <w:r>
        <w:br/>
      </w:r>
      <w:r w:rsidR="00160A8B">
        <w:t>Hoogachtend,</w:t>
      </w:r>
      <w:r>
        <w:br/>
      </w:r>
      <w:r>
        <w:br/>
      </w:r>
      <w:r w:rsidR="00E35EF0">
        <w:br/>
      </w:r>
      <w:r w:rsidR="007133B7">
        <w:t>d</w:t>
      </w:r>
      <w:r w:rsidR="00745AE0">
        <w:t xml:space="preserve">e staatssecretaris </w:t>
      </w:r>
      <w:r w:rsidR="00535573">
        <w:t>van Onderwijs</w:t>
      </w:r>
      <w:r w:rsidR="007133B7">
        <w:t xml:space="preserve"> en Emancipatie</w:t>
      </w:r>
      <w:r w:rsidR="00745AE0">
        <w:t>,</w:t>
      </w:r>
    </w:p>
    <w:p w:rsidR="00745AE0" w:rsidP="003A7160" w:rsidRDefault="00745AE0" w14:paraId="5FB333A9" w14:textId="77777777"/>
    <w:p w:rsidR="00745AE0" w:rsidP="003A7160" w:rsidRDefault="00745AE0" w14:paraId="78D1BFEB" w14:textId="77777777"/>
    <w:p w:rsidR="00745AE0" w:rsidP="007133B7" w:rsidRDefault="007133B7" w14:paraId="21BC9F4C" w14:textId="2D2F5C2C">
      <w:pPr>
        <w:tabs>
          <w:tab w:val="left" w:pos="1851"/>
        </w:tabs>
      </w:pPr>
      <w:r>
        <w:tab/>
      </w:r>
    </w:p>
    <w:p w:rsidR="00745AE0" w:rsidP="003A7160" w:rsidRDefault="00745AE0" w14:paraId="5C37E313" w14:textId="77777777"/>
    <w:p w:rsidR="00745AE0" w:rsidP="003A7160" w:rsidRDefault="00745AE0" w14:paraId="670F4025" w14:textId="77777777"/>
    <w:p w:rsidR="00E93891" w:rsidP="00347221" w:rsidRDefault="00E93891" w14:paraId="4F1CA907" w14:textId="77777777"/>
    <w:p w:rsidR="00427B06" w:rsidP="007133B7" w:rsidRDefault="007133B7" w14:paraId="15A146EF" w14:textId="7C88826E">
      <w:r w:rsidRPr="000E04A1">
        <w:t>Judith Zs.C.M. Tielen</w:t>
      </w:r>
    </w:p>
    <w:p w:rsidR="00422A9C" w:rsidRDefault="00422A9C" w14:paraId="7A49A652" w14:textId="482BF1F6">
      <w:pPr>
        <w:spacing w:line="240" w:lineRule="auto"/>
      </w:pPr>
    </w:p>
    <w:sectPr w:rsidR="00422A9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1D0C" w14:textId="77777777" w:rsidR="00DC691C" w:rsidRDefault="007133B7">
      <w:r>
        <w:separator/>
      </w:r>
    </w:p>
    <w:p w14:paraId="582E1D97" w14:textId="77777777" w:rsidR="00DC691C" w:rsidRDefault="00DC691C"/>
  </w:endnote>
  <w:endnote w:type="continuationSeparator" w:id="0">
    <w:p w14:paraId="265A0E9D" w14:textId="77777777" w:rsidR="00DC691C" w:rsidRDefault="007133B7">
      <w:r>
        <w:continuationSeparator/>
      </w:r>
    </w:p>
    <w:p w14:paraId="67EF601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628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80516" w14:paraId="45EC7858" w14:textId="77777777" w:rsidTr="004C7E1D">
      <w:trPr>
        <w:trHeight w:hRule="exact" w:val="357"/>
      </w:trPr>
      <w:tc>
        <w:tcPr>
          <w:tcW w:w="7603" w:type="dxa"/>
        </w:tcPr>
        <w:p w14:paraId="6D83220B" w14:textId="77777777" w:rsidR="002F71BB" w:rsidRPr="004C7E1D" w:rsidRDefault="002F71BB" w:rsidP="004C7E1D">
          <w:pPr>
            <w:spacing w:line="180" w:lineRule="exact"/>
            <w:rPr>
              <w:sz w:val="13"/>
              <w:szCs w:val="13"/>
            </w:rPr>
          </w:pPr>
        </w:p>
      </w:tc>
      <w:tc>
        <w:tcPr>
          <w:tcW w:w="2172" w:type="dxa"/>
        </w:tcPr>
        <w:p w14:paraId="5ABDFF00" w14:textId="721C5EC0" w:rsidR="002F71BB" w:rsidRPr="004C7E1D" w:rsidRDefault="007133B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15F57">
            <w:rPr>
              <w:szCs w:val="13"/>
            </w:rPr>
            <w:t>6</w:t>
          </w:r>
          <w:r w:rsidRPr="004C7E1D">
            <w:rPr>
              <w:szCs w:val="13"/>
            </w:rPr>
            <w:fldChar w:fldCharType="end"/>
          </w:r>
        </w:p>
      </w:tc>
    </w:tr>
  </w:tbl>
  <w:p w14:paraId="1BD19D8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80516" w14:paraId="4F263F94" w14:textId="77777777" w:rsidTr="004C7E1D">
      <w:trPr>
        <w:trHeight w:hRule="exact" w:val="357"/>
      </w:trPr>
      <w:tc>
        <w:tcPr>
          <w:tcW w:w="7709" w:type="dxa"/>
        </w:tcPr>
        <w:p w14:paraId="133E9ED4" w14:textId="77777777" w:rsidR="00D17084" w:rsidRPr="004C7E1D" w:rsidRDefault="00D17084" w:rsidP="004C7E1D">
          <w:pPr>
            <w:spacing w:line="180" w:lineRule="exact"/>
            <w:rPr>
              <w:sz w:val="13"/>
              <w:szCs w:val="13"/>
            </w:rPr>
          </w:pPr>
        </w:p>
      </w:tc>
      <w:tc>
        <w:tcPr>
          <w:tcW w:w="2060" w:type="dxa"/>
        </w:tcPr>
        <w:p w14:paraId="645FED7A" w14:textId="15EFF7CA" w:rsidR="00D17084" w:rsidRPr="004C7E1D" w:rsidRDefault="007133B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15F57">
            <w:rPr>
              <w:szCs w:val="13"/>
            </w:rPr>
            <w:t>6</w:t>
          </w:r>
          <w:r w:rsidRPr="004C7E1D">
            <w:rPr>
              <w:szCs w:val="13"/>
            </w:rPr>
            <w:fldChar w:fldCharType="end"/>
          </w:r>
        </w:p>
      </w:tc>
    </w:tr>
  </w:tbl>
  <w:p w14:paraId="0961FDF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4B00" w14:textId="77777777" w:rsidR="00DC691C" w:rsidRDefault="007133B7">
      <w:r>
        <w:separator/>
      </w:r>
    </w:p>
    <w:p w14:paraId="06CD32C5" w14:textId="77777777" w:rsidR="00DC691C" w:rsidRDefault="00DC691C"/>
  </w:footnote>
  <w:footnote w:type="continuationSeparator" w:id="0">
    <w:p w14:paraId="5ECAC6B9" w14:textId="77777777" w:rsidR="00DC691C" w:rsidRDefault="007133B7">
      <w:r>
        <w:continuationSeparator/>
      </w:r>
    </w:p>
    <w:p w14:paraId="24367FD9" w14:textId="77777777" w:rsidR="00DC691C" w:rsidRDefault="00DC691C"/>
  </w:footnote>
  <w:footnote w:id="1">
    <w:p w14:paraId="68DF1612" w14:textId="77777777" w:rsidR="00681A56" w:rsidRDefault="00681A56" w:rsidP="00681A56">
      <w:pPr>
        <w:pStyle w:val="Voetnoottekst"/>
      </w:pPr>
      <w:r>
        <w:rPr>
          <w:rStyle w:val="Voetnootmarkering"/>
        </w:rPr>
        <w:footnoteRef/>
      </w:r>
      <w:r>
        <w:t xml:space="preserve"> De GGD-regio’s waarin de vraag was opgenomen in de vragenlijst: Amsterdam, Gelderland Zuid, Gooi en Vechtstreek, Hollands Noorden, Noord en Oost Gelderland, Twente, Utrecht en Zaanstreek Waterland. </w:t>
      </w:r>
    </w:p>
  </w:footnote>
  <w:footnote w:id="2">
    <w:p w14:paraId="515EA234" w14:textId="475BA316" w:rsidR="00681A56" w:rsidRDefault="00681A56" w:rsidP="00681A56">
      <w:pPr>
        <w:pStyle w:val="Voetnoottekst"/>
      </w:pPr>
      <w:r>
        <w:rPr>
          <w:rStyle w:val="Voetnootmarkering"/>
        </w:rPr>
        <w:footnoteRef/>
      </w:r>
      <w:r>
        <w:t xml:space="preserve"> Tabellenboeken van de Gezondheidsmonitor Jeugd voor de bovenstaande GGD-regio’s (20</w:t>
      </w:r>
      <w:r w:rsidR="00804B6A">
        <w:t>19</w:t>
      </w:r>
      <w:r>
        <w:t>, 2021, 20</w:t>
      </w:r>
      <w:r w:rsidR="00804B6A">
        <w:t>23</w:t>
      </w:r>
      <w:r>
        <w:t>).</w:t>
      </w:r>
    </w:p>
  </w:footnote>
  <w:footnote w:id="3">
    <w:p w14:paraId="368193C9" w14:textId="77777777" w:rsidR="00681A56" w:rsidRDefault="00681A56" w:rsidP="00681A56">
      <w:pPr>
        <w:pStyle w:val="Voetnoottekst"/>
      </w:pPr>
      <w:r>
        <w:rPr>
          <w:rStyle w:val="Voetnootmarkering"/>
        </w:rPr>
        <w:footnoteRef/>
      </w:r>
      <w:r>
        <w:t xml:space="preserve"> </w:t>
      </w:r>
      <w:r w:rsidRPr="00F812A5">
        <w:t>Kamerstukken II, 2024-2025, 30 420, nr. 414</w:t>
      </w:r>
    </w:p>
  </w:footnote>
  <w:footnote w:id="4">
    <w:p w14:paraId="240F5944" w14:textId="77777777" w:rsidR="00681A56" w:rsidRDefault="00681A56" w:rsidP="00681A56">
      <w:pPr>
        <w:pStyle w:val="Voetnoottekst"/>
      </w:pPr>
      <w:r>
        <w:rPr>
          <w:rStyle w:val="Voetnootmarkering"/>
        </w:rPr>
        <w:footnoteRef/>
      </w:r>
      <w:r>
        <w:t xml:space="preserve"> Kamerstukken II, 2023-2024, 30 420, nr. 2259</w:t>
      </w:r>
    </w:p>
  </w:footnote>
  <w:footnote w:id="5">
    <w:p w14:paraId="7BE057F9" w14:textId="77777777" w:rsidR="00681A56" w:rsidRDefault="00681A56" w:rsidP="00681A56">
      <w:pPr>
        <w:pStyle w:val="Voetnoottekst"/>
      </w:pPr>
      <w:r>
        <w:rPr>
          <w:rStyle w:val="Voetnootmarkering"/>
        </w:rPr>
        <w:footnoteRef/>
      </w:r>
      <w:r>
        <w:t xml:space="preserve"> Kamerstukken II, 2024-2025, 30 420, nr. 421</w:t>
      </w:r>
    </w:p>
  </w:footnote>
  <w:footnote w:id="6">
    <w:p w14:paraId="3C78C59A" w14:textId="77777777" w:rsidR="006E49DF" w:rsidRDefault="006E49DF" w:rsidP="006E49DF">
      <w:pPr>
        <w:pStyle w:val="Voetnoottekst"/>
      </w:pPr>
      <w:r>
        <w:rPr>
          <w:rStyle w:val="Voetnootmarkering"/>
        </w:rPr>
        <w:footnoteRef/>
      </w:r>
      <w:r>
        <w:t xml:space="preserve"> Kamerstukken II, 2024-2025, 30 420, nr. 419</w:t>
      </w:r>
    </w:p>
  </w:footnote>
  <w:footnote w:id="7">
    <w:p w14:paraId="0041714D" w14:textId="77777777" w:rsidR="006E49DF" w:rsidRDefault="006E49DF" w:rsidP="006E49DF">
      <w:pPr>
        <w:pStyle w:val="Voetnoottekst"/>
      </w:pPr>
      <w:r>
        <w:rPr>
          <w:rStyle w:val="Voetnootmarkering"/>
        </w:rPr>
        <w:footnoteRef/>
      </w:r>
      <w:r>
        <w:t xml:space="preserve"> Kamerstukken II, 2025-2026, 30 420, nr. 446</w:t>
      </w:r>
    </w:p>
  </w:footnote>
  <w:footnote w:id="8">
    <w:p w14:paraId="36EC687B" w14:textId="77777777" w:rsidR="00C62BFF" w:rsidRDefault="00C62BFF" w:rsidP="00C62BFF">
      <w:pPr>
        <w:pStyle w:val="Voetnoottekst"/>
      </w:pPr>
      <w:r>
        <w:rPr>
          <w:rStyle w:val="Voetnootmarkering"/>
        </w:rPr>
        <w:footnoteRef/>
      </w:r>
      <w:r>
        <w:t xml:space="preserve"> Kamerstukken II, 2025-2026, 30 420 nr. 438</w:t>
      </w:r>
    </w:p>
  </w:footnote>
  <w:footnote w:id="9">
    <w:p w14:paraId="3EB0779F" w14:textId="6DC38BAC" w:rsidR="005F22D2" w:rsidRDefault="005F22D2">
      <w:pPr>
        <w:pStyle w:val="Voetnoottekst"/>
      </w:pPr>
      <w:r>
        <w:rPr>
          <w:rStyle w:val="Voetnootmarkering"/>
        </w:rPr>
        <w:footnoteRef/>
      </w:r>
      <w:r>
        <w:t xml:space="preserve"> </w:t>
      </w:r>
      <w:r w:rsidR="0070172A">
        <w:t>Van de acht GGD-regio’s die in de Gezondheidsmonitor Jeugd 2023 opvattingen over homoseksualiteit hebben uitgevraagd, laten vier regio’s een vergelijkbare trend zien op basis van drie meetmomenten. De acceptatie van homoseksualiteit nam licht toe tussen 2015 en 2019, maar daalde deze met ongeveer 20% tussen 2019 en 2023 in de regio’s Gooi en Vechtstreek, Hollands Noorden, Gelderland Zuid en Noord Oost Gelderland.</w:t>
      </w:r>
    </w:p>
  </w:footnote>
  <w:footnote w:id="10">
    <w:p w14:paraId="75678CCD" w14:textId="77777777" w:rsidR="00C77B8A" w:rsidRDefault="00C77B8A" w:rsidP="00C77B8A">
      <w:pPr>
        <w:pStyle w:val="Voetnoottekst"/>
      </w:pPr>
      <w:r>
        <w:rPr>
          <w:rStyle w:val="Voetnootmarkering"/>
        </w:rPr>
        <w:footnoteRef/>
      </w:r>
      <w:r>
        <w:t xml:space="preserve"> Kamerstuk II, 2025-2026, 36 800-VIII nr. 28</w:t>
      </w:r>
    </w:p>
  </w:footnote>
  <w:footnote w:id="11">
    <w:p w14:paraId="2D1DF9E6" w14:textId="77777777" w:rsidR="00F979A9" w:rsidRDefault="00F979A9" w:rsidP="00F979A9">
      <w:pPr>
        <w:pStyle w:val="Voetnoottekst"/>
      </w:pPr>
      <w:r>
        <w:rPr>
          <w:rStyle w:val="Voetnootmarkering"/>
        </w:rPr>
        <w:footnoteRef/>
      </w:r>
      <w:r>
        <w:t xml:space="preserve"> Motie Van der Plas (BBB), 30 420, nr. 440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80516" w14:paraId="242A0ED3" w14:textId="77777777" w:rsidTr="006D2D53">
      <w:trPr>
        <w:trHeight w:hRule="exact" w:val="400"/>
      </w:trPr>
      <w:tc>
        <w:tcPr>
          <w:tcW w:w="7518" w:type="dxa"/>
        </w:tcPr>
        <w:p w14:paraId="40A8BB66" w14:textId="77777777" w:rsidR="00527BD4" w:rsidRPr="00275984" w:rsidRDefault="00527BD4" w:rsidP="00BF4427">
          <w:pPr>
            <w:pStyle w:val="Huisstijl-Rubricering"/>
          </w:pPr>
        </w:p>
      </w:tc>
    </w:tr>
  </w:tbl>
  <w:p w14:paraId="7C878C2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80516" w14:paraId="1BF1A145" w14:textId="77777777" w:rsidTr="003B528D">
      <w:tc>
        <w:tcPr>
          <w:tcW w:w="2160" w:type="dxa"/>
        </w:tcPr>
        <w:p w14:paraId="77192D74" w14:textId="77777777" w:rsidR="002F71BB" w:rsidRPr="000407BB" w:rsidRDefault="007133B7" w:rsidP="005D283A">
          <w:pPr>
            <w:pStyle w:val="Colofonkop"/>
            <w:framePr w:hSpace="0" w:wrap="auto" w:vAnchor="margin" w:hAnchor="text" w:xAlign="left" w:yAlign="inline"/>
          </w:pPr>
          <w:r>
            <w:t>Onze referentie</w:t>
          </w:r>
        </w:p>
      </w:tc>
    </w:tr>
    <w:tr w:rsidR="00A80516" w14:paraId="54E38AE3" w14:textId="77777777" w:rsidTr="002F71BB">
      <w:trPr>
        <w:trHeight w:val="259"/>
      </w:trPr>
      <w:tc>
        <w:tcPr>
          <w:tcW w:w="2160" w:type="dxa"/>
        </w:tcPr>
        <w:p w14:paraId="1FC49DB9" w14:textId="77777777" w:rsidR="00E35CF4" w:rsidRPr="005D283A" w:rsidRDefault="007133B7" w:rsidP="0049501A">
          <w:pPr>
            <w:spacing w:line="180" w:lineRule="exact"/>
            <w:rPr>
              <w:sz w:val="13"/>
              <w:szCs w:val="13"/>
            </w:rPr>
          </w:pPr>
          <w:r>
            <w:rPr>
              <w:sz w:val="13"/>
              <w:szCs w:val="13"/>
            </w:rPr>
            <w:t>63625671</w:t>
          </w:r>
        </w:p>
      </w:tc>
    </w:tr>
  </w:tbl>
  <w:p w14:paraId="385407A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0516" w14:paraId="7C2FE01F" w14:textId="77777777" w:rsidTr="001377D4">
      <w:trPr>
        <w:trHeight w:val="2636"/>
      </w:trPr>
      <w:tc>
        <w:tcPr>
          <w:tcW w:w="737" w:type="dxa"/>
        </w:tcPr>
        <w:p w14:paraId="28A5D7A3" w14:textId="77777777" w:rsidR="00704845" w:rsidRDefault="00704845" w:rsidP="0047126E">
          <w:pPr>
            <w:framePr w:w="6339" w:h="2750" w:hRule="exact" w:hSpace="181" w:wrap="around" w:vAnchor="page" w:hAnchor="page" w:x="5586" w:y="1"/>
            <w:spacing w:line="240" w:lineRule="auto"/>
          </w:pPr>
        </w:p>
      </w:tc>
      <w:tc>
        <w:tcPr>
          <w:tcW w:w="5156" w:type="dxa"/>
        </w:tcPr>
        <w:p w14:paraId="7D4E4115" w14:textId="77777777" w:rsidR="00704845" w:rsidRDefault="007133B7" w:rsidP="0047126E">
          <w:pPr>
            <w:framePr w:w="3873" w:h="2625" w:hRule="exact" w:wrap="around" w:vAnchor="page" w:hAnchor="page" w:x="6323" w:y="1"/>
          </w:pPr>
          <w:r>
            <w:rPr>
              <w:noProof/>
              <w:lang w:val="en-US" w:eastAsia="en-US"/>
            </w:rPr>
            <w:drawing>
              <wp:inline distT="0" distB="0" distL="0" distR="0" wp14:anchorId="7909BCF0" wp14:editId="05A2417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23BDA9" w14:textId="77777777" w:rsidR="00483ECA" w:rsidRDefault="00483ECA" w:rsidP="00D037A9"/>
      </w:tc>
    </w:tr>
  </w:tbl>
  <w:p w14:paraId="53B5FC6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80516" w14:paraId="394E6547" w14:textId="77777777" w:rsidTr="0008539E">
      <w:trPr>
        <w:trHeight w:hRule="exact" w:val="572"/>
      </w:trPr>
      <w:tc>
        <w:tcPr>
          <w:tcW w:w="7520" w:type="dxa"/>
        </w:tcPr>
        <w:p w14:paraId="07A0A7B4" w14:textId="77777777" w:rsidR="00527BD4" w:rsidRPr="00963440" w:rsidRDefault="007133B7" w:rsidP="00210BA3">
          <w:pPr>
            <w:pStyle w:val="Huisstijl-Adres"/>
            <w:spacing w:after="0"/>
          </w:pPr>
          <w:r w:rsidRPr="009E3B07">
            <w:t>&gt;Retouradres </w:t>
          </w:r>
          <w:r>
            <w:t>Postbus 16375 2500 BJ Den Haag</w:t>
          </w:r>
          <w:r w:rsidRPr="009E3B07">
            <w:t xml:space="preserve"> </w:t>
          </w:r>
        </w:p>
      </w:tc>
    </w:tr>
    <w:tr w:rsidR="00A80516" w14:paraId="2B147A9C" w14:textId="77777777" w:rsidTr="00E776C6">
      <w:trPr>
        <w:cantSplit/>
        <w:trHeight w:hRule="exact" w:val="238"/>
      </w:trPr>
      <w:tc>
        <w:tcPr>
          <w:tcW w:w="7520" w:type="dxa"/>
        </w:tcPr>
        <w:p w14:paraId="0F903A2D" w14:textId="77777777" w:rsidR="00093ABC" w:rsidRPr="00963440" w:rsidRDefault="00093ABC" w:rsidP="00963440"/>
      </w:tc>
    </w:tr>
    <w:tr w:rsidR="00A80516" w14:paraId="4BDAF3FD" w14:textId="77777777" w:rsidTr="00E776C6">
      <w:trPr>
        <w:cantSplit/>
        <w:trHeight w:hRule="exact" w:val="1520"/>
      </w:trPr>
      <w:tc>
        <w:tcPr>
          <w:tcW w:w="7520" w:type="dxa"/>
        </w:tcPr>
        <w:p w14:paraId="4BB0773B" w14:textId="77777777" w:rsidR="00A604D3" w:rsidRPr="00963440" w:rsidRDefault="00A604D3" w:rsidP="00963440"/>
      </w:tc>
    </w:tr>
    <w:tr w:rsidR="00A80516" w14:paraId="09B65894" w14:textId="77777777" w:rsidTr="00E776C6">
      <w:trPr>
        <w:trHeight w:hRule="exact" w:val="1077"/>
      </w:trPr>
      <w:tc>
        <w:tcPr>
          <w:tcW w:w="7520" w:type="dxa"/>
        </w:tcPr>
        <w:p w14:paraId="29CF1DC8" w14:textId="77777777" w:rsidR="00892BA5" w:rsidRPr="00035E67" w:rsidRDefault="00892BA5" w:rsidP="00892BA5">
          <w:pPr>
            <w:tabs>
              <w:tab w:val="left" w:pos="740"/>
            </w:tabs>
            <w:autoSpaceDE w:val="0"/>
            <w:autoSpaceDN w:val="0"/>
            <w:adjustRightInd w:val="0"/>
            <w:rPr>
              <w:rFonts w:cs="Verdana"/>
              <w:szCs w:val="18"/>
            </w:rPr>
          </w:pPr>
        </w:p>
      </w:tc>
    </w:tr>
  </w:tbl>
  <w:p w14:paraId="3370CDDA" w14:textId="77777777" w:rsidR="006F273B" w:rsidRDefault="006F273B" w:rsidP="00BC4AE3">
    <w:pPr>
      <w:pStyle w:val="Koptekst"/>
    </w:pPr>
  </w:p>
  <w:p w14:paraId="099604DB" w14:textId="77777777" w:rsidR="00153BD0" w:rsidRDefault="00153BD0" w:rsidP="00BC4AE3">
    <w:pPr>
      <w:pStyle w:val="Koptekst"/>
    </w:pPr>
  </w:p>
  <w:p w14:paraId="5B45052C" w14:textId="77777777" w:rsidR="0044605E" w:rsidRDefault="0044605E" w:rsidP="00BC4AE3">
    <w:pPr>
      <w:pStyle w:val="Koptekst"/>
    </w:pPr>
  </w:p>
  <w:p w14:paraId="01E44AFF" w14:textId="77777777" w:rsidR="0044605E" w:rsidRDefault="0044605E" w:rsidP="00BC4AE3">
    <w:pPr>
      <w:pStyle w:val="Koptekst"/>
    </w:pPr>
  </w:p>
  <w:p w14:paraId="2E1DBC3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16022D"/>
    <w:multiLevelType w:val="hybridMultilevel"/>
    <w:tmpl w:val="29064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4BC2E8A">
      <w:start w:val="1"/>
      <w:numFmt w:val="bullet"/>
      <w:pStyle w:val="Lijstopsomteken"/>
      <w:lvlText w:val="•"/>
      <w:lvlJc w:val="left"/>
      <w:pPr>
        <w:tabs>
          <w:tab w:val="num" w:pos="227"/>
        </w:tabs>
        <w:ind w:left="227" w:hanging="227"/>
      </w:pPr>
      <w:rPr>
        <w:rFonts w:ascii="Verdana" w:hAnsi="Verdana" w:hint="default"/>
        <w:sz w:val="18"/>
        <w:szCs w:val="18"/>
      </w:rPr>
    </w:lvl>
    <w:lvl w:ilvl="1" w:tplc="B1AA3334" w:tentative="1">
      <w:start w:val="1"/>
      <w:numFmt w:val="bullet"/>
      <w:lvlText w:val="o"/>
      <w:lvlJc w:val="left"/>
      <w:pPr>
        <w:tabs>
          <w:tab w:val="num" w:pos="1440"/>
        </w:tabs>
        <w:ind w:left="1440" w:hanging="360"/>
      </w:pPr>
      <w:rPr>
        <w:rFonts w:ascii="Courier New" w:hAnsi="Courier New" w:cs="Courier New" w:hint="default"/>
      </w:rPr>
    </w:lvl>
    <w:lvl w:ilvl="2" w:tplc="CB8678A6" w:tentative="1">
      <w:start w:val="1"/>
      <w:numFmt w:val="bullet"/>
      <w:lvlText w:val=""/>
      <w:lvlJc w:val="left"/>
      <w:pPr>
        <w:tabs>
          <w:tab w:val="num" w:pos="2160"/>
        </w:tabs>
        <w:ind w:left="2160" w:hanging="360"/>
      </w:pPr>
      <w:rPr>
        <w:rFonts w:ascii="Wingdings" w:hAnsi="Wingdings" w:hint="default"/>
      </w:rPr>
    </w:lvl>
    <w:lvl w:ilvl="3" w:tplc="03F88792" w:tentative="1">
      <w:start w:val="1"/>
      <w:numFmt w:val="bullet"/>
      <w:lvlText w:val=""/>
      <w:lvlJc w:val="left"/>
      <w:pPr>
        <w:tabs>
          <w:tab w:val="num" w:pos="2880"/>
        </w:tabs>
        <w:ind w:left="2880" w:hanging="360"/>
      </w:pPr>
      <w:rPr>
        <w:rFonts w:ascii="Symbol" w:hAnsi="Symbol" w:hint="default"/>
      </w:rPr>
    </w:lvl>
    <w:lvl w:ilvl="4" w:tplc="8D0EF352" w:tentative="1">
      <w:start w:val="1"/>
      <w:numFmt w:val="bullet"/>
      <w:lvlText w:val="o"/>
      <w:lvlJc w:val="left"/>
      <w:pPr>
        <w:tabs>
          <w:tab w:val="num" w:pos="3600"/>
        </w:tabs>
        <w:ind w:left="3600" w:hanging="360"/>
      </w:pPr>
      <w:rPr>
        <w:rFonts w:ascii="Courier New" w:hAnsi="Courier New" w:cs="Courier New" w:hint="default"/>
      </w:rPr>
    </w:lvl>
    <w:lvl w:ilvl="5" w:tplc="17323448" w:tentative="1">
      <w:start w:val="1"/>
      <w:numFmt w:val="bullet"/>
      <w:lvlText w:val=""/>
      <w:lvlJc w:val="left"/>
      <w:pPr>
        <w:tabs>
          <w:tab w:val="num" w:pos="4320"/>
        </w:tabs>
        <w:ind w:left="4320" w:hanging="360"/>
      </w:pPr>
      <w:rPr>
        <w:rFonts w:ascii="Wingdings" w:hAnsi="Wingdings" w:hint="default"/>
      </w:rPr>
    </w:lvl>
    <w:lvl w:ilvl="6" w:tplc="3C6C7398" w:tentative="1">
      <w:start w:val="1"/>
      <w:numFmt w:val="bullet"/>
      <w:lvlText w:val=""/>
      <w:lvlJc w:val="left"/>
      <w:pPr>
        <w:tabs>
          <w:tab w:val="num" w:pos="5040"/>
        </w:tabs>
        <w:ind w:left="5040" w:hanging="360"/>
      </w:pPr>
      <w:rPr>
        <w:rFonts w:ascii="Symbol" w:hAnsi="Symbol" w:hint="default"/>
      </w:rPr>
    </w:lvl>
    <w:lvl w:ilvl="7" w:tplc="089CB16E" w:tentative="1">
      <w:start w:val="1"/>
      <w:numFmt w:val="bullet"/>
      <w:lvlText w:val="o"/>
      <w:lvlJc w:val="left"/>
      <w:pPr>
        <w:tabs>
          <w:tab w:val="num" w:pos="5760"/>
        </w:tabs>
        <w:ind w:left="5760" w:hanging="360"/>
      </w:pPr>
      <w:rPr>
        <w:rFonts w:ascii="Courier New" w:hAnsi="Courier New" w:cs="Courier New" w:hint="default"/>
      </w:rPr>
    </w:lvl>
    <w:lvl w:ilvl="8" w:tplc="45E27E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9219AA"/>
    <w:multiLevelType w:val="hybridMultilevel"/>
    <w:tmpl w:val="3C1EA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E0AB3"/>
    <w:multiLevelType w:val="hybridMultilevel"/>
    <w:tmpl w:val="8E64174A"/>
    <w:lvl w:ilvl="0" w:tplc="D3C4B204">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55FEF"/>
    <w:multiLevelType w:val="hybridMultilevel"/>
    <w:tmpl w:val="50F0923E"/>
    <w:lvl w:ilvl="0" w:tplc="422AD544">
      <w:start w:val="1"/>
      <w:numFmt w:val="bullet"/>
      <w:pStyle w:val="Lijstopsomteken2"/>
      <w:lvlText w:val="–"/>
      <w:lvlJc w:val="left"/>
      <w:pPr>
        <w:tabs>
          <w:tab w:val="num" w:pos="227"/>
        </w:tabs>
        <w:ind w:left="227" w:firstLine="0"/>
      </w:pPr>
      <w:rPr>
        <w:rFonts w:ascii="Verdana" w:hAnsi="Verdana" w:hint="default"/>
      </w:rPr>
    </w:lvl>
    <w:lvl w:ilvl="1" w:tplc="1D16533A" w:tentative="1">
      <w:start w:val="1"/>
      <w:numFmt w:val="bullet"/>
      <w:lvlText w:val="o"/>
      <w:lvlJc w:val="left"/>
      <w:pPr>
        <w:tabs>
          <w:tab w:val="num" w:pos="1440"/>
        </w:tabs>
        <w:ind w:left="1440" w:hanging="360"/>
      </w:pPr>
      <w:rPr>
        <w:rFonts w:ascii="Courier New" w:hAnsi="Courier New" w:cs="Courier New" w:hint="default"/>
      </w:rPr>
    </w:lvl>
    <w:lvl w:ilvl="2" w:tplc="400EE58E" w:tentative="1">
      <w:start w:val="1"/>
      <w:numFmt w:val="bullet"/>
      <w:lvlText w:val=""/>
      <w:lvlJc w:val="left"/>
      <w:pPr>
        <w:tabs>
          <w:tab w:val="num" w:pos="2160"/>
        </w:tabs>
        <w:ind w:left="2160" w:hanging="360"/>
      </w:pPr>
      <w:rPr>
        <w:rFonts w:ascii="Wingdings" w:hAnsi="Wingdings" w:hint="default"/>
      </w:rPr>
    </w:lvl>
    <w:lvl w:ilvl="3" w:tplc="26BC595E" w:tentative="1">
      <w:start w:val="1"/>
      <w:numFmt w:val="bullet"/>
      <w:lvlText w:val=""/>
      <w:lvlJc w:val="left"/>
      <w:pPr>
        <w:tabs>
          <w:tab w:val="num" w:pos="2880"/>
        </w:tabs>
        <w:ind w:left="2880" w:hanging="360"/>
      </w:pPr>
      <w:rPr>
        <w:rFonts w:ascii="Symbol" w:hAnsi="Symbol" w:hint="default"/>
      </w:rPr>
    </w:lvl>
    <w:lvl w:ilvl="4" w:tplc="FB36ED74" w:tentative="1">
      <w:start w:val="1"/>
      <w:numFmt w:val="bullet"/>
      <w:lvlText w:val="o"/>
      <w:lvlJc w:val="left"/>
      <w:pPr>
        <w:tabs>
          <w:tab w:val="num" w:pos="3600"/>
        </w:tabs>
        <w:ind w:left="3600" w:hanging="360"/>
      </w:pPr>
      <w:rPr>
        <w:rFonts w:ascii="Courier New" w:hAnsi="Courier New" w:cs="Courier New" w:hint="default"/>
      </w:rPr>
    </w:lvl>
    <w:lvl w:ilvl="5" w:tplc="405EDB56" w:tentative="1">
      <w:start w:val="1"/>
      <w:numFmt w:val="bullet"/>
      <w:lvlText w:val=""/>
      <w:lvlJc w:val="left"/>
      <w:pPr>
        <w:tabs>
          <w:tab w:val="num" w:pos="4320"/>
        </w:tabs>
        <w:ind w:left="4320" w:hanging="360"/>
      </w:pPr>
      <w:rPr>
        <w:rFonts w:ascii="Wingdings" w:hAnsi="Wingdings" w:hint="default"/>
      </w:rPr>
    </w:lvl>
    <w:lvl w:ilvl="6" w:tplc="3640B1EC" w:tentative="1">
      <w:start w:val="1"/>
      <w:numFmt w:val="bullet"/>
      <w:lvlText w:val=""/>
      <w:lvlJc w:val="left"/>
      <w:pPr>
        <w:tabs>
          <w:tab w:val="num" w:pos="5040"/>
        </w:tabs>
        <w:ind w:left="5040" w:hanging="360"/>
      </w:pPr>
      <w:rPr>
        <w:rFonts w:ascii="Symbol" w:hAnsi="Symbol" w:hint="default"/>
      </w:rPr>
    </w:lvl>
    <w:lvl w:ilvl="7" w:tplc="4DE0F990" w:tentative="1">
      <w:start w:val="1"/>
      <w:numFmt w:val="bullet"/>
      <w:lvlText w:val="o"/>
      <w:lvlJc w:val="left"/>
      <w:pPr>
        <w:tabs>
          <w:tab w:val="num" w:pos="5760"/>
        </w:tabs>
        <w:ind w:left="5760" w:hanging="360"/>
      </w:pPr>
      <w:rPr>
        <w:rFonts w:ascii="Courier New" w:hAnsi="Courier New" w:cs="Courier New" w:hint="default"/>
      </w:rPr>
    </w:lvl>
    <w:lvl w:ilvl="8" w:tplc="C4AA31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33C0E"/>
    <w:multiLevelType w:val="hybridMultilevel"/>
    <w:tmpl w:val="20F26EDA"/>
    <w:lvl w:ilvl="0" w:tplc="CDAA85D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62F0A"/>
    <w:multiLevelType w:val="hybridMultilevel"/>
    <w:tmpl w:val="78BC2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233C9"/>
    <w:multiLevelType w:val="hybridMultilevel"/>
    <w:tmpl w:val="918E93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01427B9"/>
    <w:multiLevelType w:val="hybridMultilevel"/>
    <w:tmpl w:val="4FD40956"/>
    <w:lvl w:ilvl="0" w:tplc="DFC4095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B87A58"/>
    <w:multiLevelType w:val="hybridMultilevel"/>
    <w:tmpl w:val="7DA0F5E6"/>
    <w:lvl w:ilvl="0" w:tplc="D3C4B204">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026622"/>
    <w:multiLevelType w:val="hybridMultilevel"/>
    <w:tmpl w:val="FD544C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311168"/>
    <w:multiLevelType w:val="hybridMultilevel"/>
    <w:tmpl w:val="29064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D41221"/>
    <w:multiLevelType w:val="hybridMultilevel"/>
    <w:tmpl w:val="4ED24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085171"/>
    <w:multiLevelType w:val="hybridMultilevel"/>
    <w:tmpl w:val="2892F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FF0428"/>
    <w:multiLevelType w:val="hybridMultilevel"/>
    <w:tmpl w:val="4E5CADD4"/>
    <w:lvl w:ilvl="0" w:tplc="CC8EE1C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561576">
    <w:abstractNumId w:val="11"/>
  </w:num>
  <w:num w:numId="2" w16cid:durableId="1130250043">
    <w:abstractNumId w:val="7"/>
  </w:num>
  <w:num w:numId="3" w16cid:durableId="2084449560">
    <w:abstractNumId w:val="6"/>
  </w:num>
  <w:num w:numId="4" w16cid:durableId="1006591537">
    <w:abstractNumId w:val="5"/>
  </w:num>
  <w:num w:numId="5" w16cid:durableId="223682616">
    <w:abstractNumId w:val="4"/>
  </w:num>
  <w:num w:numId="6" w16cid:durableId="1965190606">
    <w:abstractNumId w:val="8"/>
  </w:num>
  <w:num w:numId="7" w16cid:durableId="356388767">
    <w:abstractNumId w:val="3"/>
  </w:num>
  <w:num w:numId="8" w16cid:durableId="216867958">
    <w:abstractNumId w:val="2"/>
  </w:num>
  <w:num w:numId="9" w16cid:durableId="2119179425">
    <w:abstractNumId w:val="1"/>
  </w:num>
  <w:num w:numId="10" w16cid:durableId="1080130937">
    <w:abstractNumId w:val="0"/>
  </w:num>
  <w:num w:numId="11" w16cid:durableId="1278443470">
    <w:abstractNumId w:val="10"/>
  </w:num>
  <w:num w:numId="12" w16cid:durableId="798649568">
    <w:abstractNumId w:val="13"/>
  </w:num>
  <w:num w:numId="13" w16cid:durableId="73549548">
    <w:abstractNumId w:val="17"/>
  </w:num>
  <w:num w:numId="14" w16cid:durableId="336658509">
    <w:abstractNumId w:val="15"/>
  </w:num>
  <w:num w:numId="15" w16cid:durableId="62215592">
    <w:abstractNumId w:val="18"/>
  </w:num>
  <w:num w:numId="16" w16cid:durableId="549656253">
    <w:abstractNumId w:val="12"/>
  </w:num>
  <w:num w:numId="17" w16cid:durableId="2021200712">
    <w:abstractNumId w:val="19"/>
  </w:num>
  <w:num w:numId="18" w16cid:durableId="558173043">
    <w:abstractNumId w:val="24"/>
  </w:num>
  <w:num w:numId="19" w16cid:durableId="1586304827">
    <w:abstractNumId w:val="25"/>
  </w:num>
  <w:num w:numId="20" w16cid:durableId="530916454">
    <w:abstractNumId w:val="9"/>
  </w:num>
  <w:num w:numId="21" w16cid:durableId="577667032">
    <w:abstractNumId w:val="26"/>
  </w:num>
  <w:num w:numId="22" w16cid:durableId="1366950430">
    <w:abstractNumId w:val="22"/>
  </w:num>
  <w:num w:numId="23" w16cid:durableId="1697999247">
    <w:abstractNumId w:val="20"/>
  </w:num>
  <w:num w:numId="24" w16cid:durableId="1744447966">
    <w:abstractNumId w:val="16"/>
  </w:num>
  <w:num w:numId="25" w16cid:durableId="1448305755">
    <w:abstractNumId w:val="21"/>
  </w:num>
  <w:num w:numId="26" w16cid:durableId="1454060010">
    <w:abstractNumId w:val="14"/>
  </w:num>
  <w:num w:numId="27" w16cid:durableId="10546682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EDF"/>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42B1"/>
    <w:rsid w:val="00096680"/>
    <w:rsid w:val="000A0E26"/>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1FF"/>
    <w:rsid w:val="000E7895"/>
    <w:rsid w:val="000F161D"/>
    <w:rsid w:val="000F196F"/>
    <w:rsid w:val="000F1B4E"/>
    <w:rsid w:val="000F1FFF"/>
    <w:rsid w:val="00100203"/>
    <w:rsid w:val="00104B4D"/>
    <w:rsid w:val="00105677"/>
    <w:rsid w:val="001177B4"/>
    <w:rsid w:val="00122CF9"/>
    <w:rsid w:val="00123704"/>
    <w:rsid w:val="001261B1"/>
    <w:rsid w:val="001270C7"/>
    <w:rsid w:val="00132540"/>
    <w:rsid w:val="001377D4"/>
    <w:rsid w:val="00137A58"/>
    <w:rsid w:val="00142E41"/>
    <w:rsid w:val="00144623"/>
    <w:rsid w:val="0014786A"/>
    <w:rsid w:val="001510A0"/>
    <w:rsid w:val="001516A4"/>
    <w:rsid w:val="00151E5F"/>
    <w:rsid w:val="00153BD0"/>
    <w:rsid w:val="001569AB"/>
    <w:rsid w:val="001570FD"/>
    <w:rsid w:val="00160A8B"/>
    <w:rsid w:val="00164D63"/>
    <w:rsid w:val="0016725C"/>
    <w:rsid w:val="00167DE5"/>
    <w:rsid w:val="0017008F"/>
    <w:rsid w:val="001726F3"/>
    <w:rsid w:val="00173C51"/>
    <w:rsid w:val="00173F45"/>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5CCA"/>
    <w:rsid w:val="001B6C10"/>
    <w:rsid w:val="001C006F"/>
    <w:rsid w:val="001C2C36"/>
    <w:rsid w:val="001C32EC"/>
    <w:rsid w:val="001C38BD"/>
    <w:rsid w:val="001C4D5A"/>
    <w:rsid w:val="001E0256"/>
    <w:rsid w:val="001E34C6"/>
    <w:rsid w:val="001E5581"/>
    <w:rsid w:val="001F3C70"/>
    <w:rsid w:val="00200D88"/>
    <w:rsid w:val="00201C09"/>
    <w:rsid w:val="00201F68"/>
    <w:rsid w:val="00205293"/>
    <w:rsid w:val="00205530"/>
    <w:rsid w:val="00210928"/>
    <w:rsid w:val="00210BA3"/>
    <w:rsid w:val="00212F2A"/>
    <w:rsid w:val="00214F2B"/>
    <w:rsid w:val="00215356"/>
    <w:rsid w:val="00215964"/>
    <w:rsid w:val="00215D8B"/>
    <w:rsid w:val="00217880"/>
    <w:rsid w:val="00222D66"/>
    <w:rsid w:val="0022441A"/>
    <w:rsid w:val="00224A8A"/>
    <w:rsid w:val="002309A8"/>
    <w:rsid w:val="00231C6B"/>
    <w:rsid w:val="00234CFD"/>
    <w:rsid w:val="002354C8"/>
    <w:rsid w:val="00236CFE"/>
    <w:rsid w:val="00240B71"/>
    <w:rsid w:val="002428E3"/>
    <w:rsid w:val="0024430A"/>
    <w:rsid w:val="00245FF7"/>
    <w:rsid w:val="00253B65"/>
    <w:rsid w:val="0026060B"/>
    <w:rsid w:val="00260BAF"/>
    <w:rsid w:val="002610A6"/>
    <w:rsid w:val="00263FD6"/>
    <w:rsid w:val="002650F7"/>
    <w:rsid w:val="0026686B"/>
    <w:rsid w:val="0027329E"/>
    <w:rsid w:val="00273F3B"/>
    <w:rsid w:val="00274DB7"/>
    <w:rsid w:val="00275984"/>
    <w:rsid w:val="00276199"/>
    <w:rsid w:val="002768F3"/>
    <w:rsid w:val="00276DA4"/>
    <w:rsid w:val="00280F74"/>
    <w:rsid w:val="00286998"/>
    <w:rsid w:val="00291AB7"/>
    <w:rsid w:val="00293EC3"/>
    <w:rsid w:val="0029422B"/>
    <w:rsid w:val="00294DCB"/>
    <w:rsid w:val="002A06CE"/>
    <w:rsid w:val="002A37B5"/>
    <w:rsid w:val="002A6722"/>
    <w:rsid w:val="002B153C"/>
    <w:rsid w:val="002B1DF3"/>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EA0"/>
    <w:rsid w:val="002E4CF2"/>
    <w:rsid w:val="002E6FC0"/>
    <w:rsid w:val="002F258D"/>
    <w:rsid w:val="002F343B"/>
    <w:rsid w:val="002F3F37"/>
    <w:rsid w:val="002F493B"/>
    <w:rsid w:val="002F4ED5"/>
    <w:rsid w:val="002F5147"/>
    <w:rsid w:val="002F5A0B"/>
    <w:rsid w:val="002F71BB"/>
    <w:rsid w:val="002F74DA"/>
    <w:rsid w:val="002F7ABD"/>
    <w:rsid w:val="00306CF7"/>
    <w:rsid w:val="00307B3C"/>
    <w:rsid w:val="00310EF2"/>
    <w:rsid w:val="003115A6"/>
    <w:rsid w:val="00312597"/>
    <w:rsid w:val="00322836"/>
    <w:rsid w:val="00334154"/>
    <w:rsid w:val="003341D0"/>
    <w:rsid w:val="0033533F"/>
    <w:rsid w:val="003372C4"/>
    <w:rsid w:val="00341FA0"/>
    <w:rsid w:val="00342374"/>
    <w:rsid w:val="00344F3D"/>
    <w:rsid w:val="00345299"/>
    <w:rsid w:val="0034609D"/>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5D1"/>
    <w:rsid w:val="003A7160"/>
    <w:rsid w:val="003B0155"/>
    <w:rsid w:val="003B09DB"/>
    <w:rsid w:val="003B4551"/>
    <w:rsid w:val="003B528D"/>
    <w:rsid w:val="003B7EE7"/>
    <w:rsid w:val="003C2CCB"/>
    <w:rsid w:val="003C4A1C"/>
    <w:rsid w:val="003C5BCB"/>
    <w:rsid w:val="003D3691"/>
    <w:rsid w:val="003D39EC"/>
    <w:rsid w:val="003D40EA"/>
    <w:rsid w:val="003E3DD5"/>
    <w:rsid w:val="003F07C6"/>
    <w:rsid w:val="003F1F6B"/>
    <w:rsid w:val="003F3757"/>
    <w:rsid w:val="003F44B7"/>
    <w:rsid w:val="004008E9"/>
    <w:rsid w:val="00407991"/>
    <w:rsid w:val="0041019E"/>
    <w:rsid w:val="00413D48"/>
    <w:rsid w:val="00422A9C"/>
    <w:rsid w:val="00423083"/>
    <w:rsid w:val="00424A60"/>
    <w:rsid w:val="00427B06"/>
    <w:rsid w:val="00434042"/>
    <w:rsid w:val="00434500"/>
    <w:rsid w:val="004378C8"/>
    <w:rsid w:val="0044175B"/>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696"/>
    <w:rsid w:val="00483ECA"/>
    <w:rsid w:val="00483F0B"/>
    <w:rsid w:val="0049501A"/>
    <w:rsid w:val="00496319"/>
    <w:rsid w:val="0049657E"/>
    <w:rsid w:val="00497279"/>
    <w:rsid w:val="004A010B"/>
    <w:rsid w:val="004A0D41"/>
    <w:rsid w:val="004A3186"/>
    <w:rsid w:val="004A419C"/>
    <w:rsid w:val="004A670A"/>
    <w:rsid w:val="004B5465"/>
    <w:rsid w:val="004B6487"/>
    <w:rsid w:val="004B70F0"/>
    <w:rsid w:val="004C0035"/>
    <w:rsid w:val="004C1299"/>
    <w:rsid w:val="004C7E1D"/>
    <w:rsid w:val="004D065C"/>
    <w:rsid w:val="004D07A8"/>
    <w:rsid w:val="004D33FE"/>
    <w:rsid w:val="004D39A8"/>
    <w:rsid w:val="004D4703"/>
    <w:rsid w:val="004D505E"/>
    <w:rsid w:val="004D67E8"/>
    <w:rsid w:val="004D72CA"/>
    <w:rsid w:val="004E2242"/>
    <w:rsid w:val="004F0F6D"/>
    <w:rsid w:val="004F2483"/>
    <w:rsid w:val="004F42FF"/>
    <w:rsid w:val="004F44C2"/>
    <w:rsid w:val="004F71C3"/>
    <w:rsid w:val="00505262"/>
    <w:rsid w:val="005107B1"/>
    <w:rsid w:val="00516022"/>
    <w:rsid w:val="0051652F"/>
    <w:rsid w:val="00521CEE"/>
    <w:rsid w:val="00526E94"/>
    <w:rsid w:val="00527BD4"/>
    <w:rsid w:val="00533061"/>
    <w:rsid w:val="00533FA1"/>
    <w:rsid w:val="00534C77"/>
    <w:rsid w:val="00535573"/>
    <w:rsid w:val="005403C8"/>
    <w:rsid w:val="00541AD9"/>
    <w:rsid w:val="005429DC"/>
    <w:rsid w:val="00556598"/>
    <w:rsid w:val="005565F9"/>
    <w:rsid w:val="00560B5C"/>
    <w:rsid w:val="005639D2"/>
    <w:rsid w:val="00565739"/>
    <w:rsid w:val="00573041"/>
    <w:rsid w:val="00575B80"/>
    <w:rsid w:val="00577559"/>
    <w:rsid w:val="005819CE"/>
    <w:rsid w:val="00581A9B"/>
    <w:rsid w:val="0058298D"/>
    <w:rsid w:val="00590595"/>
    <w:rsid w:val="005936F2"/>
    <w:rsid w:val="00593C2B"/>
    <w:rsid w:val="00595231"/>
    <w:rsid w:val="00595CBB"/>
    <w:rsid w:val="00596166"/>
    <w:rsid w:val="00597967"/>
    <w:rsid w:val="00597F64"/>
    <w:rsid w:val="005A1AF5"/>
    <w:rsid w:val="005A207F"/>
    <w:rsid w:val="005A2DAD"/>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22D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06C4"/>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1A56"/>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49DF"/>
    <w:rsid w:val="006E7D82"/>
    <w:rsid w:val="006F038F"/>
    <w:rsid w:val="006F0F93"/>
    <w:rsid w:val="006F273B"/>
    <w:rsid w:val="006F31F2"/>
    <w:rsid w:val="0070172A"/>
    <w:rsid w:val="00704845"/>
    <w:rsid w:val="00706AB3"/>
    <w:rsid w:val="007133B7"/>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3CF7"/>
    <w:rsid w:val="00764585"/>
    <w:rsid w:val="00767FEF"/>
    <w:rsid w:val="007709EF"/>
    <w:rsid w:val="007829F8"/>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6578"/>
    <w:rsid w:val="007E14E4"/>
    <w:rsid w:val="007E2B20"/>
    <w:rsid w:val="007F2DDD"/>
    <w:rsid w:val="007F5331"/>
    <w:rsid w:val="0080007E"/>
    <w:rsid w:val="00800CCA"/>
    <w:rsid w:val="008020F2"/>
    <w:rsid w:val="00804B6A"/>
    <w:rsid w:val="00806120"/>
    <w:rsid w:val="00810A86"/>
    <w:rsid w:val="00810C93"/>
    <w:rsid w:val="00812028"/>
    <w:rsid w:val="00812DD8"/>
    <w:rsid w:val="00813082"/>
    <w:rsid w:val="00813527"/>
    <w:rsid w:val="00814120"/>
    <w:rsid w:val="00814D03"/>
    <w:rsid w:val="00815C7E"/>
    <w:rsid w:val="00820DDA"/>
    <w:rsid w:val="00821114"/>
    <w:rsid w:val="008211EF"/>
    <w:rsid w:val="00821FC1"/>
    <w:rsid w:val="008267CC"/>
    <w:rsid w:val="00827573"/>
    <w:rsid w:val="00830422"/>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507E"/>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217"/>
    <w:rsid w:val="008E3932"/>
    <w:rsid w:val="008E49AD"/>
    <w:rsid w:val="008E698E"/>
    <w:rsid w:val="008F123F"/>
    <w:rsid w:val="008F2584"/>
    <w:rsid w:val="008F3246"/>
    <w:rsid w:val="008F3C1B"/>
    <w:rsid w:val="008F49AC"/>
    <w:rsid w:val="008F508C"/>
    <w:rsid w:val="0090271B"/>
    <w:rsid w:val="0090756D"/>
    <w:rsid w:val="00910642"/>
    <w:rsid w:val="00910DDF"/>
    <w:rsid w:val="00921861"/>
    <w:rsid w:val="00924639"/>
    <w:rsid w:val="0092611E"/>
    <w:rsid w:val="00926F1F"/>
    <w:rsid w:val="00926F4B"/>
    <w:rsid w:val="00930B13"/>
    <w:rsid w:val="009311C8"/>
    <w:rsid w:val="0093160F"/>
    <w:rsid w:val="0093199F"/>
    <w:rsid w:val="00933376"/>
    <w:rsid w:val="00933A2F"/>
    <w:rsid w:val="0094000D"/>
    <w:rsid w:val="00940206"/>
    <w:rsid w:val="00941B16"/>
    <w:rsid w:val="009436D4"/>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4C9F"/>
    <w:rsid w:val="0099051E"/>
    <w:rsid w:val="00992338"/>
    <w:rsid w:val="00994FDA"/>
    <w:rsid w:val="00997D15"/>
    <w:rsid w:val="009A31BF"/>
    <w:rsid w:val="009A3B71"/>
    <w:rsid w:val="009A5914"/>
    <w:rsid w:val="009A61BC"/>
    <w:rsid w:val="009B0138"/>
    <w:rsid w:val="009B0FE9"/>
    <w:rsid w:val="009B173A"/>
    <w:rsid w:val="009B5846"/>
    <w:rsid w:val="009B601B"/>
    <w:rsid w:val="009B6EA1"/>
    <w:rsid w:val="009C3F20"/>
    <w:rsid w:val="009C64FB"/>
    <w:rsid w:val="009C7CA1"/>
    <w:rsid w:val="009D043D"/>
    <w:rsid w:val="009D716F"/>
    <w:rsid w:val="009E339C"/>
    <w:rsid w:val="009E3B07"/>
    <w:rsid w:val="009E3C91"/>
    <w:rsid w:val="009E5AA7"/>
    <w:rsid w:val="009F3259"/>
    <w:rsid w:val="009F541F"/>
    <w:rsid w:val="00A056DE"/>
    <w:rsid w:val="00A0678A"/>
    <w:rsid w:val="00A1289E"/>
    <w:rsid w:val="00A128AD"/>
    <w:rsid w:val="00A12DFB"/>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0516"/>
    <w:rsid w:val="00A831FD"/>
    <w:rsid w:val="00A83352"/>
    <w:rsid w:val="00A850A2"/>
    <w:rsid w:val="00A91FA3"/>
    <w:rsid w:val="00A926BC"/>
    <w:rsid w:val="00A927D3"/>
    <w:rsid w:val="00A9429A"/>
    <w:rsid w:val="00A96C0D"/>
    <w:rsid w:val="00AA70B0"/>
    <w:rsid w:val="00AA7FC9"/>
    <w:rsid w:val="00AB237D"/>
    <w:rsid w:val="00AB50E6"/>
    <w:rsid w:val="00AB5933"/>
    <w:rsid w:val="00AC627F"/>
    <w:rsid w:val="00AD34B3"/>
    <w:rsid w:val="00AD5B44"/>
    <w:rsid w:val="00AD7608"/>
    <w:rsid w:val="00AE013D"/>
    <w:rsid w:val="00AE11B7"/>
    <w:rsid w:val="00AE18BA"/>
    <w:rsid w:val="00AE440E"/>
    <w:rsid w:val="00AE5DA0"/>
    <w:rsid w:val="00AE7130"/>
    <w:rsid w:val="00AE7F68"/>
    <w:rsid w:val="00AF2321"/>
    <w:rsid w:val="00AF52F6"/>
    <w:rsid w:val="00AF7237"/>
    <w:rsid w:val="00B0043A"/>
    <w:rsid w:val="00B00D75"/>
    <w:rsid w:val="00B015DA"/>
    <w:rsid w:val="00B02C51"/>
    <w:rsid w:val="00B0690C"/>
    <w:rsid w:val="00B070CB"/>
    <w:rsid w:val="00B12456"/>
    <w:rsid w:val="00B132B0"/>
    <w:rsid w:val="00B1671F"/>
    <w:rsid w:val="00B173C6"/>
    <w:rsid w:val="00B20109"/>
    <w:rsid w:val="00B21FF9"/>
    <w:rsid w:val="00B220A5"/>
    <w:rsid w:val="00B2317A"/>
    <w:rsid w:val="00B259C8"/>
    <w:rsid w:val="00B26CCF"/>
    <w:rsid w:val="00B30FC2"/>
    <w:rsid w:val="00B31BA0"/>
    <w:rsid w:val="00B331A2"/>
    <w:rsid w:val="00B33CF2"/>
    <w:rsid w:val="00B350A2"/>
    <w:rsid w:val="00B41BC9"/>
    <w:rsid w:val="00B425F0"/>
    <w:rsid w:val="00B42DFA"/>
    <w:rsid w:val="00B45D89"/>
    <w:rsid w:val="00B50571"/>
    <w:rsid w:val="00B531DD"/>
    <w:rsid w:val="00B55014"/>
    <w:rsid w:val="00B62232"/>
    <w:rsid w:val="00B626DD"/>
    <w:rsid w:val="00B66453"/>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6B16"/>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2BFF"/>
    <w:rsid w:val="00C64E34"/>
    <w:rsid w:val="00C6545E"/>
    <w:rsid w:val="00C7013F"/>
    <w:rsid w:val="00C7097A"/>
    <w:rsid w:val="00C736E8"/>
    <w:rsid w:val="00C73D5F"/>
    <w:rsid w:val="00C75699"/>
    <w:rsid w:val="00C77B8A"/>
    <w:rsid w:val="00C873AC"/>
    <w:rsid w:val="00C965EF"/>
    <w:rsid w:val="00C97C80"/>
    <w:rsid w:val="00CA1D00"/>
    <w:rsid w:val="00CA35E4"/>
    <w:rsid w:val="00CA47D3"/>
    <w:rsid w:val="00CA6533"/>
    <w:rsid w:val="00CA6A25"/>
    <w:rsid w:val="00CA6A3F"/>
    <w:rsid w:val="00CA7C99"/>
    <w:rsid w:val="00CC15DE"/>
    <w:rsid w:val="00CC6290"/>
    <w:rsid w:val="00CD0FB6"/>
    <w:rsid w:val="00CD233D"/>
    <w:rsid w:val="00CD362D"/>
    <w:rsid w:val="00CE101D"/>
    <w:rsid w:val="00CE1C84"/>
    <w:rsid w:val="00CE4E63"/>
    <w:rsid w:val="00CE5055"/>
    <w:rsid w:val="00CE6426"/>
    <w:rsid w:val="00CF053F"/>
    <w:rsid w:val="00CF1A17"/>
    <w:rsid w:val="00CF6288"/>
    <w:rsid w:val="00D00558"/>
    <w:rsid w:val="00D0140D"/>
    <w:rsid w:val="00D01C92"/>
    <w:rsid w:val="00D030AB"/>
    <w:rsid w:val="00D037A9"/>
    <w:rsid w:val="00D0609E"/>
    <w:rsid w:val="00D078E1"/>
    <w:rsid w:val="00D100E9"/>
    <w:rsid w:val="00D1010D"/>
    <w:rsid w:val="00D13D62"/>
    <w:rsid w:val="00D14794"/>
    <w:rsid w:val="00D17084"/>
    <w:rsid w:val="00D1791D"/>
    <w:rsid w:val="00D200A1"/>
    <w:rsid w:val="00D21E4B"/>
    <w:rsid w:val="00D22588"/>
    <w:rsid w:val="00D22689"/>
    <w:rsid w:val="00D23522"/>
    <w:rsid w:val="00D264D6"/>
    <w:rsid w:val="00D33144"/>
    <w:rsid w:val="00D33BF0"/>
    <w:rsid w:val="00D33F30"/>
    <w:rsid w:val="00D34892"/>
    <w:rsid w:val="00D36088"/>
    <w:rsid w:val="00D36447"/>
    <w:rsid w:val="00D41CE8"/>
    <w:rsid w:val="00D42BF5"/>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3638"/>
    <w:rsid w:val="00D849AF"/>
    <w:rsid w:val="00D86CC6"/>
    <w:rsid w:val="00D86EEA"/>
    <w:rsid w:val="00D87D03"/>
    <w:rsid w:val="00D92FB4"/>
    <w:rsid w:val="00D93170"/>
    <w:rsid w:val="00D934A5"/>
    <w:rsid w:val="00D9561B"/>
    <w:rsid w:val="00D95C88"/>
    <w:rsid w:val="00D97B2E"/>
    <w:rsid w:val="00DA1BA1"/>
    <w:rsid w:val="00DA241E"/>
    <w:rsid w:val="00DA51B5"/>
    <w:rsid w:val="00DB36FE"/>
    <w:rsid w:val="00DB38E3"/>
    <w:rsid w:val="00DB533A"/>
    <w:rsid w:val="00DB6307"/>
    <w:rsid w:val="00DC18F3"/>
    <w:rsid w:val="00DC2443"/>
    <w:rsid w:val="00DC691C"/>
    <w:rsid w:val="00DD151D"/>
    <w:rsid w:val="00DD1DCD"/>
    <w:rsid w:val="00DD338F"/>
    <w:rsid w:val="00DD3404"/>
    <w:rsid w:val="00DD66F2"/>
    <w:rsid w:val="00DE1EB5"/>
    <w:rsid w:val="00DE3FE0"/>
    <w:rsid w:val="00DE578A"/>
    <w:rsid w:val="00DF09C6"/>
    <w:rsid w:val="00DF167D"/>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5F57"/>
    <w:rsid w:val="00E16A8F"/>
    <w:rsid w:val="00E17CA2"/>
    <w:rsid w:val="00E20C25"/>
    <w:rsid w:val="00E20E6E"/>
    <w:rsid w:val="00E21DE3"/>
    <w:rsid w:val="00E233D5"/>
    <w:rsid w:val="00E23691"/>
    <w:rsid w:val="00E307D1"/>
    <w:rsid w:val="00E33E2E"/>
    <w:rsid w:val="00E35710"/>
    <w:rsid w:val="00E35CF4"/>
    <w:rsid w:val="00E35EF0"/>
    <w:rsid w:val="00E3731D"/>
    <w:rsid w:val="00E37811"/>
    <w:rsid w:val="00E40CEE"/>
    <w:rsid w:val="00E468E4"/>
    <w:rsid w:val="00E51469"/>
    <w:rsid w:val="00E52A76"/>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311A"/>
    <w:rsid w:val="00ED381E"/>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3F8"/>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59B"/>
    <w:rsid w:val="00F66F13"/>
    <w:rsid w:val="00F7145D"/>
    <w:rsid w:val="00F71B5E"/>
    <w:rsid w:val="00F74073"/>
    <w:rsid w:val="00F75603"/>
    <w:rsid w:val="00F77BE5"/>
    <w:rsid w:val="00F845B4"/>
    <w:rsid w:val="00F86E2F"/>
    <w:rsid w:val="00F8713B"/>
    <w:rsid w:val="00F904FB"/>
    <w:rsid w:val="00F93F9E"/>
    <w:rsid w:val="00F950BC"/>
    <w:rsid w:val="00F979A9"/>
    <w:rsid w:val="00FA2CD7"/>
    <w:rsid w:val="00FA5AD5"/>
    <w:rsid w:val="00FA7882"/>
    <w:rsid w:val="00FB06ED"/>
    <w:rsid w:val="00FB2141"/>
    <w:rsid w:val="00FC08A4"/>
    <w:rsid w:val="00FC202F"/>
    <w:rsid w:val="00FC3165"/>
    <w:rsid w:val="00FC36AB"/>
    <w:rsid w:val="00FC4300"/>
    <w:rsid w:val="00FC7F66"/>
    <w:rsid w:val="00FD5776"/>
    <w:rsid w:val="00FD6A55"/>
    <w:rsid w:val="00FD6CF9"/>
    <w:rsid w:val="00FE03EB"/>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4691B"/>
  <w15:docId w15:val="{612FE96E-90F2-4F28-BA35-FAA9503A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D311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E35EF0"/>
    <w:pPr>
      <w:ind w:left="720"/>
      <w:contextualSpacing/>
    </w:pPr>
  </w:style>
  <w:style w:type="character" w:styleId="Verwijzingopmerking">
    <w:name w:val="annotation reference"/>
    <w:basedOn w:val="Standaardalinea-lettertype"/>
    <w:rsid w:val="0034609D"/>
    <w:rPr>
      <w:sz w:val="16"/>
      <w:szCs w:val="16"/>
    </w:rPr>
  </w:style>
  <w:style w:type="paragraph" w:styleId="Tekstopmerking">
    <w:name w:val="annotation text"/>
    <w:basedOn w:val="Standaard"/>
    <w:link w:val="TekstopmerkingChar"/>
    <w:rsid w:val="0034609D"/>
    <w:pPr>
      <w:spacing w:line="240" w:lineRule="auto"/>
    </w:pPr>
    <w:rPr>
      <w:sz w:val="20"/>
      <w:szCs w:val="20"/>
    </w:rPr>
  </w:style>
  <w:style w:type="character" w:customStyle="1" w:styleId="TekstopmerkingChar">
    <w:name w:val="Tekst opmerking Char"/>
    <w:basedOn w:val="Standaardalinea-lettertype"/>
    <w:link w:val="Tekstopmerking"/>
    <w:rsid w:val="0034609D"/>
    <w:rPr>
      <w:rFonts w:ascii="Verdana" w:hAnsi="Verdana"/>
      <w:lang w:val="nl-NL" w:eastAsia="nl-NL"/>
    </w:rPr>
  </w:style>
  <w:style w:type="paragraph" w:styleId="Onderwerpvanopmerking">
    <w:name w:val="annotation subject"/>
    <w:basedOn w:val="Tekstopmerking"/>
    <w:next w:val="Tekstopmerking"/>
    <w:link w:val="OnderwerpvanopmerkingChar"/>
    <w:rsid w:val="0034609D"/>
    <w:rPr>
      <w:b/>
      <w:bCs/>
    </w:rPr>
  </w:style>
  <w:style w:type="character" w:customStyle="1" w:styleId="OnderwerpvanopmerkingChar">
    <w:name w:val="Onderwerp van opmerking Char"/>
    <w:basedOn w:val="TekstopmerkingChar"/>
    <w:link w:val="Onderwerpvanopmerking"/>
    <w:rsid w:val="0034609D"/>
    <w:rPr>
      <w:rFonts w:ascii="Verdana" w:hAnsi="Verdana"/>
      <w:b/>
      <w:bCs/>
      <w:lang w:val="nl-NL" w:eastAsia="nl-NL"/>
    </w:rPr>
  </w:style>
  <w:style w:type="character" w:styleId="Onopgelostemelding">
    <w:name w:val="Unresolved Mention"/>
    <w:basedOn w:val="Standaardalinea-lettertype"/>
    <w:uiPriority w:val="99"/>
    <w:semiHidden/>
    <w:unhideWhenUsed/>
    <w:rsid w:val="0034609D"/>
    <w:rPr>
      <w:color w:val="605E5C"/>
      <w:shd w:val="clear" w:color="auto" w:fill="E1DFDD"/>
    </w:rPr>
  </w:style>
  <w:style w:type="character" w:customStyle="1" w:styleId="VoetnoottekstChar">
    <w:name w:val="Voetnoottekst Char"/>
    <w:basedOn w:val="Standaardalinea-lettertype"/>
    <w:link w:val="Voetnoottekst"/>
    <w:semiHidden/>
    <w:rsid w:val="00427B06"/>
    <w:rPr>
      <w:rFonts w:ascii="Verdana" w:hAnsi="Verdana"/>
      <w:sz w:val="13"/>
      <w:lang w:val="nl-NL" w:eastAsia="nl-NL"/>
    </w:rPr>
  </w:style>
  <w:style w:type="character" w:styleId="Voetnootmarkering">
    <w:name w:val="footnote reference"/>
    <w:basedOn w:val="Standaardalinea-lettertype"/>
    <w:rsid w:val="00427B06"/>
    <w:rPr>
      <w:vertAlign w:val="superscript"/>
    </w:rPr>
  </w:style>
  <w:style w:type="paragraph" w:styleId="Revisie">
    <w:name w:val="Revision"/>
    <w:hidden/>
    <w:uiPriority w:val="99"/>
    <w:semiHidden/>
    <w:rsid w:val="00FB214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2403</ap:Words>
  <ap:Characters>13221</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2026-05-07T09:32:00.0000000Z</lastPrinted>
  <dcterms:created xsi:type="dcterms:W3CDTF">2026-06-01T13:23:00.0000000Z</dcterms:created>
  <dcterms:modified xsi:type="dcterms:W3CDTF">2026-06-01T13:23:00.0000000Z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O213HEU</vt:lpwstr>
  </property>
  <property fmtid="{D5CDD505-2E9C-101B-9397-08002B2CF9AE}" pid="3" name="Author">
    <vt:lpwstr>O213HEU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 </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O213HEU</vt:lpwstr>
  </property>
</Properties>
</file>