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4731" w:rsidR="00083156" w:rsidP="00314731" w:rsidRDefault="00DD057C" w14:paraId="516EC88C" w14:textId="77777777">
      <w:pPr>
        <w:pStyle w:val="StandaardAanhef"/>
        <w:spacing w:line="276" w:lineRule="auto"/>
      </w:pPr>
      <w:r w:rsidRPr="00314731">
        <w:t>Geachte voorzitter,</w:t>
      </w:r>
    </w:p>
    <w:p w:rsidR="00484F52" w:rsidP="00314731" w:rsidRDefault="006006B3" w14:paraId="2210846B" w14:textId="77777777">
      <w:pPr>
        <w:spacing w:line="276" w:lineRule="auto"/>
      </w:pPr>
      <w:r w:rsidRPr="00314731">
        <w:t xml:space="preserve">Op 1 juli 2025 heeft </w:t>
      </w:r>
      <w:r w:rsidRPr="00314731" w:rsidR="00083156">
        <w:t xml:space="preserve">mijn ambtsvoorganger de </w:t>
      </w:r>
      <w:r w:rsidRPr="00314731">
        <w:t>kabinet</w:t>
      </w:r>
      <w:r w:rsidRPr="00314731" w:rsidR="00083156">
        <w:t>s</w:t>
      </w:r>
      <w:r w:rsidRPr="00314731">
        <w:t>reactie op het rapport ‘evaluatie ANBI- en SBBI-regelingen’</w:t>
      </w:r>
      <w:r w:rsidRPr="00314731">
        <w:rPr>
          <w:rStyle w:val="Voetnootmarkering"/>
        </w:rPr>
        <w:footnoteReference w:id="2"/>
      </w:r>
      <w:r w:rsidRPr="00314731">
        <w:t xml:space="preserve"> naar uw Kamer gestuurd.</w:t>
      </w:r>
      <w:r w:rsidRPr="00314731">
        <w:rPr>
          <w:rStyle w:val="Voetnootmarkering"/>
        </w:rPr>
        <w:footnoteReference w:id="3"/>
      </w:r>
      <w:r w:rsidRPr="00314731">
        <w:t xml:space="preserve"> </w:t>
      </w:r>
      <w:r w:rsidRPr="00314731" w:rsidR="00661260">
        <w:t xml:space="preserve">In de kabinetsreactie is aangegeven dat de </w:t>
      </w:r>
      <w:r w:rsidRPr="00314731" w:rsidR="00083156">
        <w:t xml:space="preserve">belangrijkste boodschap uit de evaluatie is dat de verbetering van de dataverzameling voor het toezicht op ANBI’s met de introductie van de ANBI-portal prioriteit moet hebben en dat naast de eigen toezichtsactiviteiten van de Belastingdienst meer ingezet zou kunnen worden op vormen van sectorale regelgeving, codes en zelfregulering. Aan het slot van </w:t>
      </w:r>
      <w:r w:rsidRPr="00314731" w:rsidR="00C622AF">
        <w:t xml:space="preserve">de </w:t>
      </w:r>
      <w:r w:rsidRPr="00314731" w:rsidR="00A84829">
        <w:t>kabinetsreactie</w:t>
      </w:r>
      <w:r w:rsidRPr="00314731" w:rsidR="00C622AF">
        <w:t xml:space="preserve"> </w:t>
      </w:r>
      <w:r w:rsidRPr="00314731" w:rsidR="00A84829">
        <w:t>is</w:t>
      </w:r>
      <w:r w:rsidRPr="00314731" w:rsidR="00C622AF">
        <w:t xml:space="preserve"> een</w:t>
      </w:r>
      <w:r w:rsidRPr="00314731" w:rsidR="00083156">
        <w:t xml:space="preserve"> aantal maatregelen en nadere onderzoeken naar aanpassingsmogelijkheden aangekondigd. </w:t>
      </w:r>
      <w:r w:rsidRPr="00314731">
        <w:t xml:space="preserve">Met deze brief </w:t>
      </w:r>
      <w:r w:rsidRPr="00314731" w:rsidR="00083156">
        <w:t xml:space="preserve">informeer ik u </w:t>
      </w:r>
      <w:r w:rsidRPr="00314731" w:rsidR="00C622AF">
        <w:t>over de stand van zaken van de</w:t>
      </w:r>
      <w:r w:rsidRPr="00314731" w:rsidR="00883443">
        <w:t>ze</w:t>
      </w:r>
      <w:r w:rsidRPr="00314731" w:rsidR="00C622AF">
        <w:t xml:space="preserve"> maatregelen en onderzoeken.</w:t>
      </w:r>
      <w:r w:rsidRPr="00314731" w:rsidR="00484F52">
        <w:t xml:space="preserve"> Daarnaast informeer ik u over de </w:t>
      </w:r>
      <w:r w:rsidRPr="002C79D8" w:rsidR="007765DC">
        <w:t xml:space="preserve">uitvoering van de </w:t>
      </w:r>
      <w:r w:rsidRPr="00314731" w:rsidR="00352260">
        <w:t>moties</w:t>
      </w:r>
      <w:r w:rsidRPr="00314731" w:rsidR="00484F52">
        <w:t xml:space="preserve"> Bakker-Klein</w:t>
      </w:r>
      <w:r w:rsidRPr="00314731" w:rsidR="00352260">
        <w:rPr>
          <w:rStyle w:val="Voetnootmarkering"/>
        </w:rPr>
        <w:footnoteReference w:id="4"/>
      </w:r>
      <w:r w:rsidRPr="00314731" w:rsidR="00352260">
        <w:t xml:space="preserve">, </w:t>
      </w:r>
      <w:r w:rsidRPr="00314731" w:rsidR="00484F52">
        <w:t>Van Dijk</w:t>
      </w:r>
      <w:r w:rsidRPr="00314731" w:rsidR="00352260">
        <w:rPr>
          <w:rStyle w:val="Voetnootmarkering"/>
        </w:rPr>
        <w:footnoteReference w:id="5"/>
      </w:r>
      <w:r w:rsidRPr="00314731" w:rsidR="00352260">
        <w:t xml:space="preserve"> en </w:t>
      </w:r>
      <w:proofErr w:type="spellStart"/>
      <w:r w:rsidRPr="00314731" w:rsidR="00352260">
        <w:t>Stultiens</w:t>
      </w:r>
      <w:proofErr w:type="spellEnd"/>
      <w:r w:rsidRPr="00314731" w:rsidR="00352260">
        <w:t xml:space="preserve"> en Dijk</w:t>
      </w:r>
      <w:r w:rsidRPr="00314731" w:rsidR="00484F52">
        <w:t>.</w:t>
      </w:r>
      <w:r w:rsidRPr="00314731" w:rsidR="00352260">
        <w:rPr>
          <w:rStyle w:val="Voetnootmarkering"/>
        </w:rPr>
        <w:footnoteReference w:id="6"/>
      </w:r>
    </w:p>
    <w:p w:rsidR="007750F7" w:rsidP="00314731" w:rsidRDefault="007750F7" w14:paraId="6EB4C360" w14:textId="77777777">
      <w:pPr>
        <w:spacing w:line="276" w:lineRule="auto"/>
      </w:pPr>
    </w:p>
    <w:p w:rsidR="007750F7" w:rsidP="00314731" w:rsidRDefault="007750F7" w14:paraId="27B83728" w14:textId="77777777">
      <w:pPr>
        <w:spacing w:line="276" w:lineRule="auto"/>
      </w:pPr>
      <w:r w:rsidRPr="007750F7">
        <w:t xml:space="preserve">Graag benadruk ik vooraf dat het kabinet </w:t>
      </w:r>
      <w:r w:rsidR="003A2E11">
        <w:t xml:space="preserve">zeer grote waardering heeft voor </w:t>
      </w:r>
      <w:r w:rsidRPr="007750F7">
        <w:t>organisaties die zich inzetten voor het algemeen belang.</w:t>
      </w:r>
      <w:r w:rsidR="003A2E11">
        <w:t xml:space="preserve"> </w:t>
      </w:r>
      <w:r w:rsidRPr="003A2E11" w:rsidR="003A2E11">
        <w:t xml:space="preserve">Deze organisaties vervullen een onmisbare rol in onze samenleving, doordat zij bijvoorbeeld </w:t>
      </w:r>
      <w:r w:rsidR="00D42C78">
        <w:t xml:space="preserve">bijdragen aan het behoud van </w:t>
      </w:r>
      <w:r w:rsidR="00BD38A9">
        <w:t xml:space="preserve">cultureel erfgoed </w:t>
      </w:r>
      <w:r w:rsidRPr="003A2E11" w:rsidR="003A2E11">
        <w:t xml:space="preserve">en aan het uitvoeren van waardevol wetenschappelijk onderzoek. </w:t>
      </w:r>
      <w:r w:rsidRPr="007750F7">
        <w:t xml:space="preserve">Ik vind het daarom ook belangrijk dat deze organisaties door de ANBI-status fiscaal erkend worden en daarmee ook de ruimte krijgen om zich hiervoor in te blijven zetten. Dit betekent tegelijkertijd wel dat organisaties die zich niet inzetten voor het algemeen belang ook niet in aanmerking zouden moeten kunnen komen voor een ANBI-status en daarmee gepaarde fiscale voordelen. Om de goedwillende maatschappelijke organisaties niet te belemmeren, richt ik mij daarom op het voorkomen van oneigenlijk gebruik van de ANBI-regeling. </w:t>
      </w:r>
    </w:p>
    <w:p w:rsidR="00903C9A" w:rsidP="00314731" w:rsidRDefault="00903C9A" w14:paraId="6128C7FB" w14:textId="77777777">
      <w:pPr>
        <w:spacing w:line="276" w:lineRule="auto"/>
      </w:pPr>
    </w:p>
    <w:p w:rsidR="00903C9A" w:rsidP="00314731" w:rsidRDefault="00903C9A" w14:paraId="748CC8D7" w14:textId="77777777">
      <w:pPr>
        <w:spacing w:line="276" w:lineRule="auto"/>
      </w:pPr>
    </w:p>
    <w:p w:rsidRPr="00314731" w:rsidR="00C3106E" w:rsidP="00314731" w:rsidRDefault="00C3106E" w14:paraId="5801C615" w14:textId="77777777">
      <w:pPr>
        <w:spacing w:line="276" w:lineRule="auto"/>
      </w:pPr>
    </w:p>
    <w:p w:rsidRPr="00314731" w:rsidR="00C3106E" w:rsidP="00314731" w:rsidRDefault="00C3106E" w14:paraId="5718F5B5" w14:textId="77777777">
      <w:pPr>
        <w:pStyle w:val="Lijstalinea"/>
        <w:numPr>
          <w:ilvl w:val="0"/>
          <w:numId w:val="22"/>
        </w:numPr>
        <w:spacing w:line="276" w:lineRule="auto"/>
        <w:rPr>
          <w:b/>
          <w:bCs/>
        </w:rPr>
      </w:pPr>
      <w:r w:rsidRPr="00314731">
        <w:rPr>
          <w:b/>
          <w:bCs/>
        </w:rPr>
        <w:lastRenderedPageBreak/>
        <w:t xml:space="preserve">Motie Bakker-Klein </w:t>
      </w:r>
    </w:p>
    <w:p w:rsidR="001634F9" w:rsidP="00314731" w:rsidRDefault="00484F52" w14:paraId="73971809" w14:textId="77777777">
      <w:pPr>
        <w:spacing w:line="276" w:lineRule="auto"/>
        <w:rPr>
          <w:rFonts w:cs="Arial"/>
        </w:rPr>
      </w:pPr>
      <w:r w:rsidRPr="00314731">
        <w:t xml:space="preserve">De regeling </w:t>
      </w:r>
      <w:r w:rsidR="001A7B2C">
        <w:t>‘</w:t>
      </w:r>
      <w:r w:rsidRPr="00314731">
        <w:t>geven uit de vennootschap</w:t>
      </w:r>
      <w:r w:rsidR="001A7B2C">
        <w:t>’</w:t>
      </w:r>
      <w:r w:rsidRPr="00314731">
        <w:t xml:space="preserve"> werd per 1 januari 2024 ingevoerd. Als gevolg van het Belastingplan 2025 is de regeling </w:t>
      </w:r>
      <w:r w:rsidRPr="00314731" w:rsidR="00661260">
        <w:t>echter</w:t>
      </w:r>
      <w:r w:rsidRPr="00314731">
        <w:t xml:space="preserve"> per 1 januari 2025 </w:t>
      </w:r>
      <w:r w:rsidRPr="00314731" w:rsidR="00661260">
        <w:t xml:space="preserve">weer </w:t>
      </w:r>
      <w:r w:rsidRPr="00314731">
        <w:t xml:space="preserve">afgeschaft. Een amendement op het Belastingplan 2025 om de afschaffing van de regeling </w:t>
      </w:r>
      <w:r w:rsidR="001A7B2C">
        <w:t>‘</w:t>
      </w:r>
      <w:r w:rsidRPr="00314731">
        <w:t>geven uit de vennootschap</w:t>
      </w:r>
      <w:r w:rsidR="001A7B2C">
        <w:t xml:space="preserve">’ </w:t>
      </w:r>
      <w:r w:rsidRPr="00314731">
        <w:t>per 1 januari 2025 niet te laten doorgaan</w:t>
      </w:r>
      <w:r w:rsidRPr="00314731">
        <w:rPr>
          <w:rStyle w:val="Voetnootmarkering"/>
        </w:rPr>
        <w:footnoteReference w:id="7"/>
      </w:r>
      <w:r w:rsidRPr="00314731">
        <w:t xml:space="preserve">, is niet aanvaard met als gevolg dat deze regeling uiteindelijk maar één jaar heeft bestaan. Wel is </w:t>
      </w:r>
      <w:r w:rsidRPr="00314731" w:rsidR="000F3B76">
        <w:t>tijdens de behandeling</w:t>
      </w:r>
      <w:r w:rsidRPr="00314731" w:rsidR="007A55DB">
        <w:t xml:space="preserve"> in de Eerste Kamer</w:t>
      </w:r>
      <w:r w:rsidRPr="00314731" w:rsidR="000F3B76">
        <w:t xml:space="preserve"> van het Belastingplan 2025</w:t>
      </w:r>
      <w:r w:rsidRPr="00314731" w:rsidR="001E7E1F">
        <w:t xml:space="preserve"> </w:t>
      </w:r>
      <w:r w:rsidRPr="00314731">
        <w:t>d</w:t>
      </w:r>
      <w:r w:rsidRPr="00314731" w:rsidR="00C3106E">
        <w:t>e motie Bakker-Klein</w:t>
      </w:r>
      <w:r w:rsidRPr="00314731" w:rsidR="00A5768C">
        <w:t xml:space="preserve"> (CDA), Van der Goot (OPNL) en </w:t>
      </w:r>
      <w:proofErr w:type="spellStart"/>
      <w:r w:rsidRPr="00314731" w:rsidR="00A5768C">
        <w:t>Holterhues</w:t>
      </w:r>
      <w:proofErr w:type="spellEnd"/>
      <w:r w:rsidRPr="00314731" w:rsidR="00A5768C">
        <w:t xml:space="preserve"> (CU)</w:t>
      </w:r>
      <w:r w:rsidRPr="00314731" w:rsidR="00C3106E">
        <w:rPr>
          <w:rStyle w:val="Voetnootmarkering"/>
        </w:rPr>
        <w:footnoteReference w:id="8"/>
      </w:r>
      <w:r w:rsidRPr="00314731" w:rsidR="00C3106E">
        <w:t xml:space="preserve"> </w:t>
      </w:r>
      <w:r w:rsidRPr="00314731">
        <w:t xml:space="preserve">aangenomen. Deze motie verzoekt </w:t>
      </w:r>
      <w:r w:rsidRPr="00314731" w:rsidR="00C3106E">
        <w:t xml:space="preserve">het kabinet om met de sector in overleg te treden over de impact van het afschaffen van de regeling </w:t>
      </w:r>
      <w:r w:rsidR="001A7B2C">
        <w:t>‘</w:t>
      </w:r>
      <w:r w:rsidRPr="00314731" w:rsidR="00C3106E">
        <w:t>geven uit de vennootschap</w:t>
      </w:r>
      <w:r w:rsidR="001A7B2C">
        <w:t>’</w:t>
      </w:r>
      <w:r w:rsidRPr="00314731" w:rsidR="00C3106E">
        <w:t xml:space="preserve"> en mogelijke alternatieven daarvoor in samenspraak met de sector te verkennen.</w:t>
      </w:r>
      <w:r w:rsidRPr="00314731" w:rsidR="00883443">
        <w:t xml:space="preserve"> </w:t>
      </w:r>
      <w:r w:rsidRPr="00314731" w:rsidR="003D3593">
        <w:t>Gelet op de korte bestaansduur en het ontbreken van gegevens</w:t>
      </w:r>
      <w:r w:rsidRPr="00314731" w:rsidR="00D8776D">
        <w:t xml:space="preserve"> uit de aangiften over 2024</w:t>
      </w:r>
      <w:r w:rsidRPr="00314731" w:rsidR="003D3593">
        <w:t xml:space="preserve"> valt er op dit moment </w:t>
      </w:r>
      <w:r w:rsidRPr="00314731" w:rsidR="007A55DB">
        <w:t xml:space="preserve">(nog) </w:t>
      </w:r>
      <w:r w:rsidRPr="00314731" w:rsidR="006B1A06">
        <w:t>niets</w:t>
      </w:r>
      <w:r w:rsidRPr="00314731" w:rsidR="000828AC">
        <w:t xml:space="preserve"> </w:t>
      </w:r>
      <w:r w:rsidRPr="00314731" w:rsidR="003D3593">
        <w:t>te zeggen over de impact van de afschaffing.</w:t>
      </w:r>
      <w:r w:rsidRPr="00314731" w:rsidR="00ED43A8">
        <w:t xml:space="preserve"> </w:t>
      </w:r>
      <w:r w:rsidRPr="00314731" w:rsidR="00ED43A8">
        <w:rPr>
          <w:rFonts w:cs="Arial"/>
        </w:rPr>
        <w:t>De</w:t>
      </w:r>
      <w:r w:rsidRPr="00314731" w:rsidR="00A5768C">
        <w:rPr>
          <w:rFonts w:cs="Arial"/>
        </w:rPr>
        <w:t xml:space="preserve"> planning is dat de </w:t>
      </w:r>
      <w:r w:rsidRPr="00314731" w:rsidR="00ED43A8">
        <w:rPr>
          <w:rFonts w:cs="Arial"/>
        </w:rPr>
        <w:t>giftenaftrek</w:t>
      </w:r>
      <w:r w:rsidRPr="00314731" w:rsidR="007A55DB">
        <w:rPr>
          <w:rFonts w:cs="Arial"/>
        </w:rPr>
        <w:t xml:space="preserve"> </w:t>
      </w:r>
      <w:r w:rsidRPr="00314731" w:rsidR="00ED43A8">
        <w:rPr>
          <w:rFonts w:cs="Arial"/>
        </w:rPr>
        <w:t xml:space="preserve">in 2028 </w:t>
      </w:r>
      <w:r w:rsidRPr="00314731" w:rsidR="00A5768C">
        <w:rPr>
          <w:rFonts w:cs="Arial"/>
        </w:rPr>
        <w:t xml:space="preserve">wordt </w:t>
      </w:r>
      <w:r w:rsidRPr="00314731" w:rsidR="00ED43A8">
        <w:rPr>
          <w:rFonts w:cs="Arial"/>
        </w:rPr>
        <w:t>geëvalueerd</w:t>
      </w:r>
      <w:r w:rsidR="001634F9">
        <w:rPr>
          <w:rFonts w:cs="Arial"/>
        </w:rPr>
        <w:t>. D</w:t>
      </w:r>
      <w:r w:rsidRPr="00314731" w:rsidR="00A5768C">
        <w:rPr>
          <w:rFonts w:cs="Arial"/>
        </w:rPr>
        <w:t xml:space="preserve">eze </w:t>
      </w:r>
      <w:r w:rsidRPr="00314731" w:rsidR="00ED43A8">
        <w:rPr>
          <w:rFonts w:cs="Arial"/>
        </w:rPr>
        <w:t xml:space="preserve">evaluatie </w:t>
      </w:r>
      <w:r w:rsidRPr="00314731" w:rsidR="00A5768C">
        <w:rPr>
          <w:rFonts w:cs="Arial"/>
        </w:rPr>
        <w:t xml:space="preserve">zal </w:t>
      </w:r>
      <w:r w:rsidRPr="00314731" w:rsidR="00ED43A8">
        <w:rPr>
          <w:rFonts w:cs="Arial"/>
        </w:rPr>
        <w:t xml:space="preserve">zich richten op de belangrijkste wijziging van de afgelopen jaren, namelijk de beperking van de periodieke giftenaftrek per 2023 tot een bedrag van € 250.000 per jaar en sinds 2025 € 1.500.000 per jaar. Vanwege de inhoudelijke samenhang met de afschaffing van de regeling </w:t>
      </w:r>
      <w:r w:rsidR="001A7B2C">
        <w:rPr>
          <w:rFonts w:cs="Arial"/>
        </w:rPr>
        <w:t>‘</w:t>
      </w:r>
      <w:r w:rsidRPr="00314731" w:rsidR="00ED43A8">
        <w:rPr>
          <w:rFonts w:cs="Arial"/>
        </w:rPr>
        <w:t>geven uit vennootschap</w:t>
      </w:r>
      <w:r w:rsidR="001A7B2C">
        <w:rPr>
          <w:rFonts w:cs="Arial"/>
        </w:rPr>
        <w:t>’</w:t>
      </w:r>
      <w:r w:rsidRPr="00314731" w:rsidR="00ED43A8">
        <w:rPr>
          <w:rFonts w:cs="Arial"/>
        </w:rPr>
        <w:t xml:space="preserve"> zal deze </w:t>
      </w:r>
      <w:r w:rsidRPr="00314731" w:rsidR="007A55DB">
        <w:rPr>
          <w:rFonts w:cs="Arial"/>
        </w:rPr>
        <w:t xml:space="preserve">afschaffing </w:t>
      </w:r>
      <w:r w:rsidRPr="00314731" w:rsidR="00ED43A8">
        <w:rPr>
          <w:rFonts w:cs="Arial"/>
        </w:rPr>
        <w:t>ook worden meegenomen. Op dat moment zijn de gegevens uit de aangifte</w:t>
      </w:r>
      <w:r w:rsidRPr="00314731" w:rsidR="001E7E1F">
        <w:rPr>
          <w:rFonts w:cs="Arial"/>
        </w:rPr>
        <w:t>n</w:t>
      </w:r>
      <w:r w:rsidRPr="00314731" w:rsidR="00ED43A8">
        <w:rPr>
          <w:rFonts w:cs="Arial"/>
        </w:rPr>
        <w:t xml:space="preserve"> over 2024 – het jaar waarin de regeling </w:t>
      </w:r>
      <w:r w:rsidR="001A7B2C">
        <w:rPr>
          <w:rFonts w:cs="Arial"/>
        </w:rPr>
        <w:t>‘</w:t>
      </w:r>
      <w:r w:rsidRPr="00314731" w:rsidR="00ED43A8">
        <w:rPr>
          <w:rFonts w:cs="Arial"/>
        </w:rPr>
        <w:t>geven uit de vennootschap</w:t>
      </w:r>
      <w:r w:rsidR="001A7B2C">
        <w:rPr>
          <w:rFonts w:cs="Arial"/>
        </w:rPr>
        <w:t>’</w:t>
      </w:r>
      <w:r w:rsidRPr="00314731" w:rsidR="00ED43A8">
        <w:rPr>
          <w:rFonts w:cs="Arial"/>
        </w:rPr>
        <w:t xml:space="preserve"> van kracht is geweest – ook bekend. </w:t>
      </w:r>
    </w:p>
    <w:p w:rsidR="001634F9" w:rsidP="00314731" w:rsidRDefault="001634F9" w14:paraId="06821812" w14:textId="77777777">
      <w:pPr>
        <w:spacing w:line="276" w:lineRule="auto"/>
        <w:rPr>
          <w:rFonts w:cs="Arial"/>
        </w:rPr>
      </w:pPr>
    </w:p>
    <w:p w:rsidR="001634F9" w:rsidP="00314731" w:rsidRDefault="00661260" w14:paraId="47E21553" w14:textId="77777777">
      <w:pPr>
        <w:spacing w:line="276" w:lineRule="auto"/>
        <w:rPr>
          <w:bCs/>
        </w:rPr>
      </w:pPr>
      <w:r w:rsidRPr="00314731">
        <w:t xml:space="preserve">In de gesprekken met de filantropiesector komt naar voren dat de sector het betreurt dat de regeling </w:t>
      </w:r>
      <w:r w:rsidR="001A7B2C">
        <w:t>‘</w:t>
      </w:r>
      <w:r w:rsidRPr="00314731">
        <w:t>geven uit de vennootschap</w:t>
      </w:r>
      <w:r w:rsidR="001A7B2C">
        <w:t>’</w:t>
      </w:r>
      <w:r w:rsidRPr="00314731" w:rsidR="00904A6B">
        <w:t xml:space="preserve"> zonder alternatief</w:t>
      </w:r>
      <w:r w:rsidRPr="00314731">
        <w:t xml:space="preserve"> is afgeschaft</w:t>
      </w:r>
      <w:r w:rsidRPr="00314731" w:rsidR="00904A6B">
        <w:t>. Daarom he</w:t>
      </w:r>
      <w:r w:rsidRPr="00314731" w:rsidR="00A5768C">
        <w:t>bben Goede Doelen Nederland en het Interkerkelijk Contact in Overheidszaken (CIO)</w:t>
      </w:r>
      <w:r w:rsidR="003C7B46">
        <w:t xml:space="preserve"> </w:t>
      </w:r>
      <w:r w:rsidRPr="00314731" w:rsidR="00904A6B">
        <w:t xml:space="preserve">de adviescommissie </w:t>
      </w:r>
      <w:proofErr w:type="spellStart"/>
      <w:r w:rsidRPr="00314731" w:rsidR="00904A6B">
        <w:t>Rinnooy</w:t>
      </w:r>
      <w:proofErr w:type="spellEnd"/>
      <w:r w:rsidRPr="00314731" w:rsidR="00904A6B">
        <w:t xml:space="preserve"> Kan gevraagd hierover te adviseren. </w:t>
      </w:r>
      <w:bookmarkStart w:name="_Hlk224803574" w:id="0"/>
      <w:r w:rsidRPr="00314731" w:rsidR="00A5768C">
        <w:t xml:space="preserve">In dit advies wordt nader ingegaan op de vormgeving van een alternatief voor de regeling </w:t>
      </w:r>
      <w:r w:rsidR="001A7B2C">
        <w:t>‘</w:t>
      </w:r>
      <w:r w:rsidRPr="00314731" w:rsidR="00A5768C">
        <w:t>geven uit de vennootschap</w:t>
      </w:r>
      <w:r w:rsidR="001A7B2C">
        <w:t>’</w:t>
      </w:r>
      <w:r w:rsidRPr="00314731" w:rsidR="00A5768C">
        <w:t xml:space="preserve"> en wordt gepleit voor de introductie van dat alternatief.</w:t>
      </w:r>
      <w:r w:rsidRPr="00314731" w:rsidR="0002170D">
        <w:t xml:space="preserve"> Zoals ik heb aangekondigd in het Commissiedebat </w:t>
      </w:r>
      <w:r w:rsidR="001634F9">
        <w:t xml:space="preserve">internationale en </w:t>
      </w:r>
      <w:r w:rsidRPr="00314731" w:rsidR="0002170D">
        <w:t xml:space="preserve">nationale fiscaliteit, </w:t>
      </w:r>
      <w:r w:rsidRPr="00314731" w:rsidR="00CB0478">
        <w:t xml:space="preserve">kom ik voor de zomer met een reactie op </w:t>
      </w:r>
      <w:r w:rsidRPr="00314731" w:rsidR="0002170D">
        <w:t>dit advies</w:t>
      </w:r>
      <w:r w:rsidRPr="00314731" w:rsidR="00B53B7D">
        <w:t xml:space="preserve"> </w:t>
      </w:r>
      <w:r w:rsidRPr="00314731" w:rsidR="005455AF">
        <w:t xml:space="preserve">waarin </w:t>
      </w:r>
      <w:r w:rsidRPr="00314731" w:rsidR="00B53B7D">
        <w:rPr>
          <w:bCs/>
        </w:rPr>
        <w:t xml:space="preserve">ook nader </w:t>
      </w:r>
      <w:r w:rsidRPr="00314731" w:rsidR="005455AF">
        <w:rPr>
          <w:bCs/>
        </w:rPr>
        <w:t xml:space="preserve">zal </w:t>
      </w:r>
      <w:r w:rsidRPr="00314731" w:rsidR="00B53B7D">
        <w:rPr>
          <w:bCs/>
        </w:rPr>
        <w:t>worden ingegaan op het voornemen van het kabinet om rentmeestervennootschappen in de wet als rechtsvorm op te nemen.</w:t>
      </w:r>
      <w:r w:rsidRPr="00314731" w:rsidR="005455AF">
        <w:rPr>
          <w:rStyle w:val="Voetnootmarkering"/>
          <w:bCs/>
        </w:rPr>
        <w:footnoteReference w:id="9"/>
      </w:r>
      <w:bookmarkEnd w:id="0"/>
      <w:r w:rsidR="00A174A9">
        <w:rPr>
          <w:bCs/>
        </w:rPr>
        <w:t xml:space="preserve"> </w:t>
      </w:r>
    </w:p>
    <w:p w:rsidR="001634F9" w:rsidP="00314731" w:rsidRDefault="001634F9" w14:paraId="4758E020" w14:textId="77777777">
      <w:pPr>
        <w:spacing w:line="276" w:lineRule="auto"/>
        <w:rPr>
          <w:bCs/>
        </w:rPr>
      </w:pPr>
    </w:p>
    <w:p w:rsidR="001F13FC" w:rsidP="00314731" w:rsidRDefault="000F3B76" w14:paraId="379B16B3" w14:textId="77777777">
      <w:pPr>
        <w:spacing w:line="276" w:lineRule="auto"/>
        <w:rPr>
          <w:rFonts w:cs="Arial"/>
        </w:rPr>
      </w:pPr>
      <w:r w:rsidRPr="00314731">
        <w:t>U</w:t>
      </w:r>
      <w:r w:rsidRPr="00314731" w:rsidR="000862B5">
        <w:t xml:space="preserve">it de eerdere </w:t>
      </w:r>
      <w:r w:rsidRPr="00314731" w:rsidR="006234C8">
        <w:rPr>
          <w:rFonts w:cs="Arial"/>
        </w:rPr>
        <w:t xml:space="preserve">evaluatie van de giftenaftrek </w:t>
      </w:r>
      <w:r w:rsidRPr="00314731">
        <w:rPr>
          <w:rFonts w:cs="Arial"/>
        </w:rPr>
        <w:t xml:space="preserve">kwam </w:t>
      </w:r>
      <w:r w:rsidRPr="00314731" w:rsidR="000862B5">
        <w:rPr>
          <w:rFonts w:cs="Arial"/>
        </w:rPr>
        <w:t>het</w:t>
      </w:r>
      <w:r w:rsidRPr="00314731" w:rsidR="00507A7E">
        <w:rPr>
          <w:rFonts w:cs="Arial"/>
        </w:rPr>
        <w:t xml:space="preserve"> invoeren van een geefsubsidie</w:t>
      </w:r>
      <w:r w:rsidRPr="00314731" w:rsidR="000828AC">
        <w:rPr>
          <w:rFonts w:cs="Arial"/>
        </w:rPr>
        <w:t xml:space="preserve"> </w:t>
      </w:r>
      <w:r w:rsidRPr="00314731" w:rsidR="006234C8">
        <w:rPr>
          <w:rFonts w:cs="Arial"/>
        </w:rPr>
        <w:t>als een mogelijk alternatief voor de</w:t>
      </w:r>
      <w:r w:rsidRPr="00314731" w:rsidR="001B7A6B">
        <w:rPr>
          <w:rFonts w:cs="Arial"/>
        </w:rPr>
        <w:t xml:space="preserve"> </w:t>
      </w:r>
      <w:r w:rsidRPr="00314731" w:rsidR="00507A7E">
        <w:rPr>
          <w:rFonts w:cs="Arial"/>
        </w:rPr>
        <w:t>giftenaftrek</w:t>
      </w:r>
      <w:r w:rsidRPr="00314731" w:rsidR="000862B5">
        <w:rPr>
          <w:rFonts w:cs="Arial"/>
        </w:rPr>
        <w:t xml:space="preserve"> naar voren</w:t>
      </w:r>
      <w:r w:rsidRPr="00314731" w:rsidR="006234C8">
        <w:rPr>
          <w:rFonts w:cs="Arial"/>
        </w:rPr>
        <w:t>.</w:t>
      </w:r>
      <w:r w:rsidRPr="00314731" w:rsidR="003D3593">
        <w:t xml:space="preserve"> </w:t>
      </w:r>
      <w:bookmarkStart w:name="_Hlk224813220" w:id="1"/>
      <w:r w:rsidRPr="00314731" w:rsidR="00F97C85">
        <w:rPr>
          <w:rFonts w:cs="Arial"/>
        </w:rPr>
        <w:t xml:space="preserve">Mijn ambtsvoorganger heeft op 30 juni 2025 een ambtelijk rapport over de aanpak van fiscale regelingen aan uw Kamer aangeboden waarin het alternatief van een geefsubsidie is </w:t>
      </w:r>
      <w:r w:rsidRPr="00314731" w:rsidR="00857703">
        <w:rPr>
          <w:rFonts w:cs="Arial"/>
        </w:rPr>
        <w:t>verkend</w:t>
      </w:r>
      <w:r w:rsidRPr="00314731" w:rsidR="00F97C85">
        <w:rPr>
          <w:rFonts w:cs="Arial"/>
        </w:rPr>
        <w:t>.</w:t>
      </w:r>
      <w:r w:rsidRPr="00314731" w:rsidR="00F97C85">
        <w:rPr>
          <w:rStyle w:val="Voetnootmarkering"/>
          <w:rFonts w:cs="Arial"/>
        </w:rPr>
        <w:footnoteReference w:id="10"/>
      </w:r>
      <w:r w:rsidRPr="00314731" w:rsidR="00F97C85">
        <w:t xml:space="preserve"> </w:t>
      </w:r>
      <w:r w:rsidRPr="00314731" w:rsidR="003D3593">
        <w:t xml:space="preserve">Bij een geefsubsidie ontvangt </w:t>
      </w:r>
      <w:r w:rsidRPr="00314731" w:rsidR="00F97C85">
        <w:t xml:space="preserve">de ANBI </w:t>
      </w:r>
      <w:r w:rsidRPr="00314731" w:rsidR="003D3593">
        <w:t>een subsidiepercentage dat samenhangt met de hoogte van de ontvangen gift</w:t>
      </w:r>
      <w:r w:rsidRPr="00314731" w:rsidR="006B1A06">
        <w:t>en</w:t>
      </w:r>
      <w:r w:rsidRPr="00314731" w:rsidR="003D3593">
        <w:rPr>
          <w:rFonts w:cs="Arial"/>
        </w:rPr>
        <w:t xml:space="preserve">. </w:t>
      </w:r>
      <w:r w:rsidRPr="00314731" w:rsidR="000862B5">
        <w:rPr>
          <w:rFonts w:cs="Arial"/>
        </w:rPr>
        <w:t>Uit de verkenning blijkt dat een geefsubsidie eenvoudiger en doenlijker zou kunnen zijn voor de donateur</w:t>
      </w:r>
      <w:r w:rsidR="00212767">
        <w:rPr>
          <w:rFonts w:cs="Arial"/>
        </w:rPr>
        <w:t xml:space="preserve">. </w:t>
      </w:r>
      <w:r w:rsidRPr="00314731" w:rsidR="000862B5">
        <w:rPr>
          <w:rFonts w:cs="Arial"/>
        </w:rPr>
        <w:t>Voor de ontvangende instellingen zullen de administratieve lasten wel</w:t>
      </w:r>
      <w:r w:rsidRPr="00314731" w:rsidR="00857703">
        <w:rPr>
          <w:rFonts w:cs="Arial"/>
        </w:rPr>
        <w:t xml:space="preserve"> (beperkt)</w:t>
      </w:r>
      <w:r w:rsidRPr="00314731" w:rsidR="000862B5">
        <w:rPr>
          <w:rFonts w:cs="Arial"/>
        </w:rPr>
        <w:t xml:space="preserve"> toenemen. Naar verwachting z</w:t>
      </w:r>
      <w:r w:rsidR="00212767">
        <w:rPr>
          <w:rFonts w:cs="Arial"/>
        </w:rPr>
        <w:t>ou</w:t>
      </w:r>
      <w:r w:rsidRPr="00314731" w:rsidR="000862B5">
        <w:rPr>
          <w:rFonts w:cs="Arial"/>
        </w:rPr>
        <w:t xml:space="preserve"> de uitvoering van een geefsubsidie wel </w:t>
      </w:r>
      <w:r w:rsidRPr="00314731" w:rsidR="00397FFB">
        <w:rPr>
          <w:rFonts w:cs="Arial"/>
        </w:rPr>
        <w:t xml:space="preserve">een </w:t>
      </w:r>
      <w:r w:rsidRPr="00314731" w:rsidR="000862B5">
        <w:rPr>
          <w:rFonts w:cs="Arial"/>
        </w:rPr>
        <w:t xml:space="preserve">flinke opgave zijn. Daarnaast zijn de kosten voor de ontwikkeling en implementatie van </w:t>
      </w:r>
      <w:r w:rsidRPr="00314731" w:rsidR="00304ABE">
        <w:rPr>
          <w:rFonts w:cs="Arial"/>
        </w:rPr>
        <w:t>een dergelijk</w:t>
      </w:r>
      <w:r w:rsidRPr="00314731" w:rsidR="000862B5">
        <w:rPr>
          <w:rFonts w:cs="Arial"/>
        </w:rPr>
        <w:t xml:space="preserve"> </w:t>
      </w:r>
      <w:r w:rsidRPr="00314731" w:rsidR="00397FFB">
        <w:rPr>
          <w:rFonts w:cs="Arial"/>
        </w:rPr>
        <w:t>“geefsubsidie platform”</w:t>
      </w:r>
      <w:r w:rsidRPr="00314731" w:rsidR="000862B5">
        <w:rPr>
          <w:rFonts w:cs="Arial"/>
        </w:rPr>
        <w:t xml:space="preserve"> in dit stadium nog lastig in te schatten</w:t>
      </w:r>
      <w:bookmarkStart w:name="_Hlk215240825" w:id="2"/>
      <w:r w:rsidRPr="00314731" w:rsidR="000862B5">
        <w:rPr>
          <w:rFonts w:cs="Arial"/>
        </w:rPr>
        <w:t xml:space="preserve">. </w:t>
      </w:r>
      <w:r w:rsidRPr="00314731" w:rsidR="00F97C85">
        <w:rPr>
          <w:rFonts w:cs="Arial"/>
        </w:rPr>
        <w:t>Ook</w:t>
      </w:r>
      <w:r w:rsidRPr="00314731" w:rsidR="000862B5">
        <w:rPr>
          <w:rFonts w:cs="Arial"/>
        </w:rPr>
        <w:t xml:space="preserve"> </w:t>
      </w:r>
      <w:r w:rsidRPr="00314731">
        <w:rPr>
          <w:rFonts w:cs="Arial"/>
        </w:rPr>
        <w:t xml:space="preserve">is </w:t>
      </w:r>
      <w:r w:rsidRPr="00314731" w:rsidR="000862B5">
        <w:rPr>
          <w:rFonts w:cs="Arial"/>
        </w:rPr>
        <w:t>de filantropiesector erg kritisch over de geefsubsidie</w:t>
      </w:r>
      <w:r w:rsidRPr="00314731">
        <w:rPr>
          <w:rFonts w:cs="Arial"/>
        </w:rPr>
        <w:t>.</w:t>
      </w:r>
      <w:r w:rsidRPr="00314731" w:rsidR="000862B5">
        <w:rPr>
          <w:rFonts w:cs="Arial"/>
        </w:rPr>
        <w:t xml:space="preserve"> </w:t>
      </w:r>
      <w:bookmarkEnd w:id="2"/>
      <w:r w:rsidRPr="00314731" w:rsidR="00904A6B">
        <w:rPr>
          <w:rFonts w:cs="Arial"/>
        </w:rPr>
        <w:t xml:space="preserve">Het kabinet vindt het belangrijk </w:t>
      </w:r>
      <w:r w:rsidRPr="00314731" w:rsidR="000B6739">
        <w:rPr>
          <w:rFonts w:cs="Arial"/>
        </w:rPr>
        <w:t xml:space="preserve">om </w:t>
      </w:r>
      <w:r w:rsidRPr="00314731" w:rsidR="00904A6B">
        <w:rPr>
          <w:rFonts w:cs="Arial"/>
        </w:rPr>
        <w:t xml:space="preserve">giften fiscaal aantrekkelijk </w:t>
      </w:r>
      <w:r w:rsidRPr="00314731" w:rsidR="000B6739">
        <w:rPr>
          <w:rFonts w:cs="Arial"/>
        </w:rPr>
        <w:t xml:space="preserve">te </w:t>
      </w:r>
      <w:r w:rsidRPr="00314731" w:rsidR="000B6739">
        <w:rPr>
          <w:rFonts w:cs="Arial"/>
        </w:rPr>
        <w:lastRenderedPageBreak/>
        <w:t>houden en heeft dit dan ook opgenomen in het Coalitieakkoord.</w:t>
      </w:r>
      <w:r w:rsidRPr="00314731" w:rsidR="000B6739">
        <w:rPr>
          <w:rStyle w:val="Voetnootmarkering"/>
        </w:rPr>
        <w:footnoteReference w:id="11"/>
      </w:r>
      <w:r w:rsidRPr="00314731" w:rsidR="000B6739">
        <w:rPr>
          <w:rFonts w:cs="Arial"/>
        </w:rPr>
        <w:t xml:space="preserve"> Het kabinet</w:t>
      </w:r>
      <w:r w:rsidRPr="00314731" w:rsidR="00904A6B">
        <w:rPr>
          <w:rFonts w:cs="Arial"/>
        </w:rPr>
        <w:t xml:space="preserve"> </w:t>
      </w:r>
      <w:r w:rsidRPr="00314731" w:rsidR="000B6739">
        <w:rPr>
          <w:rFonts w:cs="Arial"/>
        </w:rPr>
        <w:t xml:space="preserve">is dan ook </w:t>
      </w:r>
      <w:r w:rsidRPr="00314731" w:rsidR="00904A6B">
        <w:rPr>
          <w:rFonts w:cs="Arial"/>
        </w:rPr>
        <w:t xml:space="preserve">niet voornemens om een geefsubsidie als alternatief voor de giftenaftrek verder te verkennen. </w:t>
      </w:r>
    </w:p>
    <w:p w:rsidRPr="00314731" w:rsidR="00017B8F" w:rsidP="00314731" w:rsidRDefault="00017B8F" w14:paraId="53C29A28" w14:textId="77777777">
      <w:pPr>
        <w:spacing w:line="276" w:lineRule="auto"/>
        <w:rPr>
          <w:highlight w:val="yellow"/>
        </w:rPr>
      </w:pPr>
    </w:p>
    <w:bookmarkEnd w:id="1"/>
    <w:p w:rsidRPr="00314731" w:rsidR="00507A7E" w:rsidP="00314731" w:rsidRDefault="00507A7E" w14:paraId="6BA0D528" w14:textId="77777777">
      <w:pPr>
        <w:pStyle w:val="Lijstalinea"/>
        <w:numPr>
          <w:ilvl w:val="0"/>
          <w:numId w:val="22"/>
        </w:numPr>
        <w:spacing w:line="276" w:lineRule="auto"/>
        <w:rPr>
          <w:b/>
          <w:bCs/>
        </w:rPr>
      </w:pPr>
      <w:r w:rsidRPr="00314731">
        <w:rPr>
          <w:b/>
          <w:bCs/>
        </w:rPr>
        <w:t xml:space="preserve">Motie </w:t>
      </w:r>
      <w:r w:rsidRPr="00314731" w:rsidR="00304ABE">
        <w:rPr>
          <w:b/>
          <w:bCs/>
        </w:rPr>
        <w:t>V</w:t>
      </w:r>
      <w:r w:rsidRPr="00314731">
        <w:rPr>
          <w:b/>
          <w:bCs/>
        </w:rPr>
        <w:t xml:space="preserve">an Dijk </w:t>
      </w:r>
    </w:p>
    <w:p w:rsidRPr="00314731" w:rsidR="003B4F3E" w:rsidP="00314731" w:rsidRDefault="00F6075E" w14:paraId="141E5D90" w14:textId="77777777">
      <w:pPr>
        <w:spacing w:line="276" w:lineRule="auto"/>
      </w:pPr>
      <w:r w:rsidRPr="00314731">
        <w:t>Het</w:t>
      </w:r>
      <w:r w:rsidRPr="00314731" w:rsidR="00A07865">
        <w:t xml:space="preserve"> </w:t>
      </w:r>
      <w:r w:rsidRPr="00314731" w:rsidR="00E43E32">
        <w:t>lid</w:t>
      </w:r>
      <w:r w:rsidRPr="00314731" w:rsidR="00A07865">
        <w:t xml:space="preserve"> </w:t>
      </w:r>
      <w:r w:rsidRPr="00314731" w:rsidR="00304ABE">
        <w:t>V</w:t>
      </w:r>
      <w:r w:rsidRPr="00314731" w:rsidR="00A07865">
        <w:t xml:space="preserve">an Dijk (SGP) </w:t>
      </w:r>
      <w:r w:rsidRPr="00314731">
        <w:t xml:space="preserve">heeft </w:t>
      </w:r>
      <w:r w:rsidRPr="00314731" w:rsidR="00A07865">
        <w:t>op 23 september jl. een motie ingediend die</w:t>
      </w:r>
      <w:r w:rsidRPr="00314731" w:rsidR="00397FFB">
        <w:t xml:space="preserve"> </w:t>
      </w:r>
      <w:r w:rsidRPr="00314731" w:rsidR="00E43E32">
        <w:t>het kabinet verzoek</w:t>
      </w:r>
      <w:r w:rsidRPr="00314731" w:rsidR="00397FFB">
        <w:t>t</w:t>
      </w:r>
      <w:r w:rsidRPr="00314731" w:rsidR="00E43E32">
        <w:t xml:space="preserve"> om</w:t>
      </w:r>
      <w:r w:rsidRPr="00314731" w:rsidR="00A07865">
        <w:t xml:space="preserve"> beleid te ontwikkelen zodat organisaties die zich</w:t>
      </w:r>
      <w:r w:rsidRPr="00314731" w:rsidR="004E6D87">
        <w:t xml:space="preserve"> </w:t>
      </w:r>
      <w:r w:rsidRPr="00314731" w:rsidR="00E43E32">
        <w:t>antisemitisch uitlaten, terreur verheerlijken of haatpredikers uitnodigen</w:t>
      </w:r>
      <w:r w:rsidRPr="00314731" w:rsidR="00A07865">
        <w:t xml:space="preserve"> hun </w:t>
      </w:r>
      <w:r w:rsidRPr="00314731" w:rsidR="00E43E32">
        <w:t>ANBI-status</w:t>
      </w:r>
      <w:r w:rsidRPr="00314731" w:rsidR="00A07865">
        <w:t xml:space="preserve"> verliezen</w:t>
      </w:r>
      <w:r w:rsidRPr="00314731" w:rsidR="004E6D87">
        <w:t>.</w:t>
      </w:r>
      <w:r w:rsidRPr="00314731">
        <w:rPr>
          <w:rStyle w:val="Voetnootmarkering"/>
        </w:rPr>
        <w:footnoteReference w:id="12"/>
      </w:r>
      <w:r w:rsidRPr="00314731" w:rsidR="004E6D87">
        <w:t xml:space="preserve"> </w:t>
      </w:r>
      <w:r w:rsidRPr="00314731" w:rsidR="00397FFB">
        <w:t>In 2024 heeft dit lid een vrijwel identieke motie</w:t>
      </w:r>
      <w:r w:rsidRPr="00314731" w:rsidR="001907C1">
        <w:rPr>
          <w:rStyle w:val="Voetnootmarkering"/>
        </w:rPr>
        <w:footnoteReference w:id="13"/>
      </w:r>
      <w:r w:rsidRPr="00314731" w:rsidR="00397FFB">
        <w:t xml:space="preserve"> </w:t>
      </w:r>
      <w:r w:rsidRPr="00314731" w:rsidR="001907C1">
        <w:t>ingediend die mijn ambtsvoorganger heeft voorzien van een appreciatie.</w:t>
      </w:r>
      <w:r w:rsidRPr="00314731" w:rsidR="001907C1">
        <w:rPr>
          <w:rStyle w:val="Voetnootmarkering"/>
        </w:rPr>
        <w:footnoteReference w:id="14"/>
      </w:r>
      <w:r w:rsidRPr="00314731" w:rsidR="001907C1">
        <w:t xml:space="preserve"> </w:t>
      </w:r>
      <w:r w:rsidRPr="00314731" w:rsidR="004E6D87">
        <w:t>Voor mijn appreciatie van de motie</w:t>
      </w:r>
      <w:r w:rsidRPr="00314731" w:rsidR="001907C1">
        <w:t xml:space="preserve"> van 23 september jl.</w:t>
      </w:r>
      <w:r w:rsidRPr="00314731" w:rsidR="004E6D87">
        <w:t xml:space="preserve"> verwijs ik naar de appreciatie van mijn ambtsvoorganger op </w:t>
      </w:r>
      <w:r w:rsidRPr="00314731" w:rsidR="001907C1">
        <w:t>de</w:t>
      </w:r>
      <w:r w:rsidRPr="00314731" w:rsidR="004E6D87">
        <w:t xml:space="preserve"> in 2024 ingediend</w:t>
      </w:r>
      <w:r w:rsidRPr="00314731" w:rsidR="0005712F">
        <w:t xml:space="preserve">e </w:t>
      </w:r>
      <w:r w:rsidRPr="00314731" w:rsidR="004E6D87">
        <w:t>motie. Net als bij mijn</w:t>
      </w:r>
      <w:r w:rsidRPr="00314731" w:rsidR="00397FFB">
        <w:t xml:space="preserve"> </w:t>
      </w:r>
      <w:r w:rsidRPr="00314731" w:rsidR="004E6D87">
        <w:t>a</w:t>
      </w:r>
      <w:r w:rsidRPr="00314731">
        <w:t xml:space="preserve">mbtsvoorganger is </w:t>
      </w:r>
      <w:r w:rsidRPr="00314731" w:rsidR="00F42F04">
        <w:t xml:space="preserve">ook </w:t>
      </w:r>
      <w:r w:rsidRPr="00314731" w:rsidR="004E6D87">
        <w:t xml:space="preserve">bij mij </w:t>
      </w:r>
      <w:r w:rsidRPr="00314731">
        <w:t xml:space="preserve">geen twijfel dat het verwerpelijk is wanneer organisaties </w:t>
      </w:r>
      <w:r w:rsidRPr="00314731" w:rsidR="003B4F3E">
        <w:t xml:space="preserve">– ongeacht of deze de ANBI-status hebben – </w:t>
      </w:r>
      <w:r w:rsidRPr="00314731">
        <w:t>zich antisemitisch uitlaten, terreur verheerlijken of sprekers uitnodigen die een gevaar vormen voor de nationale veiligheid.</w:t>
      </w:r>
      <w:r w:rsidR="00CF069B">
        <w:t xml:space="preserve"> </w:t>
      </w:r>
      <w:r w:rsidR="00295346">
        <w:t>Het uitgangspunt is dat</w:t>
      </w:r>
      <w:r w:rsidR="00BB53EC">
        <w:t xml:space="preserve"> dergelijke</w:t>
      </w:r>
      <w:r w:rsidR="00295346">
        <w:t xml:space="preserve"> handelingen strafrechtelijk </w:t>
      </w:r>
      <w:r w:rsidR="004A1D5D">
        <w:t xml:space="preserve">moeten zijn afgedaan, voordat </w:t>
      </w:r>
      <w:r w:rsidR="00295346">
        <w:t xml:space="preserve">de fiscale wetgeving </w:t>
      </w:r>
      <w:r w:rsidR="004A1D5D">
        <w:t xml:space="preserve">hieraan </w:t>
      </w:r>
      <w:r w:rsidR="00295346">
        <w:t xml:space="preserve">gevolgen </w:t>
      </w:r>
      <w:r w:rsidR="004A1D5D">
        <w:t xml:space="preserve">kan verbinden. </w:t>
      </w:r>
      <w:r w:rsidR="00295346">
        <w:t>De belastinginspecteur mag en kan niet op de stoel van de strafrechter gaan zitten.</w:t>
      </w:r>
      <w:r w:rsidR="004A1D5D">
        <w:t xml:space="preserve"> De zogenoemde integriteitstoets </w:t>
      </w:r>
      <w:r w:rsidRPr="00314731" w:rsidR="00A436C5">
        <w:t>in de wet</w:t>
      </w:r>
      <w:r w:rsidRPr="00314731" w:rsidR="00A436C5">
        <w:rPr>
          <w:rStyle w:val="Voetnootmarkering"/>
        </w:rPr>
        <w:footnoteReference w:id="15"/>
      </w:r>
      <w:r w:rsidRPr="00314731" w:rsidR="00A436C5">
        <w:t xml:space="preserve"> biedt al de mogelijkheid om in gevallen waar strafrechtelijke grenzen zijn overschreden, bijvoorbeeld ingeval van onherroepelijke veroordelingen wegens </w:t>
      </w:r>
      <w:proofErr w:type="spellStart"/>
      <w:r w:rsidRPr="00314731" w:rsidR="00A436C5">
        <w:t>haatzaaien</w:t>
      </w:r>
      <w:proofErr w:type="spellEnd"/>
      <w:r w:rsidRPr="00314731" w:rsidR="00A436C5">
        <w:t xml:space="preserve"> of toepassing van of aanzetten tot geweld, de ANBI-status af te wijzen of in te trekken.</w:t>
      </w:r>
      <w:r w:rsidRPr="00A436C5" w:rsidR="00A436C5">
        <w:rPr>
          <w:rFonts w:cs="Aptos" w:eastAsiaTheme="minorHAnsi"/>
          <w:color w:val="auto"/>
          <w:lang w:eastAsia="en-US"/>
          <w14:ligatures w14:val="standardContextual"/>
        </w:rPr>
        <w:t xml:space="preserve"> </w:t>
      </w:r>
      <w:r w:rsidRPr="00A436C5" w:rsidR="00A436C5">
        <w:t xml:space="preserve">Deze toets houdt kortgezegd in dat de ANBI-status door de inspecteur wordt ingetrokken als </w:t>
      </w:r>
      <w:r w:rsidRPr="003D2C9D" w:rsidR="00A436C5">
        <w:t xml:space="preserve">het hem kenbaar is dat de instelling of een bestuurder, feitelijk leidinggevende of gezichtsbepalend persoon van die instelling onherroepelijk is veroordeeld wegens het – in die hoedanigheid – opzettelijk een in de ANBI-regelgeving genoemd misdrijf heeft gepleegd. Sinds 2021 kan de ANBI-status ook worden ingetrokken of worden geweigerd bij </w:t>
      </w:r>
      <w:r w:rsidRPr="00314731" w:rsidR="00BB53EC">
        <w:t xml:space="preserve">onherroepelijke </w:t>
      </w:r>
      <w:r w:rsidRPr="003D2C9D" w:rsidR="00A436C5">
        <w:t>veroordelingen voor (</w:t>
      </w:r>
      <w:proofErr w:type="spellStart"/>
      <w:r w:rsidRPr="003D2C9D" w:rsidR="00A436C5">
        <w:t>groeps</w:t>
      </w:r>
      <w:proofErr w:type="spellEnd"/>
      <w:r w:rsidRPr="003D2C9D" w:rsidR="00A436C5">
        <w:t xml:space="preserve">)belediging, aanzetten tot haat, discriminatie of geweld. </w:t>
      </w:r>
      <w:r w:rsidRPr="00B53181" w:rsidR="000A5938">
        <w:t xml:space="preserve">De Belastingdienst onderhoudt hiervoor contact met het </w:t>
      </w:r>
      <w:r w:rsidR="00BB53EC">
        <w:t>Openbaar Ministerie (OM)</w:t>
      </w:r>
      <w:r w:rsidRPr="00B53181" w:rsidR="000A5938">
        <w:t>.</w:t>
      </w:r>
      <w:r w:rsidRPr="003D2C9D" w:rsidR="000A5938">
        <w:t xml:space="preserve"> </w:t>
      </w:r>
      <w:r w:rsidRPr="003D2C9D" w:rsidR="00A436C5">
        <w:t xml:space="preserve">De ANBI-status wordt </w:t>
      </w:r>
      <w:r w:rsidRPr="003D2C9D" w:rsidR="004A1D5D">
        <w:t xml:space="preserve">eveneens </w:t>
      </w:r>
      <w:r w:rsidRPr="003D2C9D" w:rsidR="00A436C5">
        <w:t>ingetrokken als de inspecteur gerede twijfel heeft over de integriteit van de instelling of van bovengenoemde betrokken</w:t>
      </w:r>
      <w:r w:rsidRPr="00A436C5" w:rsidR="00A436C5">
        <w:t xml:space="preserve"> personen én de instelling of persoon ondanks een verzoek daartoe van de inspecteur, niet binnen zestien weken een verklaring </w:t>
      </w:r>
      <w:proofErr w:type="gramStart"/>
      <w:r w:rsidRPr="00A436C5" w:rsidR="00A436C5">
        <w:t>omtrent</w:t>
      </w:r>
      <w:proofErr w:type="gramEnd"/>
      <w:r w:rsidRPr="00A436C5" w:rsidR="00A436C5">
        <w:t xml:space="preserve"> gedrag (VOG) kan overleggen. </w:t>
      </w:r>
      <w:r w:rsidR="004A1D5D">
        <w:t>Gerede twijfel veronderstelt dat de inspecteur niet te lichtvaardig kan overgaan tot het opvragen van een VOG.</w:t>
      </w:r>
      <w:r w:rsidR="004A1D5D">
        <w:rPr>
          <w:rStyle w:val="Voetnootmarkering"/>
        </w:rPr>
        <w:footnoteReference w:id="16"/>
      </w:r>
      <w:r w:rsidR="00CF069B">
        <w:t xml:space="preserve"> </w:t>
      </w:r>
      <w:r w:rsidRPr="00A436C5" w:rsidR="00A436C5">
        <w:t xml:space="preserve">De wet biedt dus nu al de mogelijkheid om in gevallen waar strafrechtelijke grenzen zijn overschreden de ANBI-status af te wijzen of in te trekken. </w:t>
      </w:r>
      <w:r w:rsidRPr="00314731" w:rsidR="00070E06">
        <w:t xml:space="preserve">De motie kan </w:t>
      </w:r>
      <w:r w:rsidR="00BB53EC">
        <w:t xml:space="preserve">dan ook </w:t>
      </w:r>
      <w:r w:rsidRPr="00314731" w:rsidR="00070E06">
        <w:t>niet worden uitgevoerd, omdat deze overbodig is.</w:t>
      </w:r>
    </w:p>
    <w:p w:rsidR="00903C9A" w:rsidP="00314731" w:rsidRDefault="00903C9A" w14:paraId="6BF824DE" w14:textId="77777777">
      <w:pPr>
        <w:spacing w:line="276" w:lineRule="auto"/>
      </w:pPr>
    </w:p>
    <w:p w:rsidR="00A362F6" w:rsidP="00314731" w:rsidRDefault="00A362F6" w14:paraId="29AB4466" w14:textId="77777777">
      <w:pPr>
        <w:spacing w:line="276" w:lineRule="auto"/>
      </w:pPr>
    </w:p>
    <w:p w:rsidR="00A362F6" w:rsidP="00314731" w:rsidRDefault="00A362F6" w14:paraId="2A6BB853" w14:textId="77777777">
      <w:pPr>
        <w:spacing w:line="276" w:lineRule="auto"/>
      </w:pPr>
    </w:p>
    <w:p w:rsidR="00A362F6" w:rsidP="00314731" w:rsidRDefault="00A362F6" w14:paraId="018B15A2" w14:textId="77777777">
      <w:pPr>
        <w:spacing w:line="276" w:lineRule="auto"/>
      </w:pPr>
    </w:p>
    <w:p w:rsidRPr="00314731" w:rsidR="00A362F6" w:rsidP="00314731" w:rsidRDefault="00A362F6" w14:paraId="4FC99449" w14:textId="77777777">
      <w:pPr>
        <w:spacing w:line="276" w:lineRule="auto"/>
      </w:pPr>
    </w:p>
    <w:p w:rsidRPr="00314731" w:rsidR="00083156" w:rsidP="00314731" w:rsidRDefault="00160DA1" w14:paraId="034A8359" w14:textId="77777777">
      <w:pPr>
        <w:pStyle w:val="Lijstalinea"/>
        <w:numPr>
          <w:ilvl w:val="0"/>
          <w:numId w:val="22"/>
        </w:numPr>
        <w:spacing w:line="276" w:lineRule="auto"/>
        <w:rPr>
          <w:b/>
          <w:bCs/>
        </w:rPr>
      </w:pPr>
      <w:r>
        <w:rPr>
          <w:b/>
          <w:bCs/>
        </w:rPr>
        <w:lastRenderedPageBreak/>
        <w:t>T</w:t>
      </w:r>
      <w:r w:rsidRPr="00314731" w:rsidR="00952BD3">
        <w:rPr>
          <w:b/>
          <w:bCs/>
        </w:rPr>
        <w:t xml:space="preserve">oezicht op </w:t>
      </w:r>
      <w:proofErr w:type="spellStart"/>
      <w:r w:rsidRPr="00314731" w:rsidR="00952BD3">
        <w:rPr>
          <w:b/>
          <w:bCs/>
        </w:rPr>
        <w:t>ANBI’s</w:t>
      </w:r>
      <w:proofErr w:type="spellEnd"/>
    </w:p>
    <w:p w:rsidRPr="00314731" w:rsidR="00952BD3" w:rsidP="00314731" w:rsidRDefault="00952BD3" w14:paraId="5C9DAF91" w14:textId="77777777">
      <w:pPr>
        <w:spacing w:line="276" w:lineRule="auto"/>
      </w:pPr>
      <w:r w:rsidRPr="00314731">
        <w:t xml:space="preserve">Het toezicht op </w:t>
      </w:r>
      <w:proofErr w:type="spellStart"/>
      <w:r w:rsidRPr="00314731">
        <w:t>ANBI’s</w:t>
      </w:r>
      <w:proofErr w:type="spellEnd"/>
      <w:r w:rsidRPr="00314731">
        <w:t xml:space="preserve"> door de Belastingdienst wordt versterkt en verbeterd</w:t>
      </w:r>
      <w:r w:rsidRPr="00314731" w:rsidR="007765DC">
        <w:t>.</w:t>
      </w:r>
      <w:r w:rsidRPr="00314731">
        <w:t xml:space="preserve"> </w:t>
      </w:r>
      <w:r w:rsidRPr="00314731" w:rsidR="007765DC">
        <w:t xml:space="preserve">Deze intensivering vindt plaats </w:t>
      </w:r>
      <w:r w:rsidRPr="00314731">
        <w:t xml:space="preserve">vooruitlopend op de verbetering van de informatiepositie van de Belastingdienst </w:t>
      </w:r>
      <w:r w:rsidRPr="00314731" w:rsidR="00D4228D">
        <w:t xml:space="preserve">door </w:t>
      </w:r>
      <w:r w:rsidRPr="00314731">
        <w:t>het introduceren van een ANBI-portal</w:t>
      </w:r>
      <w:r w:rsidRPr="00314731" w:rsidR="007765DC">
        <w:t>. Het ANBI-portal zal naar verwachting rond 2030 volledig operationeel zijn</w:t>
      </w:r>
      <w:r w:rsidRPr="00314731" w:rsidR="00A84829">
        <w:t>.</w:t>
      </w:r>
      <w:r w:rsidRPr="00314731">
        <w:t xml:space="preserve"> In </w:t>
      </w:r>
      <w:r w:rsidRPr="00314731" w:rsidR="00D57D07">
        <w:t xml:space="preserve">de </w:t>
      </w:r>
      <w:r w:rsidRPr="00314731">
        <w:t>Fiscale Verzamelwet 2026</w:t>
      </w:r>
      <w:r w:rsidRPr="00314731" w:rsidR="00325740">
        <w:t>,</w:t>
      </w:r>
      <w:r w:rsidRPr="00314731" w:rsidR="00D57D07">
        <w:t xml:space="preserve"> die inmiddels in het Staatsblad </w:t>
      </w:r>
      <w:r w:rsidRPr="00314731" w:rsidR="00325740">
        <w:t>is gepubliceerd</w:t>
      </w:r>
      <w:r w:rsidRPr="00314731">
        <w:t xml:space="preserve">, </w:t>
      </w:r>
      <w:r w:rsidRPr="00314731" w:rsidR="00D57D07">
        <w:t>is</w:t>
      </w:r>
      <w:r w:rsidRPr="00314731" w:rsidR="00325740">
        <w:t xml:space="preserve"> </w:t>
      </w:r>
      <w:r w:rsidRPr="00314731">
        <w:t>de wettelijke grondslag voor de ANBI-portal geregeld.</w:t>
      </w:r>
      <w:r w:rsidRPr="00314731">
        <w:rPr>
          <w:rStyle w:val="Voetnootmarkering"/>
        </w:rPr>
        <w:footnoteReference w:id="17"/>
      </w:r>
      <w:r w:rsidRPr="00314731">
        <w:t xml:space="preserve"> Inmiddels</w:t>
      </w:r>
      <w:r w:rsidRPr="00314731" w:rsidR="00312DB4">
        <w:t xml:space="preserve"> is </w:t>
      </w:r>
      <w:r w:rsidRPr="00314731" w:rsidR="00822791">
        <w:t xml:space="preserve">een </w:t>
      </w:r>
      <w:r w:rsidRPr="00314731" w:rsidR="00312DB4">
        <w:t xml:space="preserve">verkenning gestart om het ANBI-portal technisch mogelijk te maken. </w:t>
      </w:r>
    </w:p>
    <w:p w:rsidRPr="00314731" w:rsidR="00952BD3" w:rsidP="00314731" w:rsidRDefault="00952BD3" w14:paraId="28653D66" w14:textId="77777777">
      <w:pPr>
        <w:spacing w:line="276" w:lineRule="auto"/>
      </w:pPr>
    </w:p>
    <w:p w:rsidRPr="00314731" w:rsidR="00952BD3" w:rsidP="00314731" w:rsidRDefault="00952BD3" w14:paraId="4EF135DD" w14:textId="77777777">
      <w:pPr>
        <w:spacing w:line="276" w:lineRule="auto"/>
      </w:pPr>
      <w:r w:rsidRPr="00314731">
        <w:t>Daar</w:t>
      </w:r>
      <w:r w:rsidR="006E7D30">
        <w:t>op</w:t>
      </w:r>
      <w:r w:rsidRPr="00314731">
        <w:t xml:space="preserve"> kan de verbetering van het toezicht op </w:t>
      </w:r>
      <w:r w:rsidRPr="00314731" w:rsidR="00D23487">
        <w:t xml:space="preserve">de </w:t>
      </w:r>
      <w:proofErr w:type="gramStart"/>
      <w:r w:rsidRPr="00314731" w:rsidR="00D23487">
        <w:t>circa</w:t>
      </w:r>
      <w:proofErr w:type="gramEnd"/>
      <w:r w:rsidRPr="00314731" w:rsidR="00D23487">
        <w:t xml:space="preserve"> 45.000 </w:t>
      </w:r>
      <w:proofErr w:type="spellStart"/>
      <w:r w:rsidRPr="00314731">
        <w:t>ANBI’s</w:t>
      </w:r>
      <w:proofErr w:type="spellEnd"/>
      <w:r w:rsidRPr="00314731">
        <w:t xml:space="preserve"> niet wachten. </w:t>
      </w:r>
      <w:r w:rsidRPr="00314731" w:rsidR="00C3106E">
        <w:t>Mijn ambtsvoorganger heeft</w:t>
      </w:r>
      <w:r w:rsidRPr="00314731">
        <w:t xml:space="preserve"> daarom </w:t>
      </w:r>
      <w:r w:rsidRPr="00314731" w:rsidR="00C3106E">
        <w:t>toegezegd</w:t>
      </w:r>
      <w:r w:rsidRPr="00314731">
        <w:t xml:space="preserve"> om op korte termijn het toezicht op de ANBI’s te verbeteren en te versterken. </w:t>
      </w:r>
      <w:r w:rsidRPr="00314731" w:rsidR="00FB53EA">
        <w:t>Hiervoor is</w:t>
      </w:r>
      <w:r w:rsidRPr="00314731">
        <w:t xml:space="preserve"> een tactisch handhavingsplan ANBI’s opgesteld. </w:t>
      </w:r>
      <w:r w:rsidRPr="00314731" w:rsidR="000B6739">
        <w:t xml:space="preserve">In het plan wordt beschreven welke stappen er worden gezet om inzicht te verkrijgen in de totale doelgroep met als doel het toezicht op </w:t>
      </w:r>
      <w:r w:rsidRPr="00314731" w:rsidR="007765DC">
        <w:t>ANBI</w:t>
      </w:r>
      <w:r w:rsidRPr="00314731" w:rsidR="000B6739">
        <w:t xml:space="preserve">-instellingen te versterken en te verbeteren. </w:t>
      </w:r>
      <w:r w:rsidRPr="00314731">
        <w:t xml:space="preserve">Daarnaast zal onder andere aandacht zijn voor: </w:t>
      </w:r>
    </w:p>
    <w:p w:rsidRPr="00314731" w:rsidR="00C3106E" w:rsidP="00314731" w:rsidRDefault="00952BD3" w14:paraId="16AC47E3" w14:textId="77777777">
      <w:pPr>
        <w:pStyle w:val="Lijstalinea"/>
        <w:numPr>
          <w:ilvl w:val="0"/>
          <w:numId w:val="23"/>
        </w:numPr>
        <w:spacing w:line="276" w:lineRule="auto"/>
      </w:pPr>
      <w:r w:rsidRPr="00314731">
        <w:t xml:space="preserve">Het intensiveren van het toezicht op ANBI’s. </w:t>
      </w:r>
    </w:p>
    <w:p w:rsidRPr="00314731" w:rsidR="00C3106E" w:rsidP="00314731" w:rsidRDefault="00952BD3" w14:paraId="6A4E98D1" w14:textId="77777777">
      <w:pPr>
        <w:pStyle w:val="Lijstalinea"/>
        <w:numPr>
          <w:ilvl w:val="0"/>
          <w:numId w:val="23"/>
        </w:numPr>
        <w:spacing w:line="276" w:lineRule="auto"/>
      </w:pPr>
      <w:r w:rsidRPr="00314731">
        <w:t xml:space="preserve">Verbeteren van de beschikbaarheid van data over ANBI’s. </w:t>
      </w:r>
    </w:p>
    <w:p w:rsidRPr="00314731" w:rsidR="00C1711D" w:rsidP="00DF10C6" w:rsidRDefault="00952BD3" w14:paraId="64498375" w14:textId="77777777">
      <w:pPr>
        <w:pStyle w:val="Lijstalinea"/>
        <w:numPr>
          <w:ilvl w:val="0"/>
          <w:numId w:val="23"/>
        </w:numPr>
        <w:spacing w:line="276" w:lineRule="auto"/>
      </w:pPr>
      <w:r w:rsidRPr="00314731">
        <w:t>Versterken en uitbreiden van de samenwerking met de filantropische</w:t>
      </w:r>
      <w:r w:rsidRPr="00314731" w:rsidR="00C3106E">
        <w:t xml:space="preserve"> </w:t>
      </w:r>
      <w:r w:rsidRPr="00314731">
        <w:t xml:space="preserve">sector. </w:t>
      </w:r>
    </w:p>
    <w:p w:rsidRPr="00314731" w:rsidR="000B6739" w:rsidP="00314731" w:rsidRDefault="000B6739" w14:paraId="7345112B" w14:textId="77777777">
      <w:pPr>
        <w:spacing w:line="276" w:lineRule="auto"/>
      </w:pPr>
    </w:p>
    <w:p w:rsidRPr="00314731" w:rsidR="00C1711D" w:rsidP="00314731" w:rsidRDefault="00C1711D" w14:paraId="3BB08D84" w14:textId="77777777">
      <w:pPr>
        <w:spacing w:line="276" w:lineRule="auto"/>
        <w:rPr>
          <w:i/>
          <w:iCs/>
        </w:rPr>
      </w:pPr>
      <w:r w:rsidRPr="00314731">
        <w:rPr>
          <w:i/>
          <w:iCs/>
        </w:rPr>
        <w:t>Samenwerking met de filantropische sector</w:t>
      </w:r>
    </w:p>
    <w:p w:rsidRPr="00314731" w:rsidR="00C1711D" w:rsidP="00314731" w:rsidRDefault="00C1711D" w14:paraId="7F31D432" w14:textId="77777777">
      <w:pPr>
        <w:spacing w:line="276" w:lineRule="auto"/>
      </w:pPr>
      <w:r w:rsidRPr="00314731">
        <w:t xml:space="preserve">Samenwerking tussen de Belastingdienst en </w:t>
      </w:r>
      <w:r w:rsidRPr="00314731" w:rsidR="00734941">
        <w:t xml:space="preserve">de </w:t>
      </w:r>
      <w:r w:rsidRPr="00314731">
        <w:t xml:space="preserve">filantropische sector is efficiënt doordat de verschillende toezichthouders </w:t>
      </w:r>
      <w:r w:rsidR="00C7648E">
        <w:t xml:space="preserve">elkaar </w:t>
      </w:r>
      <w:r w:rsidRPr="00314731">
        <w:t xml:space="preserve">kunnen vertrouwen en daarmee kunnen leunen op elkaars werk. </w:t>
      </w:r>
      <w:r w:rsidRPr="00314731" w:rsidR="00306447">
        <w:t xml:space="preserve">Ook verlicht dit vaak de regeldruk van de instellingen. </w:t>
      </w:r>
      <w:r w:rsidRPr="00314731">
        <w:t xml:space="preserve">Het op 2 december 2025 ondertekende samenwerkingsconvenant </w:t>
      </w:r>
      <w:r w:rsidRPr="00314731" w:rsidR="00952595">
        <w:t xml:space="preserve">van de Belastingdienst </w:t>
      </w:r>
      <w:r w:rsidRPr="00314731">
        <w:t>met G</w:t>
      </w:r>
      <w:r w:rsidRPr="00314731" w:rsidR="00717873">
        <w:t>oe</w:t>
      </w:r>
      <w:r w:rsidRPr="00314731">
        <w:t>de Doelen Nederland, de Commissie Normstelling en het CBF</w:t>
      </w:r>
      <w:r w:rsidRPr="00314731" w:rsidR="00AC004E">
        <w:t>:</w:t>
      </w:r>
      <w:r w:rsidRPr="00314731">
        <w:t xml:space="preserve"> Toezicht op goeddoen is daar een mooi voorbeeld van.</w:t>
      </w:r>
      <w:r w:rsidRPr="00314731" w:rsidR="003F2970">
        <w:rPr>
          <w:rStyle w:val="Voetnootmarkering"/>
        </w:rPr>
        <w:footnoteReference w:id="18"/>
      </w:r>
      <w:r w:rsidRPr="00314731">
        <w:t xml:space="preserve"> Met dit </w:t>
      </w:r>
      <w:r w:rsidRPr="00314731" w:rsidR="003F2970">
        <w:t xml:space="preserve">vernieuwde </w:t>
      </w:r>
      <w:r w:rsidRPr="00314731">
        <w:t xml:space="preserve">convenant spreken partijen uit dat zij op elkaars </w:t>
      </w:r>
      <w:r w:rsidRPr="00314731" w:rsidR="00306447">
        <w:t>beoordeling</w:t>
      </w:r>
      <w:r w:rsidRPr="00314731">
        <w:t xml:space="preserve"> kunnen vertrouwen waar de normenkaders gelijkwaardig zijn en zijn er </w:t>
      </w:r>
      <w:r w:rsidRPr="00314731" w:rsidR="00306447">
        <w:t>duidelijke</w:t>
      </w:r>
      <w:r w:rsidRPr="00314731">
        <w:t xml:space="preserve"> afspraken gemaakt</w:t>
      </w:r>
      <w:r w:rsidR="00AB1256">
        <w:t xml:space="preserve"> over de samenwerking op de vlakken waarop de normenkaders van elkaar verschillen</w:t>
      </w:r>
      <w:r w:rsidRPr="00314731">
        <w:t xml:space="preserve">. </w:t>
      </w:r>
      <w:r w:rsidRPr="00314731" w:rsidR="007765DC">
        <w:t>H</w:t>
      </w:r>
      <w:r w:rsidRPr="00314731">
        <w:t xml:space="preserve">et </w:t>
      </w:r>
      <w:r w:rsidRPr="00314731" w:rsidR="00306447">
        <w:t xml:space="preserve">CBF </w:t>
      </w:r>
      <w:r w:rsidRPr="00314731" w:rsidR="007765DC">
        <w:t xml:space="preserve">vervult </w:t>
      </w:r>
      <w:r w:rsidRPr="00314731" w:rsidR="00306447">
        <w:t>een signaalfunctie richting goede doelen en het ANBI</w:t>
      </w:r>
      <w:r w:rsidRPr="00314731" w:rsidR="002800E0">
        <w:noBreakHyphen/>
      </w:r>
      <w:r w:rsidRPr="00314731" w:rsidR="00306447">
        <w:t xml:space="preserve">team van de Belastingdienst. De komende periode zal de Belastingdienst zich blijven inzetten om de samenwerking met de filantropische sector te versterken en uit te breiden. </w:t>
      </w:r>
    </w:p>
    <w:p w:rsidRPr="00314731" w:rsidR="003F23B6" w:rsidP="00314731" w:rsidRDefault="003F23B6" w14:paraId="35A67ACD" w14:textId="77777777">
      <w:pPr>
        <w:spacing w:line="276" w:lineRule="auto"/>
      </w:pPr>
    </w:p>
    <w:p w:rsidRPr="00314731" w:rsidR="001C2C9D" w:rsidP="00314731" w:rsidRDefault="001C2C9D" w14:paraId="4EC1CF08" w14:textId="77777777">
      <w:pPr>
        <w:spacing w:line="276" w:lineRule="auto"/>
        <w:rPr>
          <w:i/>
          <w:iCs/>
        </w:rPr>
      </w:pPr>
      <w:r w:rsidRPr="00314731">
        <w:rPr>
          <w:i/>
          <w:iCs/>
        </w:rPr>
        <w:t xml:space="preserve">Aanpak regeldruk en groepsbeschikkingen </w:t>
      </w:r>
    </w:p>
    <w:p w:rsidRPr="00314731" w:rsidR="001C2C9D" w:rsidP="00314731" w:rsidRDefault="001C2C9D" w14:paraId="7C304776" w14:textId="77777777">
      <w:pPr>
        <w:spacing w:line="276" w:lineRule="auto"/>
      </w:pPr>
      <w:r w:rsidRPr="00314731">
        <w:t>Het kabinet heeft voortkomend uit het onderzoek regeldruk bij vrijwilligersorganisaties en filantropische instellingen</w:t>
      </w:r>
      <w:r w:rsidRPr="00314731">
        <w:rPr>
          <w:rStyle w:val="Voetnootmarkering"/>
        </w:rPr>
        <w:footnoteReference w:id="19"/>
      </w:r>
      <w:r w:rsidRPr="00314731">
        <w:t xml:space="preserve"> </w:t>
      </w:r>
      <w:r w:rsidR="00D42C78">
        <w:t xml:space="preserve">in 2023 </w:t>
      </w:r>
      <w:r w:rsidRPr="00314731">
        <w:t>een concrete aanpak regeldruk bij vrijwilligersorganisaties en filantropische instellingen aangekondigd.</w:t>
      </w:r>
      <w:r w:rsidRPr="00314731">
        <w:rPr>
          <w:rStyle w:val="Voetnootmarkering"/>
        </w:rPr>
        <w:footnoteReference w:id="20"/>
      </w:r>
      <w:r w:rsidRPr="00314731">
        <w:t xml:space="preserve"> Zo wordt in het Handboek Meting Regeldrukkosten voortaan expliciet aandacht besteed aan de mate van regeldruk voor vrijwilligersorganisaties en filantropische instellingen. Ook is inmiddels een brede samenwerkingsstructuur met een kerngroep opgericht door de ministeries van </w:t>
      </w:r>
      <w:r w:rsidRPr="00314731">
        <w:lastRenderedPageBreak/>
        <w:t>V</w:t>
      </w:r>
      <w:r w:rsidR="00A6199C">
        <w:t xml:space="preserve">olksgezondheid, </w:t>
      </w:r>
      <w:r w:rsidRPr="00314731">
        <w:t>W</w:t>
      </w:r>
      <w:r w:rsidR="00A6199C">
        <w:t xml:space="preserve">elzijn en </w:t>
      </w:r>
      <w:r w:rsidRPr="00314731">
        <w:t>S</w:t>
      </w:r>
      <w:r w:rsidR="00A6199C">
        <w:t>port</w:t>
      </w:r>
      <w:r w:rsidRPr="00314731">
        <w:t xml:space="preserve"> en J</w:t>
      </w:r>
      <w:r w:rsidR="00A6199C">
        <w:t xml:space="preserve">ustitie </w:t>
      </w:r>
      <w:r w:rsidRPr="00314731">
        <w:t>en</w:t>
      </w:r>
      <w:r w:rsidR="00A6199C">
        <w:t xml:space="preserve"> </w:t>
      </w:r>
      <w:r w:rsidRPr="00314731">
        <w:t>V</w:t>
      </w:r>
      <w:r w:rsidR="00A6199C">
        <w:t>eiligheid</w:t>
      </w:r>
      <w:r w:rsidRPr="00314731">
        <w:t xml:space="preserve"> met daarin een groep maatschappelijke partners.</w:t>
      </w:r>
      <w:r w:rsidR="003C7B46">
        <w:rPr>
          <w:rStyle w:val="Voetnootmarkering"/>
        </w:rPr>
        <w:t xml:space="preserve"> </w:t>
      </w:r>
      <w:r w:rsidRPr="00314731">
        <w:t xml:space="preserve">Binnen deze structuur wordt toegewerkt naar concrete oplossingen voor de tien meest regeldruk veroorzakende verplichtingen, binnen de vastgestelde wettelijke kaders. Ten aanzien van de wettelijke verplichtingen waar al verbeter- of onderzoekstrajecten </w:t>
      </w:r>
      <w:r w:rsidR="00153A27">
        <w:t>over</w:t>
      </w:r>
      <w:r w:rsidRPr="00314731">
        <w:t xml:space="preserve"> lopen of beleidsopties zijn omschreven zal bij de vervolgstappen de kerngroep om advies worden gevraagd. Eén van die verplichtingen betreft de ANBI-regelgeving</w:t>
      </w:r>
      <w:r w:rsidR="00AB1256">
        <w:t>,</w:t>
      </w:r>
      <w:r w:rsidRPr="00314731">
        <w:t xml:space="preserve"> waarover in het genoemde onderzoeksrapport de aanbeveling is gedaan om meer met groepsbeschikkingen te werken. Door groepen op basis van bepaalde kenmerken een groepsbeschikking ANBI te geven, zou de ervaren regeldruk moeten afnemen. In de </w:t>
      </w:r>
      <w:r w:rsidRPr="00314731" w:rsidR="0040127A">
        <w:t>‘evaluatie ANBI- en SBBI-regelingen’</w:t>
      </w:r>
      <w:r w:rsidRPr="00314731">
        <w:rPr>
          <w:rStyle w:val="Voetnootmarkering"/>
        </w:rPr>
        <w:footnoteReference w:id="21"/>
      </w:r>
      <w:r w:rsidRPr="00314731">
        <w:t xml:space="preserve"> is geconstateerd dat de mogelijkheid om een groepsbeschikking aan te vragen, bekend is bij de meerderheid van de ANBI’s maar dat de voorwaarden waaraan de groepsbeschikking is gebonden niet </w:t>
      </w:r>
      <w:r w:rsidR="00153A27">
        <w:t xml:space="preserve">altijd </w:t>
      </w:r>
      <w:r w:rsidRPr="00314731">
        <w:t xml:space="preserve">bekend lijken te zijn. </w:t>
      </w:r>
      <w:r w:rsidR="00B15AD8">
        <w:t>Dat terwijl</w:t>
      </w:r>
      <w:r w:rsidRPr="00314731" w:rsidR="00B15AD8">
        <w:t xml:space="preserve"> </w:t>
      </w:r>
      <w:r w:rsidRPr="00314731">
        <w:t>de groepsbeschikking voor de Belastingdienst betere mogelijkheden</w:t>
      </w:r>
      <w:r w:rsidR="00B15AD8">
        <w:t xml:space="preserve"> kan bieden</w:t>
      </w:r>
      <w:r w:rsidRPr="00314731">
        <w:t xml:space="preserve"> voor informatieverzameling, toezicht en handhaving ten opzichte van alleenstaande ANBI’s.</w:t>
      </w:r>
    </w:p>
    <w:p w:rsidRPr="00314731" w:rsidR="001C2C9D" w:rsidP="00314731" w:rsidRDefault="001C2C9D" w14:paraId="633266BC" w14:textId="77777777">
      <w:pPr>
        <w:spacing w:line="276" w:lineRule="auto"/>
      </w:pPr>
    </w:p>
    <w:p w:rsidRPr="00314731" w:rsidR="001C2C9D" w:rsidP="00314731" w:rsidRDefault="001C2C9D" w14:paraId="1F9C37A7" w14:textId="77777777">
      <w:pPr>
        <w:spacing w:line="276" w:lineRule="auto"/>
      </w:pPr>
      <w:r w:rsidRPr="00314731">
        <w:t xml:space="preserve">Een categorie instellingen of een groep met elkaar verbonden instellingen kan een verzoek indienen om bij één beschikking (groepsbeschikking) aangemerkt te worden als ANBI of culturele instelling. </w:t>
      </w:r>
      <w:r w:rsidRPr="00314731" w:rsidR="007765DC">
        <w:t xml:space="preserve">Het initiatief voor een groepsbeschikking kan ook bij de inspecteur liggen. </w:t>
      </w:r>
      <w:r w:rsidRPr="00314731">
        <w:t xml:space="preserve">Er is sprake van een groep met elkaar verbonden instellingen </w:t>
      </w:r>
      <w:proofErr w:type="gramStart"/>
      <w:r w:rsidRPr="00314731">
        <w:t>indien</w:t>
      </w:r>
      <w:proofErr w:type="gramEnd"/>
      <w:r w:rsidRPr="00314731">
        <w:t xml:space="preserve"> de instellingen qua algemeen nuttige doelstelling met elkaar zijn verbonden en de aanvrager van de groepsbeschikking bevoegd is om namens de andere instellingen een dergelijke beschikking aan te vragen. Van belang hierbij is dat de instellingen die deel uitmaken van die categorie of groep elk afzonderlijk aan alle ANBI-voorwaarden dienen te voldoen. </w:t>
      </w:r>
    </w:p>
    <w:p w:rsidRPr="00314731" w:rsidR="001C2C9D" w:rsidP="00314731" w:rsidRDefault="001C2C9D" w14:paraId="470FD716" w14:textId="77777777">
      <w:pPr>
        <w:spacing w:line="276" w:lineRule="auto"/>
      </w:pPr>
    </w:p>
    <w:p w:rsidRPr="00314731" w:rsidR="001C2C9D" w:rsidP="00314731" w:rsidRDefault="001C2C9D" w14:paraId="45BB4387" w14:textId="77777777">
      <w:pPr>
        <w:spacing w:line="276" w:lineRule="auto"/>
      </w:pPr>
      <w:r w:rsidRPr="00314731">
        <w:t xml:space="preserve">Het doel van de groepsbeschikking is vooral een besparing op administratieve lasten van de betrokken instellingen omdat één groepsaanvraag volstaat in plaats van individuele aanvragen. Daarnaast kan de groepsbeschikking ertoe dienen om instellingen die bij elkaar horen, ook administratief bij elkaar te houden. Denk bijvoorbeeld aan ANBI’s met een steunstichting ANBI. Voorts kan een groepsbeschikking de basis vormen om samen te werken </w:t>
      </w:r>
      <w:r w:rsidR="00160DA1">
        <w:t>op het gebied van</w:t>
      </w:r>
      <w:r w:rsidRPr="00314731">
        <w:t xml:space="preserve"> informatie-uitwisseling of zelfs </w:t>
      </w:r>
      <w:r w:rsidR="00B15AD8">
        <w:t xml:space="preserve">afspraken op het gebied van </w:t>
      </w:r>
      <w:r w:rsidRPr="00314731">
        <w:t>horizontaal</w:t>
      </w:r>
      <w:r w:rsidR="00B15AD8">
        <w:t xml:space="preserve"> </w:t>
      </w:r>
      <w:r w:rsidRPr="00314731">
        <w:t>toezicht te maken.</w:t>
      </w:r>
      <w:r w:rsidR="00B15AD8">
        <w:t xml:space="preserve"> </w:t>
      </w:r>
      <w:r w:rsidRPr="00314731">
        <w:t xml:space="preserve">Daarom zal op de communicatiekanalen van de Belastingdienst meer aandacht worden besteed aan de mogelijkheid tot het indienen van een verzoek tot een groepsbeschikking. </w:t>
      </w:r>
    </w:p>
    <w:p w:rsidRPr="00314731" w:rsidR="001C2C9D" w:rsidP="00314731" w:rsidRDefault="001C2C9D" w14:paraId="3C1A7865" w14:textId="77777777">
      <w:pPr>
        <w:spacing w:line="276" w:lineRule="auto"/>
      </w:pPr>
    </w:p>
    <w:p w:rsidRPr="00314731" w:rsidR="001C2C9D" w:rsidP="00314731" w:rsidRDefault="001C2C9D" w14:paraId="5E89992D" w14:textId="77777777">
      <w:pPr>
        <w:spacing w:line="276" w:lineRule="auto"/>
      </w:pPr>
      <w:r w:rsidRPr="00314731">
        <w:t>Andere verbeteringen om de regeldruk te verminderen, zijn</w:t>
      </w:r>
      <w:r w:rsidR="00B15AD8">
        <w:t xml:space="preserve"> (1)</w:t>
      </w:r>
      <w:r w:rsidRPr="00314731">
        <w:t xml:space="preserve"> de mogelijkheid om sinds </w:t>
      </w:r>
      <w:r w:rsidRPr="00314731" w:rsidR="00A43FB7">
        <w:t xml:space="preserve">voorjaar </w:t>
      </w:r>
      <w:r w:rsidRPr="00314731">
        <w:t>2023 de ANBI-beschikking digitaal aan te vragen</w:t>
      </w:r>
      <w:r w:rsidRPr="00314731" w:rsidR="00A43FB7">
        <w:t xml:space="preserve"> en </w:t>
      </w:r>
      <w:r w:rsidR="00B15AD8">
        <w:t xml:space="preserve">(2) </w:t>
      </w:r>
      <w:r w:rsidRPr="00314731">
        <w:t>het online ANBI-loket van de Belastingdienst</w:t>
      </w:r>
      <w:r w:rsidRPr="00314731" w:rsidR="00A43FB7">
        <w:t xml:space="preserve">. </w:t>
      </w:r>
      <w:r w:rsidRPr="00314731">
        <w:t xml:space="preserve">Dit loket is bedoeld voor kleine en middelgrote aanvragers van een ANBI-status die behoefte hebben aan praktische uitleg over het opzetten van een ANBI en de eisen die daaraan worden gesteld. Bezoekers van de website kunnen bovendien via het loket contact opnemen met </w:t>
      </w:r>
      <w:r w:rsidR="009B2EE8">
        <w:t>het ANBI</w:t>
      </w:r>
      <w:r w:rsidR="009B2EE8">
        <w:noBreakHyphen/>
        <w:t>team</w:t>
      </w:r>
      <w:r w:rsidRPr="00314731">
        <w:t>.</w:t>
      </w:r>
    </w:p>
    <w:p w:rsidR="006E7D30" w:rsidP="00314731" w:rsidRDefault="006E7D30" w14:paraId="5FC62F0F" w14:textId="77777777">
      <w:pPr>
        <w:spacing w:line="276" w:lineRule="auto"/>
      </w:pPr>
    </w:p>
    <w:p w:rsidR="00A362F6" w:rsidP="00314731" w:rsidRDefault="00A362F6" w14:paraId="510838E0" w14:textId="77777777">
      <w:pPr>
        <w:spacing w:line="276" w:lineRule="auto"/>
      </w:pPr>
    </w:p>
    <w:p w:rsidRPr="00314731" w:rsidR="00A362F6" w:rsidP="00314731" w:rsidRDefault="00A362F6" w14:paraId="437ACED4" w14:textId="77777777">
      <w:pPr>
        <w:spacing w:line="276" w:lineRule="auto"/>
      </w:pPr>
    </w:p>
    <w:p w:rsidRPr="00DF10C6" w:rsidR="00B53B7D" w:rsidP="00314731" w:rsidRDefault="00B53B7D" w14:paraId="595D729B" w14:textId="77777777">
      <w:pPr>
        <w:spacing w:line="276" w:lineRule="auto"/>
        <w:rPr>
          <w:i/>
          <w:iCs/>
        </w:rPr>
      </w:pPr>
      <w:r w:rsidRPr="00DF10C6">
        <w:rPr>
          <w:i/>
          <w:iCs/>
        </w:rPr>
        <w:lastRenderedPageBreak/>
        <w:t>Internationaal werkende ANBI’s</w:t>
      </w:r>
    </w:p>
    <w:p w:rsidRPr="006E7D30" w:rsidR="001372FA" w:rsidP="001372FA" w:rsidRDefault="001372FA" w14:paraId="71028B1C" w14:textId="77777777">
      <w:pPr>
        <w:spacing w:line="276" w:lineRule="auto"/>
      </w:pPr>
      <w:r w:rsidRPr="006E7D30">
        <w:t xml:space="preserve">Tijdens het commissiedebat fiscaliteit van 11 maart jongstleden heb ik toegezegd in deze brief ook in te gaan op de vraag van het </w:t>
      </w:r>
      <w:r w:rsidR="00D42C78">
        <w:t>Tweede Kamer</w:t>
      </w:r>
      <w:r w:rsidRPr="006E7D30">
        <w:t xml:space="preserve">lid </w:t>
      </w:r>
      <w:proofErr w:type="spellStart"/>
      <w:r w:rsidRPr="006E7D30">
        <w:t>Grinwis</w:t>
      </w:r>
      <w:proofErr w:type="spellEnd"/>
      <w:r w:rsidRPr="006E7D30">
        <w:t xml:space="preserve"> </w:t>
      </w:r>
      <w:bookmarkStart w:name="_Hlk227750428" w:id="3"/>
      <w:r w:rsidRPr="006E7D30">
        <w:t xml:space="preserve">over de mogelijkheden voor </w:t>
      </w:r>
      <w:proofErr w:type="spellStart"/>
      <w:r w:rsidRPr="006E7D30">
        <w:t>ANBI’s</w:t>
      </w:r>
      <w:proofErr w:type="spellEnd"/>
      <w:r w:rsidRPr="006E7D30">
        <w:t xml:space="preserve"> om (financiële) ondersteuning te bieden aan – al dan niet buitenlandse – (partner)organisaties zonder ANBI</w:t>
      </w:r>
      <w:r w:rsidRPr="006E7D30" w:rsidR="00160DA1">
        <w:t>-</w:t>
      </w:r>
      <w:r w:rsidRPr="006E7D30">
        <w:t>status</w:t>
      </w:r>
      <w:bookmarkEnd w:id="3"/>
      <w:r w:rsidRPr="006E7D30">
        <w:t>.</w:t>
      </w:r>
      <w:r w:rsidRPr="006E7D30" w:rsidR="003C7B46">
        <w:t xml:space="preserve"> </w:t>
      </w:r>
      <w:r w:rsidRPr="006E7D30">
        <w:t>Zoals mijn ambtsvoorganger in zijn brief van 1 juli 2025</w:t>
      </w:r>
      <w:r w:rsidRPr="006E7D30" w:rsidR="003C7B46">
        <w:rPr>
          <w:rStyle w:val="Voetnootmarkering"/>
        </w:rPr>
        <w:footnoteReference w:id="22"/>
      </w:r>
      <w:r w:rsidRPr="006E7D30">
        <w:t xml:space="preserve"> </w:t>
      </w:r>
      <w:proofErr w:type="gramStart"/>
      <w:r w:rsidRPr="006E7D30">
        <w:t>reeds</w:t>
      </w:r>
      <w:proofErr w:type="gramEnd"/>
      <w:r w:rsidRPr="006E7D30">
        <w:t xml:space="preserve"> heeft opgemerkt, is het </w:t>
      </w:r>
      <w:proofErr w:type="spellStart"/>
      <w:r w:rsidRPr="006E7D30">
        <w:t>ANBI’s</w:t>
      </w:r>
      <w:proofErr w:type="spellEnd"/>
      <w:r w:rsidRPr="006E7D30">
        <w:t xml:space="preserve"> in beginsel toegestaan om hun algemeen nuttige doelstelling in samenwerking met of via andere (buitenlandse) instellingen te verwezenlijken. </w:t>
      </w:r>
    </w:p>
    <w:p w:rsidRPr="006E7D30" w:rsidR="001372FA" w:rsidP="001372FA" w:rsidRDefault="001372FA" w14:paraId="099F931B" w14:textId="77777777">
      <w:pPr>
        <w:spacing w:line="276" w:lineRule="auto"/>
      </w:pPr>
      <w:r w:rsidRPr="006E7D30">
        <w:t>Meer specifiek moeten op basis van de wettelijke systematiek twee soorten instellingen worden onderscheiden. De eerste betreft de zogenoemde steunstichting, zoals bijvoorbeeld een ‘Vrienden van’-stichting van een museum. Dergelijke steunstichtingen hebben als doelstelling om een andere instelling (financieel) te ondersteunen. In de ANBI</w:t>
      </w:r>
      <w:r w:rsidRPr="006E7D30" w:rsidR="00160DA1">
        <w:t>-</w:t>
      </w:r>
      <w:r w:rsidRPr="006E7D30">
        <w:t>regeling is dit als algemeen nuttig aangemerkt, op voorwaarde dat de ontvangende instelling de ANBI</w:t>
      </w:r>
      <w:r w:rsidRPr="006E7D30" w:rsidR="00160DA1">
        <w:t>-</w:t>
      </w:r>
      <w:r w:rsidRPr="006E7D30">
        <w:t>status heeft.</w:t>
      </w:r>
      <w:r w:rsidRPr="006E7D30" w:rsidR="003C7B46">
        <w:t xml:space="preserve"> </w:t>
      </w:r>
      <w:r w:rsidRPr="006E7D30">
        <w:t>Op die manier wordt verzekerd dat de gelden ten goede komen aan het algemeen nut.</w:t>
      </w:r>
    </w:p>
    <w:p w:rsidRPr="006E7D30" w:rsidR="001372FA" w:rsidP="001372FA" w:rsidRDefault="001372FA" w14:paraId="49DB35DF" w14:textId="77777777">
      <w:pPr>
        <w:spacing w:line="276" w:lineRule="auto"/>
      </w:pPr>
    </w:p>
    <w:p w:rsidRPr="001372FA" w:rsidR="00C054D4" w:rsidP="001372FA" w:rsidRDefault="001372FA" w14:paraId="79AE754A" w14:textId="77777777">
      <w:pPr>
        <w:spacing w:line="276" w:lineRule="auto"/>
      </w:pPr>
      <w:r w:rsidRPr="006E7D30">
        <w:t>Daarnaast zijn er instellingen die een eigen algemeen nuttige doelstelling</w:t>
      </w:r>
      <w:r w:rsidRPr="006E7D30" w:rsidR="003C7B46">
        <w:t xml:space="preserve"> </w:t>
      </w:r>
      <w:r w:rsidRPr="006E7D30">
        <w:t>nastreven. Dergelijke instellingen mogen financiële ondersteuning bieden aan andere instellingen zonder ANBI</w:t>
      </w:r>
      <w:r w:rsidRPr="006E7D30" w:rsidR="00160DA1">
        <w:t>-</w:t>
      </w:r>
      <w:r w:rsidRPr="006E7D30">
        <w:t xml:space="preserve">status, mits zij aannemelijk kunnen maken dat de gelden worden besteed in lijn met die algemeen nuttige doelstelling. Als een </w:t>
      </w:r>
      <w:proofErr w:type="gramStart"/>
      <w:r w:rsidRPr="006E7D30">
        <w:t>ANBI gelden</w:t>
      </w:r>
      <w:proofErr w:type="gramEnd"/>
      <w:r w:rsidRPr="006E7D30">
        <w:t xml:space="preserve"> bestemt voor een algemeen nuttig project of een algemeen nuttige activiteit van een andere instelling en erop toeziet dat de gelden daadwerkelijk hieraan worden besteed, zal over het algemeen aan deze bewijslast zijn voldaan. Dat geldt ook wanneer dat project of die activiteit een langere looptijd kent. Wanneer financiële ondersteuning wordt geboden aan een instelling zonder ANBI</w:t>
      </w:r>
      <w:r w:rsidRPr="006E7D30" w:rsidR="00160DA1">
        <w:noBreakHyphen/>
      </w:r>
      <w:r w:rsidRPr="006E7D30">
        <w:t xml:space="preserve">status en geen afspraken zijn gemaakt over de besteding, zal het in de praktijk lastiger zijn om aannemelijk te maken dat de gelden ten goede komen aan het algemeen nut. Dat neemt niet weg dat beoordeling moet plaatsvinden op basis van de feiten en omstandigheden van het geval. De Belastingdienst zal bezien of het mogelijk is om de praktijk handvatten te bieden door enkele omstandigheden aan te geven die van belang (kunnen) zijn bij de beoordeling. </w:t>
      </w:r>
      <w:r w:rsidRPr="006E7D30" w:rsidR="003C7B46">
        <w:t>Als de onduidelijkheid onvoldoende is weggenomen, kan dat ook aan de orde komen</w:t>
      </w:r>
      <w:r w:rsidRPr="006E7D30" w:rsidR="00160DA1">
        <w:t xml:space="preserve"> </w:t>
      </w:r>
      <w:r w:rsidRPr="006E7D30" w:rsidR="003C7B46">
        <w:t>in het reguliere overleg dat</w:t>
      </w:r>
      <w:r w:rsidRPr="006E7D30">
        <w:t xml:space="preserve"> het ministerie op ambtelijk niveau met de filantropische sector</w:t>
      </w:r>
      <w:r w:rsidRPr="006E7D30" w:rsidR="003C7B46">
        <w:t xml:space="preserve"> heeft.</w:t>
      </w:r>
      <w:r w:rsidRPr="006E7D30">
        <w:t xml:space="preserve"> </w:t>
      </w:r>
    </w:p>
    <w:p w:rsidRPr="00222F43" w:rsidR="001372FA" w:rsidP="001372FA" w:rsidRDefault="001372FA" w14:paraId="34D68A73" w14:textId="77777777">
      <w:pPr>
        <w:spacing w:line="276" w:lineRule="auto"/>
        <w:rPr>
          <w:i/>
          <w:iCs/>
        </w:rPr>
      </w:pPr>
    </w:p>
    <w:p w:rsidRPr="00314731" w:rsidR="00952BD3" w:rsidP="00314731" w:rsidRDefault="00FE4F79" w14:paraId="258A2D47" w14:textId="77777777">
      <w:pPr>
        <w:pStyle w:val="Lijstalinea"/>
        <w:numPr>
          <w:ilvl w:val="0"/>
          <w:numId w:val="22"/>
        </w:numPr>
        <w:spacing w:line="276" w:lineRule="auto"/>
        <w:rPr>
          <w:b/>
          <w:bCs/>
        </w:rPr>
      </w:pPr>
      <w:r w:rsidRPr="00314731">
        <w:rPr>
          <w:b/>
          <w:bCs/>
        </w:rPr>
        <w:t>Minimumaantal bestuurders</w:t>
      </w:r>
    </w:p>
    <w:p w:rsidRPr="00314731" w:rsidR="00442772" w:rsidP="00314731" w:rsidRDefault="00371AB2" w14:paraId="40F7CBEB" w14:textId="77777777">
      <w:pPr>
        <w:spacing w:line="276" w:lineRule="auto"/>
      </w:pPr>
      <w:r w:rsidRPr="00314731">
        <w:t>In de kabinetsreactie op de evaluatie van de ANBI-regeling</w:t>
      </w:r>
      <w:r w:rsidRPr="00314731" w:rsidR="00822791">
        <w:t xml:space="preserve"> van 1 juli 2025 </w:t>
      </w:r>
      <w:r w:rsidRPr="00314731">
        <w:t>is in</w:t>
      </w:r>
      <w:r w:rsidRPr="00314731" w:rsidR="00A84829">
        <w:t>ge</w:t>
      </w:r>
      <w:r w:rsidRPr="00314731">
        <w:t>gaan op de conclusies uit het rapport over familiestichtingen voor zover deze ANBI’s betreffen.</w:t>
      </w:r>
      <w:r w:rsidRPr="00314731" w:rsidR="00FE4F79">
        <w:rPr>
          <w:rStyle w:val="Voetnootmarkering"/>
        </w:rPr>
        <w:footnoteReference w:id="23"/>
      </w:r>
      <w:r w:rsidRPr="00314731" w:rsidR="009E6E3C">
        <w:t xml:space="preserve"> </w:t>
      </w:r>
      <w:r w:rsidRPr="00314731" w:rsidR="00843FBD">
        <w:t>U</w:t>
      </w:r>
      <w:r w:rsidRPr="00314731" w:rsidR="00FE4F79">
        <w:t xml:space="preserve">it dat rapport </w:t>
      </w:r>
      <w:r w:rsidRPr="00314731" w:rsidR="00843FBD">
        <w:t xml:space="preserve">blijkt </w:t>
      </w:r>
      <w:r w:rsidRPr="00314731" w:rsidR="009E6E3C">
        <w:t>dat</w:t>
      </w:r>
      <w:r w:rsidRPr="00314731" w:rsidR="009278EC">
        <w:t xml:space="preserve"> van de 1.220 feitelijke familiestichtingen met meer dan € 100.000 vermogen ongeveer de helft (660) slechts één of twee bestuurders heeft. </w:t>
      </w:r>
      <w:bookmarkStart w:name="_Hlk217294925" w:id="4"/>
      <w:r w:rsidRPr="00314731" w:rsidR="00F52133">
        <w:t>Als we kijken naar alle</w:t>
      </w:r>
      <w:r w:rsidRPr="00314731" w:rsidR="00B34452">
        <w:t xml:space="preserve"> Nederlandse</w:t>
      </w:r>
      <w:r w:rsidRPr="00314731" w:rsidR="00F52133">
        <w:t xml:space="preserve"> ANBI-stichtingen (32.600</w:t>
      </w:r>
      <w:r w:rsidRPr="00314731" w:rsidR="00B34452">
        <w:t xml:space="preserve"> begin 2022</w:t>
      </w:r>
      <w:r w:rsidRPr="00314731" w:rsidR="00F52133">
        <w:t>), dan heeft bijna 10% slechts één of twee bestuurders (3.000).</w:t>
      </w:r>
      <w:r w:rsidRPr="00314731" w:rsidR="003D58D5">
        <w:t xml:space="preserve"> Voor deze analyse zijn de eventuele toezichthouders in een raad van toezicht of de commissarissen in een raad van commissarissen meegeteld als bestuurders. </w:t>
      </w:r>
      <w:r w:rsidRPr="00314731" w:rsidR="00F52133">
        <w:t xml:space="preserve">Vanuit het oogpunt van onafhankelijkheid en een goede </w:t>
      </w:r>
      <w:proofErr w:type="spellStart"/>
      <w:r w:rsidRPr="00314731" w:rsidR="00F52133">
        <w:t>governance</w:t>
      </w:r>
      <w:proofErr w:type="spellEnd"/>
      <w:r w:rsidRPr="00314731" w:rsidR="00F52133">
        <w:t xml:space="preserve"> achtte mijn ambtsvoorganger het wenselijk om een minimumaantal bestuurders bij ANBI’s te verlangen. Zoals toegezegd is </w:t>
      </w:r>
      <w:r w:rsidRPr="00314731" w:rsidR="00F52133">
        <w:lastRenderedPageBreak/>
        <w:t xml:space="preserve">onderzocht of en zo ja, op welke wijze een minimumaantal bestuurders voor ANBI’s kan worden verlangd. Ook ben ik hierover in gesprek gegaan met de filantropiesector. </w:t>
      </w:r>
    </w:p>
    <w:p w:rsidRPr="00314731" w:rsidR="00F13EA7" w:rsidP="00314731" w:rsidRDefault="009E6E3C" w14:paraId="7D56C903" w14:textId="77777777">
      <w:pPr>
        <w:spacing w:line="276" w:lineRule="auto"/>
        <w:rPr>
          <w:i/>
          <w:iCs/>
        </w:rPr>
      </w:pPr>
      <w:r w:rsidRPr="00314731">
        <w:t xml:space="preserve"> </w:t>
      </w:r>
      <w:bookmarkEnd w:id="4"/>
    </w:p>
    <w:p w:rsidRPr="00314731" w:rsidR="00371AB2" w:rsidP="00314731" w:rsidRDefault="00187350" w14:paraId="056A85B5" w14:textId="77777777">
      <w:pPr>
        <w:spacing w:line="276" w:lineRule="auto"/>
        <w:rPr>
          <w:i/>
          <w:iCs/>
        </w:rPr>
      </w:pPr>
      <w:r w:rsidRPr="00314731">
        <w:rPr>
          <w:i/>
          <w:iCs/>
        </w:rPr>
        <w:t>Verkenning minimumaantal bestuurders</w:t>
      </w:r>
    </w:p>
    <w:p w:rsidR="003D54AE" w:rsidP="00314731" w:rsidRDefault="00437F6C" w14:paraId="62982FEB" w14:textId="77777777">
      <w:pPr>
        <w:spacing w:line="276" w:lineRule="auto"/>
        <w:rPr>
          <w:rFonts w:cstheme="minorHAnsi"/>
        </w:rPr>
      </w:pPr>
      <w:r w:rsidRPr="00314731">
        <w:t>Kern</w:t>
      </w:r>
      <w:r w:rsidRPr="00314731" w:rsidR="00843FBD">
        <w:t>voorwaarde</w:t>
      </w:r>
      <w:r w:rsidRPr="00314731">
        <w:t xml:space="preserve"> v</w:t>
      </w:r>
      <w:r w:rsidRPr="00314731" w:rsidR="00843FBD">
        <w:t>oor</w:t>
      </w:r>
      <w:r w:rsidRPr="00314731">
        <w:t xml:space="preserve"> </w:t>
      </w:r>
      <w:r w:rsidRPr="00314731" w:rsidR="00843FBD">
        <w:t xml:space="preserve">de </w:t>
      </w:r>
      <w:r w:rsidRPr="00314731">
        <w:t>ANBI</w:t>
      </w:r>
      <w:r w:rsidRPr="00314731" w:rsidR="00843FBD">
        <w:t>-status</w:t>
      </w:r>
      <w:r w:rsidRPr="00314731">
        <w:t xml:space="preserve"> is </w:t>
      </w:r>
      <w:r w:rsidRPr="00314731" w:rsidR="00843FBD">
        <w:t xml:space="preserve">dat </w:t>
      </w:r>
      <w:r w:rsidRPr="00314731">
        <w:t>de</w:t>
      </w:r>
      <w:r w:rsidRPr="00314731" w:rsidR="00843FBD">
        <w:t xml:space="preserve"> instelling</w:t>
      </w:r>
      <w:r w:rsidRPr="00314731">
        <w:t xml:space="preserve"> </w:t>
      </w:r>
      <w:r w:rsidRPr="00314731" w:rsidR="00D4228D">
        <w:t xml:space="preserve">uitsluitend </w:t>
      </w:r>
      <w:r w:rsidRPr="00314731">
        <w:t xml:space="preserve">of </w:t>
      </w:r>
      <w:r w:rsidRPr="00314731" w:rsidR="00810831">
        <w:t xml:space="preserve">nagenoeg </w:t>
      </w:r>
      <w:r w:rsidRPr="00314731">
        <w:t xml:space="preserve">uitsluitend het algemeen nut beoogt en </w:t>
      </w:r>
      <w:r w:rsidRPr="00314731" w:rsidR="00843FBD">
        <w:t xml:space="preserve">dus </w:t>
      </w:r>
      <w:r w:rsidRPr="00314731">
        <w:t>geen p</w:t>
      </w:r>
      <w:r w:rsidRPr="00314731" w:rsidR="006B3800">
        <w:t xml:space="preserve">articulier </w:t>
      </w:r>
      <w:r w:rsidRPr="00314731">
        <w:t>belang beoogt</w:t>
      </w:r>
      <w:r w:rsidRPr="00314731" w:rsidR="008F575D">
        <w:t xml:space="preserve"> en</w:t>
      </w:r>
      <w:r w:rsidRPr="00314731" w:rsidR="007526AC">
        <w:t xml:space="preserve"> </w:t>
      </w:r>
      <w:r w:rsidRPr="00314731">
        <w:t>behartigt.</w:t>
      </w:r>
      <w:r w:rsidRPr="00314731">
        <w:rPr>
          <w:vertAlign w:val="superscript"/>
        </w:rPr>
        <w:footnoteReference w:id="24"/>
      </w:r>
      <w:r w:rsidRPr="00314731">
        <w:t xml:space="preserve"> De</w:t>
      </w:r>
      <w:r w:rsidRPr="00314731" w:rsidR="00471EA7">
        <w:t xml:space="preserve"> voorwaarden die gelden om de ANBI-status te verkrijgen en te behouden, zijn </w:t>
      </w:r>
      <w:r w:rsidRPr="00314731" w:rsidR="00843FBD">
        <w:t xml:space="preserve">er mede op </w:t>
      </w:r>
      <w:r w:rsidRPr="00314731" w:rsidR="00471EA7">
        <w:t>gericht</w:t>
      </w:r>
      <w:r w:rsidRPr="00314731" w:rsidR="00843FBD">
        <w:t xml:space="preserve"> dit te waarborgen</w:t>
      </w:r>
      <w:r w:rsidRPr="00314731" w:rsidR="00471EA7">
        <w:t xml:space="preserve">. Zo </w:t>
      </w:r>
      <w:r w:rsidRPr="00314731">
        <w:t xml:space="preserve">geldt </w:t>
      </w:r>
      <w:r w:rsidRPr="00314731" w:rsidR="00843FBD">
        <w:t xml:space="preserve">onder andere </w:t>
      </w:r>
      <w:r w:rsidRPr="00314731">
        <w:t>het beschikkingsmachtcriterium.</w:t>
      </w:r>
      <w:r w:rsidRPr="00314731">
        <w:rPr>
          <w:vertAlign w:val="superscript"/>
        </w:rPr>
        <w:footnoteReference w:id="25"/>
      </w:r>
      <w:r w:rsidRPr="00314731">
        <w:t xml:space="preserve"> </w:t>
      </w:r>
      <w:r w:rsidRPr="00314731" w:rsidR="00843FBD">
        <w:t xml:space="preserve">Deze voorwaarde </w:t>
      </w:r>
      <w:r w:rsidRPr="00314731">
        <w:t xml:space="preserve">houdt in dat uit de </w:t>
      </w:r>
      <w:r w:rsidRPr="00314731" w:rsidR="00221BD7">
        <w:t>statuten</w:t>
      </w:r>
      <w:r w:rsidRPr="00314731">
        <w:t xml:space="preserve"> van de instelling en de feiten </w:t>
      </w:r>
      <w:r w:rsidRPr="00314731" w:rsidR="00221BD7">
        <w:t xml:space="preserve">moet blijken dat geen enkele natuurlijk persoon of rechtspersoon over het vermogen van de instelling </w:t>
      </w:r>
      <w:r w:rsidRPr="00314731" w:rsidR="00860B93">
        <w:t>k</w:t>
      </w:r>
      <w:r w:rsidR="000F2F11">
        <w:t>an</w:t>
      </w:r>
      <w:r w:rsidRPr="00314731" w:rsidR="00860B93">
        <w:t xml:space="preserve"> </w:t>
      </w:r>
      <w:r w:rsidRPr="00314731" w:rsidR="00221BD7">
        <w:t xml:space="preserve">beschikken alsof het zijn eigen vermogen is. </w:t>
      </w:r>
      <w:r w:rsidRPr="00314731" w:rsidR="001B7A9B">
        <w:t>Daaruit volgt dat</w:t>
      </w:r>
      <w:r w:rsidRPr="00314731" w:rsidR="00221BD7">
        <w:t xml:space="preserve"> een bestuurder of beleidsbepaler geen </w:t>
      </w:r>
      <w:r w:rsidRPr="00314731" w:rsidR="001B7A9B">
        <w:t>doorslaggeven</w:t>
      </w:r>
      <w:r w:rsidRPr="00314731" w:rsidR="00221BD7">
        <w:t xml:space="preserve">de zeggenschap </w:t>
      </w:r>
      <w:r w:rsidRPr="00314731" w:rsidR="001B7A9B">
        <w:t xml:space="preserve">mag hebben </w:t>
      </w:r>
      <w:r w:rsidRPr="00314731" w:rsidR="00221BD7">
        <w:t>over het vermogen van de instelling.</w:t>
      </w:r>
      <w:r w:rsidRPr="00314731" w:rsidR="00D57E81">
        <w:t xml:space="preserve"> De ANBI-regelgeving schrijft niet een minimumaantal bestuurders voor, maar uit het beschikkingsmachtcriterium </w:t>
      </w:r>
      <w:r w:rsidR="000F2F11">
        <w:t>vloeit voort</w:t>
      </w:r>
      <w:r w:rsidRPr="00314731" w:rsidR="000F2F11">
        <w:t xml:space="preserve"> </w:t>
      </w:r>
      <w:r w:rsidRPr="00314731" w:rsidR="006F45AC">
        <w:t xml:space="preserve">dat </w:t>
      </w:r>
      <w:r w:rsidRPr="00314731" w:rsidR="00D57E81">
        <w:t>één</w:t>
      </w:r>
      <w:r w:rsidRPr="00314731" w:rsidR="006F45AC">
        <w:t xml:space="preserve"> </w:t>
      </w:r>
      <w:r w:rsidRPr="00314731" w:rsidR="00D57E81">
        <w:t>bestuurder</w:t>
      </w:r>
      <w:r w:rsidRPr="00314731" w:rsidR="006F45AC">
        <w:t xml:space="preserve"> </w:t>
      </w:r>
      <w:r w:rsidRPr="00314731" w:rsidR="00D57E81">
        <w:t>onvoldoende is</w:t>
      </w:r>
      <w:r w:rsidRPr="00314731" w:rsidR="009A12F1">
        <w:t>.</w:t>
      </w:r>
      <w:r w:rsidRPr="00314731" w:rsidR="003D58D5">
        <w:rPr>
          <w:rFonts w:cs="Segoe UI"/>
        </w:rPr>
        <w:t xml:space="preserve"> Twee </w:t>
      </w:r>
      <w:r w:rsidRPr="00314731" w:rsidR="003D58D5">
        <w:t>bestuurders</w:t>
      </w:r>
      <w:r w:rsidRPr="00314731" w:rsidR="002E7EE0">
        <w:t xml:space="preserve"> is </w:t>
      </w:r>
      <w:r w:rsidR="000F2F11">
        <w:t xml:space="preserve">slechts </w:t>
      </w:r>
      <w:r w:rsidRPr="00314731" w:rsidR="002E7EE0">
        <w:t>voldoende</w:t>
      </w:r>
      <w:r w:rsidRPr="00314731" w:rsidR="003D58D5">
        <w:t xml:space="preserve"> </w:t>
      </w:r>
      <w:r w:rsidR="000F2F11">
        <w:t>als</w:t>
      </w:r>
      <w:r w:rsidRPr="00314731" w:rsidR="000F2F11">
        <w:t xml:space="preserve"> </w:t>
      </w:r>
      <w:r w:rsidRPr="00314731" w:rsidR="002E7EE0">
        <w:t xml:space="preserve">voor het nemen van een besluit </w:t>
      </w:r>
      <w:r w:rsidRPr="00314731" w:rsidR="003D58D5">
        <w:t>beiden</w:t>
      </w:r>
      <w:r w:rsidRPr="00314731" w:rsidR="002E7EE0">
        <w:t xml:space="preserve"> dienen</w:t>
      </w:r>
      <w:r w:rsidRPr="00314731" w:rsidR="003D58D5">
        <w:t xml:space="preserve"> </w:t>
      </w:r>
      <w:r w:rsidRPr="00314731" w:rsidR="002E7EE0">
        <w:t>in te stemmen</w:t>
      </w:r>
      <w:r w:rsidRPr="00314731" w:rsidR="003D58D5">
        <w:t xml:space="preserve">. Als één van de twee </w:t>
      </w:r>
      <w:r w:rsidRPr="00314731" w:rsidR="002E7EE0">
        <w:t xml:space="preserve">bestuurders </w:t>
      </w:r>
      <w:r w:rsidRPr="00314731" w:rsidR="003D58D5">
        <w:t>een doorslaggevende stem heeft, dan wordt niet voldaan aan het beschikking</w:t>
      </w:r>
      <w:r w:rsidRPr="00314731" w:rsidR="000342D2">
        <w:t>s</w:t>
      </w:r>
      <w:r w:rsidRPr="00314731" w:rsidR="003D58D5">
        <w:t>machtcriterium.</w:t>
      </w:r>
      <w:r w:rsidRPr="00314731" w:rsidR="00D57E81">
        <w:t xml:space="preserve"> </w:t>
      </w:r>
      <w:r w:rsidRPr="00314731" w:rsidR="003D58D5">
        <w:t xml:space="preserve">Dit </w:t>
      </w:r>
      <w:r w:rsidRPr="00314731" w:rsidR="00D57E81">
        <w:t xml:space="preserve">hoeft </w:t>
      </w:r>
      <w:r w:rsidRPr="00314731" w:rsidR="003D58D5">
        <w:t xml:space="preserve">echter </w:t>
      </w:r>
      <w:r w:rsidRPr="00314731" w:rsidR="00D57E81">
        <w:t xml:space="preserve">niet </w:t>
      </w:r>
      <w:r w:rsidRPr="00314731" w:rsidR="009A12F1">
        <w:t xml:space="preserve">altijd </w:t>
      </w:r>
      <w:r w:rsidRPr="00314731" w:rsidR="00D57E81">
        <w:t>te leiden tot intrekking van de ANBI-status, omdat het kan voorkomen dat door bijvoorbeeld een openstaande vacature(</w:t>
      </w:r>
      <w:r w:rsidR="00045DB0">
        <w:t>s</w:t>
      </w:r>
      <w:r w:rsidRPr="00314731" w:rsidR="00D57E81">
        <w:t xml:space="preserve">) een ANBI </w:t>
      </w:r>
      <w:r w:rsidRPr="00314731" w:rsidR="006B3800">
        <w:t xml:space="preserve">tijdelijk </w:t>
      </w:r>
      <w:r w:rsidRPr="00314731" w:rsidR="00D57E81">
        <w:t>één</w:t>
      </w:r>
      <w:r w:rsidRPr="00314731" w:rsidR="001A7D07">
        <w:t xml:space="preserve"> of</w:t>
      </w:r>
      <w:r w:rsidRPr="00314731" w:rsidR="00D57E81">
        <w:t xml:space="preserve"> twee bestuurders heeft.</w:t>
      </w:r>
      <w:r w:rsidRPr="00314731" w:rsidR="009A12F1">
        <w:t xml:space="preserve"> Het is dus </w:t>
      </w:r>
      <w:r w:rsidRPr="00314731" w:rsidR="003D58D5">
        <w:t xml:space="preserve">momenteel </w:t>
      </w:r>
      <w:r w:rsidRPr="00314731" w:rsidR="009A12F1">
        <w:t>afhankelijk van de omstandigheden van het geval.</w:t>
      </w:r>
      <w:r w:rsidRPr="00314731" w:rsidR="00221BD7">
        <w:t xml:space="preserve"> </w:t>
      </w:r>
      <w:r w:rsidRPr="00314731" w:rsidR="0033340B">
        <w:t xml:space="preserve">De goede doelen aangesloten bij Goede Doelen Nederland en de fondsen die zijn aangesloten bij Fondsen in Nederland (FIN) hebben </w:t>
      </w:r>
      <w:r w:rsidR="00B608B7">
        <w:t xml:space="preserve">in de regel </w:t>
      </w:r>
      <w:r w:rsidRPr="00314731" w:rsidR="0033340B">
        <w:t>meer dan twee bestuurders</w:t>
      </w:r>
      <w:bookmarkStart w:name="_Hlk223444500" w:id="5"/>
      <w:r w:rsidRPr="00314731" w:rsidR="0033340B">
        <w:t xml:space="preserve">. </w:t>
      </w:r>
      <w:bookmarkEnd w:id="5"/>
      <w:r w:rsidR="00017B8F">
        <w:rPr>
          <w:rFonts w:cstheme="minorHAnsi"/>
        </w:rPr>
        <w:t>Onderstaand worden twee</w:t>
      </w:r>
      <w:r w:rsidRPr="00314731" w:rsidR="003D54AE">
        <w:rPr>
          <w:rFonts w:cstheme="minorHAnsi"/>
        </w:rPr>
        <w:t xml:space="preserve"> opties om het beschikkingsmachtcriterium </w:t>
      </w:r>
      <w:r w:rsidRPr="00314731" w:rsidR="008A076D">
        <w:rPr>
          <w:rFonts w:cstheme="minorHAnsi"/>
        </w:rPr>
        <w:t>aan te scherpen</w:t>
      </w:r>
      <w:r w:rsidRPr="00314731" w:rsidR="0042517F">
        <w:rPr>
          <w:rFonts w:cstheme="minorHAnsi"/>
        </w:rPr>
        <w:t xml:space="preserve"> </w:t>
      </w:r>
      <w:r w:rsidR="00017B8F">
        <w:rPr>
          <w:rFonts w:cstheme="minorHAnsi"/>
        </w:rPr>
        <w:t>toegelicht</w:t>
      </w:r>
      <w:r w:rsidR="00B608B7">
        <w:rPr>
          <w:rFonts w:cstheme="minorHAnsi"/>
        </w:rPr>
        <w:t>.</w:t>
      </w:r>
    </w:p>
    <w:p w:rsidRPr="00314731" w:rsidR="003D54AE" w:rsidP="00314731" w:rsidRDefault="003D54AE" w14:paraId="037328EF" w14:textId="77777777">
      <w:pPr>
        <w:spacing w:line="276" w:lineRule="auto"/>
      </w:pPr>
    </w:p>
    <w:p w:rsidRPr="00B608B7" w:rsidR="003D54AE" w:rsidP="00314731" w:rsidRDefault="00B608B7" w14:paraId="73F61523" w14:textId="77777777">
      <w:pPr>
        <w:spacing w:line="276" w:lineRule="auto"/>
      </w:pPr>
      <w:r w:rsidRPr="00B608B7">
        <w:t xml:space="preserve">Optie </w:t>
      </w:r>
      <w:r w:rsidRPr="00B608B7" w:rsidR="003D54AE">
        <w:t>1</w:t>
      </w:r>
      <w:r>
        <w:t>:</w:t>
      </w:r>
      <w:r w:rsidRPr="00B608B7">
        <w:rPr>
          <w:rFonts w:cstheme="minorHAnsi"/>
        </w:rPr>
        <w:t xml:space="preserve"> </w:t>
      </w:r>
      <w:r>
        <w:rPr>
          <w:rFonts w:cstheme="minorHAnsi"/>
        </w:rPr>
        <w:t>g</w:t>
      </w:r>
      <w:r w:rsidRPr="00B608B7">
        <w:rPr>
          <w:rFonts w:cstheme="minorHAnsi"/>
        </w:rPr>
        <w:t>een meerderheid zeggenschap in de ANBI door een familie</w:t>
      </w:r>
    </w:p>
    <w:p w:rsidRPr="00314731" w:rsidR="003D54AE" w:rsidP="00314731" w:rsidRDefault="003D54AE" w14:paraId="4295E862" w14:textId="77777777">
      <w:pPr>
        <w:spacing w:line="276" w:lineRule="auto"/>
      </w:pPr>
      <w:r w:rsidRPr="00314731">
        <w:t xml:space="preserve">Uitgangspunt bij deze optie is dat familieleden onvoldoende onafhankelijk zouden </w:t>
      </w:r>
      <w:r w:rsidRPr="00314731" w:rsidR="008F575D">
        <w:t xml:space="preserve">kunnen </w:t>
      </w:r>
      <w:r w:rsidRPr="00314731">
        <w:t>opereren in een bestuur waardoor de facto één persoon de zeggenschap kan hebben</w:t>
      </w:r>
      <w:r w:rsidRPr="00314731" w:rsidR="008F575D">
        <w:t xml:space="preserve"> of een particulier (familie-)belang wordt </w:t>
      </w:r>
      <w:r w:rsidRPr="00314731" w:rsidR="00912B1A">
        <w:t>behartig</w:t>
      </w:r>
      <w:r w:rsidRPr="00314731" w:rsidR="006B3800">
        <w:t>d</w:t>
      </w:r>
      <w:r w:rsidRPr="00314731" w:rsidR="008F575D">
        <w:t>.</w:t>
      </w:r>
      <w:r w:rsidRPr="00314731">
        <w:t xml:space="preserve"> </w:t>
      </w:r>
      <w:r w:rsidRPr="00314731" w:rsidR="008F575D">
        <w:t xml:space="preserve">In dat geval voldoet de organisatie op grond van de huidige wet- en regelgeving </w:t>
      </w:r>
      <w:proofErr w:type="gramStart"/>
      <w:r w:rsidRPr="00314731" w:rsidR="008F575D">
        <w:t>reeds</w:t>
      </w:r>
      <w:proofErr w:type="gramEnd"/>
      <w:r w:rsidRPr="00314731" w:rsidR="008F575D">
        <w:t xml:space="preserve"> niet aan de ANBI-voorwaarden, maar deze situaties zijn lastig te </w:t>
      </w:r>
      <w:r w:rsidRPr="00314731" w:rsidR="00912B1A">
        <w:t>handhaven</w:t>
      </w:r>
      <w:r w:rsidRPr="00314731" w:rsidR="008F575D">
        <w:t xml:space="preserve">. </w:t>
      </w:r>
      <w:r w:rsidRPr="00314731" w:rsidR="00912B1A">
        <w:t>Dit pleit voor</w:t>
      </w:r>
      <w:r w:rsidR="003A2E11">
        <w:t xml:space="preserve"> de</w:t>
      </w:r>
      <w:r w:rsidRPr="00314731" w:rsidR="00912B1A">
        <w:t xml:space="preserve"> invoering van dit vereiste. Tegelijkertijd betekent</w:t>
      </w:r>
      <w:r w:rsidRPr="00314731" w:rsidR="008F575D">
        <w:t xml:space="preserve"> een </w:t>
      </w:r>
      <w:r w:rsidRPr="00314731" w:rsidR="00D172DD">
        <w:t>beleidsbepalend orgaan</w:t>
      </w:r>
      <w:r w:rsidRPr="00314731" w:rsidR="008F575D">
        <w:t xml:space="preserve"> van een organisatie waarin familieleden een meerderheid vertegenwoordig</w:t>
      </w:r>
      <w:r w:rsidRPr="00314731" w:rsidR="00D172DD">
        <w:t>en</w:t>
      </w:r>
      <w:r w:rsidRPr="00314731" w:rsidR="008F575D">
        <w:t xml:space="preserve"> niet dat de organisatie niet uitsluitend of vrijwel uitsluitend het algemeen nut </w:t>
      </w:r>
      <w:r w:rsidRPr="00314731" w:rsidR="00912B1A">
        <w:t>kan beogen</w:t>
      </w:r>
      <w:r w:rsidRPr="00314731" w:rsidR="008F575D">
        <w:t xml:space="preserve"> en </w:t>
      </w:r>
      <w:r w:rsidRPr="00314731" w:rsidR="00912B1A">
        <w:t>behartigen</w:t>
      </w:r>
      <w:r w:rsidRPr="00314731" w:rsidR="008F575D">
        <w:t xml:space="preserve">. Dit is afhankelijk van de feiten en omstandigheden van het geval. </w:t>
      </w:r>
      <w:r w:rsidRPr="00314731" w:rsidR="00D4228D">
        <w:t xml:space="preserve">Als alle familieleden </w:t>
      </w:r>
      <w:r w:rsidRPr="00314731" w:rsidR="00A1396E">
        <w:t xml:space="preserve">evenveel </w:t>
      </w:r>
      <w:r w:rsidRPr="00314731" w:rsidR="00D4228D">
        <w:t>stem</w:t>
      </w:r>
      <w:r w:rsidRPr="00314731" w:rsidR="00A1396E">
        <w:t xml:space="preserve">recht </w:t>
      </w:r>
      <w:r w:rsidRPr="00314731" w:rsidR="00D4228D">
        <w:t xml:space="preserve">hebben, </w:t>
      </w:r>
      <w:r w:rsidRPr="00314731" w:rsidR="0042517F">
        <w:t xml:space="preserve">zou </w:t>
      </w:r>
      <w:r w:rsidRPr="00314731" w:rsidR="00A1396E">
        <w:t>k</w:t>
      </w:r>
      <w:r w:rsidRPr="00314731" w:rsidR="0042517F">
        <w:t>unne</w:t>
      </w:r>
      <w:r w:rsidRPr="00314731" w:rsidR="00A1396E">
        <w:t xml:space="preserve">n worden </w:t>
      </w:r>
      <w:r w:rsidRPr="00314731" w:rsidR="009A12F1">
        <w:t>gesteld</w:t>
      </w:r>
      <w:r w:rsidRPr="00314731" w:rsidR="00A1396E">
        <w:t xml:space="preserve"> </w:t>
      </w:r>
      <w:r w:rsidRPr="00314731">
        <w:t xml:space="preserve">dat een kritisch familielid onafhankelijker is dan een derde die vaak ook zal worden aangezocht door de zittende bestuursleden. Bij een keuze voor deze optie is het </w:t>
      </w:r>
      <w:r w:rsidRPr="00314731" w:rsidR="00A1396E">
        <w:t>voorts</w:t>
      </w:r>
      <w:r w:rsidRPr="00314731" w:rsidR="009A12F1">
        <w:t xml:space="preserve"> van belang dat familiebanden </w:t>
      </w:r>
      <w:r w:rsidRPr="00314731" w:rsidR="00060198">
        <w:t xml:space="preserve">moeten </w:t>
      </w:r>
      <w:r w:rsidRPr="00314731" w:rsidR="009A12F1">
        <w:t>worden afgebakend (</w:t>
      </w:r>
      <w:r w:rsidRPr="00314731">
        <w:t>alleen bloedverwanten of ook aanverwanten</w:t>
      </w:r>
      <w:r w:rsidRPr="00314731" w:rsidR="009A12F1">
        <w:t xml:space="preserve"> en</w:t>
      </w:r>
      <w:r w:rsidRPr="00314731">
        <w:t xml:space="preserve"> tot </w:t>
      </w:r>
      <w:r w:rsidRPr="00314731" w:rsidR="009A12F1">
        <w:t>welke graad</w:t>
      </w:r>
      <w:r w:rsidRPr="00314731" w:rsidR="00060198">
        <w:t>, partners</w:t>
      </w:r>
      <w:r w:rsidRPr="00314731" w:rsidR="009A12F1">
        <w:t>?)</w:t>
      </w:r>
      <w:r w:rsidR="00F3327A">
        <w:t>.</w:t>
      </w:r>
      <w:r w:rsidRPr="00314731" w:rsidR="005C73E6">
        <w:t xml:space="preserve"> </w:t>
      </w:r>
      <w:r w:rsidRPr="00314731" w:rsidR="008A076D">
        <w:t>Deze maatregel leidt er</w:t>
      </w:r>
      <w:r w:rsidRPr="00314731" w:rsidR="00D172DD">
        <w:t xml:space="preserve"> in voorkomende gevallen </w:t>
      </w:r>
      <w:r w:rsidRPr="00314731" w:rsidR="008A076D">
        <w:t>toe dat ANBI’s</w:t>
      </w:r>
      <w:r w:rsidRPr="00314731" w:rsidR="005C73E6">
        <w:t xml:space="preserve"> </w:t>
      </w:r>
      <w:r w:rsidRPr="00314731" w:rsidR="008A076D">
        <w:t>onder andere</w:t>
      </w:r>
      <w:r w:rsidRPr="00314731" w:rsidR="005C73E6">
        <w:t xml:space="preserve"> de statuten </w:t>
      </w:r>
      <w:r w:rsidRPr="00314731" w:rsidR="008A076D">
        <w:t>moeten aanpassen</w:t>
      </w:r>
      <w:r w:rsidRPr="00314731" w:rsidR="005C73E6">
        <w:t xml:space="preserve"> en </w:t>
      </w:r>
      <w:r w:rsidRPr="00314731" w:rsidR="00D172DD">
        <w:t>de samenstelling van het beleidsbepalend orgaan</w:t>
      </w:r>
      <w:r w:rsidRPr="00314731" w:rsidR="008A076D">
        <w:t xml:space="preserve"> moet</w:t>
      </w:r>
      <w:r w:rsidRPr="00314731" w:rsidR="00D172DD">
        <w:t>en</w:t>
      </w:r>
      <w:r w:rsidRPr="00314731" w:rsidR="008A076D">
        <w:t xml:space="preserve"> </w:t>
      </w:r>
      <w:r w:rsidRPr="00314731" w:rsidR="00D172DD">
        <w:t>wijzigen</w:t>
      </w:r>
      <w:r w:rsidRPr="00314731" w:rsidR="005C73E6">
        <w:t xml:space="preserve">. </w:t>
      </w:r>
      <w:r w:rsidRPr="00314731" w:rsidR="008A076D">
        <w:t xml:space="preserve">Het vinden van andere </w:t>
      </w:r>
      <w:r w:rsidRPr="00314731" w:rsidR="00D172DD">
        <w:t xml:space="preserve">geschikte </w:t>
      </w:r>
      <w:r w:rsidRPr="00314731" w:rsidR="008A076D">
        <w:t>bestuurders</w:t>
      </w:r>
      <w:r w:rsidRPr="00314731" w:rsidR="00D172DD">
        <w:t>/beleidsbepalers</w:t>
      </w:r>
      <w:r w:rsidRPr="00314731" w:rsidR="00060198">
        <w:t xml:space="preserve"> (in een eventuele raad van toezicht of raad van commissarissen)</w:t>
      </w:r>
      <w:r w:rsidRPr="00314731" w:rsidR="008A076D">
        <w:t xml:space="preserve"> is lastig, zeker voor kleinere organisaties. Overwogen kan worden om dit vereiste enkel voor ANBI’s met een bepaalde omvang </w:t>
      </w:r>
      <w:r w:rsidRPr="00314731" w:rsidR="008A076D">
        <w:lastRenderedPageBreak/>
        <w:t xml:space="preserve">(bijvoorbeeld met een ANBI-vermogen van meer dan € </w:t>
      </w:r>
      <w:r w:rsidRPr="00314731" w:rsidR="001A6562">
        <w:t>100.000 of een ANBI die verplicht is de standaardformulieren voor de internetpublicatie te gebruiken</w:t>
      </w:r>
      <w:r w:rsidRPr="00314731" w:rsidR="008A076D">
        <w:t xml:space="preserve">) te </w:t>
      </w:r>
      <w:r w:rsidRPr="00314731" w:rsidR="004A192D">
        <w:t>laten</w:t>
      </w:r>
      <w:r w:rsidRPr="00314731" w:rsidR="008A076D">
        <w:t xml:space="preserve"> gelden.</w:t>
      </w:r>
      <w:r w:rsidR="003C7B46">
        <w:t xml:space="preserve"> </w:t>
      </w:r>
    </w:p>
    <w:p w:rsidRPr="00314731" w:rsidR="003D54AE" w:rsidP="00314731" w:rsidRDefault="003D54AE" w14:paraId="0C00DD6F" w14:textId="77777777">
      <w:pPr>
        <w:spacing w:line="276" w:lineRule="auto"/>
      </w:pPr>
    </w:p>
    <w:p w:rsidRPr="00B608B7" w:rsidR="003D54AE" w:rsidP="00314731" w:rsidRDefault="00B608B7" w14:paraId="183B9909" w14:textId="77777777">
      <w:pPr>
        <w:spacing w:line="276" w:lineRule="auto"/>
      </w:pPr>
      <w:r w:rsidRPr="00B608B7">
        <w:t xml:space="preserve">Optie 2: </w:t>
      </w:r>
      <w:r w:rsidRPr="00B608B7">
        <w:rPr>
          <w:rFonts w:cstheme="minorHAnsi"/>
        </w:rPr>
        <w:t xml:space="preserve">een minimumaantal bestuurders bij </w:t>
      </w:r>
      <w:proofErr w:type="spellStart"/>
      <w:r w:rsidRPr="00B608B7">
        <w:rPr>
          <w:rFonts w:cstheme="minorHAnsi"/>
        </w:rPr>
        <w:t>ANBI’s</w:t>
      </w:r>
      <w:proofErr w:type="spellEnd"/>
      <w:r w:rsidRPr="00B608B7">
        <w:rPr>
          <w:rFonts w:cstheme="minorHAnsi"/>
        </w:rPr>
        <w:t xml:space="preserve"> </w:t>
      </w:r>
    </w:p>
    <w:p w:rsidRPr="00314731" w:rsidR="00A1396E" w:rsidP="00314731" w:rsidRDefault="003D54AE" w14:paraId="416A9A1A" w14:textId="77777777">
      <w:pPr>
        <w:spacing w:line="276" w:lineRule="auto"/>
      </w:pPr>
      <w:r w:rsidRPr="00314731">
        <w:t xml:space="preserve">Een minimumaantal bestuurders voor elke ANBI zou drie </w:t>
      </w:r>
      <w:r w:rsidRPr="00314731" w:rsidR="00185A5A">
        <w:t>bestuursleden</w:t>
      </w:r>
      <w:r w:rsidRPr="00314731">
        <w:t xml:space="preserve"> kunnen zijn. </w:t>
      </w:r>
      <w:r w:rsidRPr="00314731" w:rsidR="001A6562">
        <w:t>Ee</w:t>
      </w:r>
      <w:r w:rsidRPr="00314731">
        <w:t xml:space="preserve">n getalsmatig minimum kan leiden tot een </w:t>
      </w:r>
      <w:r w:rsidRPr="00314731" w:rsidR="006B3800">
        <w:t xml:space="preserve">meer </w:t>
      </w:r>
      <w:r w:rsidRPr="00314731" w:rsidR="00FF7992">
        <w:t>verbeterde</w:t>
      </w:r>
      <w:r w:rsidRPr="00314731">
        <w:t xml:space="preserve"> </w:t>
      </w:r>
      <w:r w:rsidRPr="00314731" w:rsidR="0005094B">
        <w:t>onafhankelijk</w:t>
      </w:r>
      <w:r w:rsidRPr="00314731" w:rsidR="00FF7992">
        <w:t>e sturing v</w:t>
      </w:r>
      <w:r w:rsidRPr="00314731">
        <w:t>an de instelling.</w:t>
      </w:r>
      <w:r w:rsidRPr="00314731" w:rsidR="00FF7992">
        <w:t xml:space="preserve"> Ook is e</w:t>
      </w:r>
      <w:r w:rsidRPr="00314731">
        <w:t xml:space="preserve">en verplicht minimumaantal bestuursleden gemakkelijker te controleren voor de Belastingdienst dan </w:t>
      </w:r>
      <w:r w:rsidRPr="00314731" w:rsidR="008A076D">
        <w:t>op grond van het huidig beschikkingsmachtcriterium</w:t>
      </w:r>
      <w:r w:rsidRPr="00314731" w:rsidR="00FF7992">
        <w:t xml:space="preserve">, omdat </w:t>
      </w:r>
      <w:r w:rsidRPr="00314731" w:rsidR="005B1199">
        <w:t>nu</w:t>
      </w:r>
      <w:r w:rsidRPr="00314731" w:rsidR="008A076D">
        <w:t xml:space="preserve"> per</w:t>
      </w:r>
      <w:r w:rsidRPr="00314731" w:rsidR="00B87ECC">
        <w:t xml:space="preserve"> </w:t>
      </w:r>
      <w:r w:rsidRPr="00314731">
        <w:t xml:space="preserve">ANBI </w:t>
      </w:r>
      <w:r w:rsidRPr="00314731" w:rsidR="00FF7992">
        <w:t>de</w:t>
      </w:r>
      <w:r w:rsidRPr="00314731">
        <w:t xml:space="preserve"> feitelijke </w:t>
      </w:r>
      <w:r w:rsidRPr="00314731" w:rsidR="00FF7992">
        <w:t>situatie moet worden nagegaan</w:t>
      </w:r>
      <w:r w:rsidRPr="00314731">
        <w:t>. Het aantal bestuursleden volgt</w:t>
      </w:r>
      <w:r w:rsidRPr="00314731" w:rsidR="00FF7992">
        <w:t xml:space="preserve"> daarentegen</w:t>
      </w:r>
      <w:r w:rsidRPr="00314731">
        <w:t xml:space="preserve"> uit de jaarlijkse publicatieplicht en blijkt uit de inschrijving bij de Kamer van Koophandel. </w:t>
      </w:r>
      <w:r w:rsidRPr="00314731" w:rsidR="00FF7992">
        <w:t xml:space="preserve">Tegelijkertijd laat een minimumaantal bestuursleden geen ruimte over voor maatwerk. </w:t>
      </w:r>
      <w:r w:rsidRPr="00314731" w:rsidR="005978AB">
        <w:t>O</w:t>
      </w:r>
      <w:r w:rsidRPr="00314731" w:rsidR="005B1199">
        <w:t>ok o</w:t>
      </w:r>
      <w:r w:rsidRPr="00314731" w:rsidR="005978AB">
        <w:t>rganisaties</w:t>
      </w:r>
      <w:r w:rsidRPr="00314731" w:rsidR="00FF7992">
        <w:t xml:space="preserve"> met een bestuur van minder dan drie bestuursleden </w:t>
      </w:r>
      <w:r w:rsidRPr="00314731" w:rsidR="005978AB">
        <w:t xml:space="preserve">kunnen </w:t>
      </w:r>
      <w:r w:rsidRPr="00314731" w:rsidR="00FF7992">
        <w:t xml:space="preserve">uitsluitend of </w:t>
      </w:r>
      <w:r w:rsidRPr="00314731" w:rsidR="006B3800">
        <w:t>nagenoeg</w:t>
      </w:r>
      <w:r w:rsidRPr="00314731" w:rsidR="005978AB">
        <w:t xml:space="preserve"> uitsluitend </w:t>
      </w:r>
      <w:r w:rsidRPr="00314731" w:rsidR="00FF7992">
        <w:t>het algemeen nut</w:t>
      </w:r>
      <w:r w:rsidRPr="00314731" w:rsidR="005978AB">
        <w:t xml:space="preserve"> beogen en behartigen. Een klein bestuur hoeft niet te betekenen dat er een particulier belang wordt behartigd. Ook </w:t>
      </w:r>
      <w:r w:rsidRPr="00314731">
        <w:t>zou een verplicht minimumaantal bestuursleden per ANBI tot (eenmalige) extra administratieve lasten voor instellingen leiden die momenteel nog niet aan dit minimum voldoen</w:t>
      </w:r>
      <w:r w:rsidRPr="00314731" w:rsidR="00DD7EAF">
        <w:t xml:space="preserve">. </w:t>
      </w:r>
      <w:r w:rsidR="004004C5">
        <w:t>Daarnaast heeft het</w:t>
      </w:r>
      <w:r w:rsidRPr="00314731" w:rsidR="00894E00">
        <w:t xml:space="preserve"> </w:t>
      </w:r>
      <w:r w:rsidRPr="00314731" w:rsidR="004A192D">
        <w:t xml:space="preserve">CIO </w:t>
      </w:r>
      <w:r w:rsidRPr="00314731" w:rsidR="00894E00">
        <w:t xml:space="preserve">aangegeven nog te bezien hoe een eis van minimaal drie bestuursleden zich </w:t>
      </w:r>
      <w:r w:rsidR="007377FA">
        <w:t xml:space="preserve">zou </w:t>
      </w:r>
      <w:r w:rsidRPr="00314731" w:rsidR="00894E00">
        <w:t>verhoud</w:t>
      </w:r>
      <w:r w:rsidR="007377FA">
        <w:t>en</w:t>
      </w:r>
      <w:r w:rsidRPr="00314731" w:rsidR="00894E00">
        <w:t xml:space="preserve"> tot </w:t>
      </w:r>
      <w:r w:rsidRPr="00314731" w:rsidR="004A192D">
        <w:t xml:space="preserve">de inrichtingsvrijheid </w:t>
      </w:r>
      <w:r w:rsidRPr="00314731" w:rsidR="00894E00">
        <w:t xml:space="preserve">voor kerkelijke genootschappen </w:t>
      </w:r>
      <w:r w:rsidRPr="00314731" w:rsidR="004A192D">
        <w:t>op grond van art. 2:2 Burgerlijk Wetboek</w:t>
      </w:r>
      <w:r w:rsidRPr="00314731" w:rsidR="000F3DD3">
        <w:t xml:space="preserve"> (BW)</w:t>
      </w:r>
      <w:r w:rsidRPr="00314731" w:rsidR="00894E00">
        <w:t>.</w:t>
      </w:r>
      <w:r w:rsidRPr="00314731" w:rsidR="004A192D">
        <w:t> </w:t>
      </w:r>
      <w:r w:rsidRPr="00314731" w:rsidR="005978AB">
        <w:t xml:space="preserve">Ook bij deze optie kan eventueel overwogen worden om dit vereiste enkel voor ANBI’s met een bepaalde omvang (bijvoorbeeld met een ANBI-vermogen van meer dan € </w:t>
      </w:r>
      <w:r w:rsidRPr="00314731" w:rsidR="00A96908">
        <w:t>100.000 of een ANBI die verplicht is de standaardformulieren voor de internetpublicatie te gebruiken</w:t>
      </w:r>
      <w:r w:rsidRPr="00314731" w:rsidR="005978AB">
        <w:t>) te doen gelden.</w:t>
      </w:r>
      <w:r w:rsidR="003C7B46">
        <w:t xml:space="preserve"> </w:t>
      </w:r>
      <w:r w:rsidRPr="00314731" w:rsidR="005978AB">
        <w:t xml:space="preserve"> </w:t>
      </w:r>
    </w:p>
    <w:p w:rsidRPr="00314731" w:rsidR="005B1199" w:rsidP="00314731" w:rsidRDefault="005B1199" w14:paraId="31A6BB40" w14:textId="77777777">
      <w:pPr>
        <w:spacing w:line="276" w:lineRule="auto"/>
      </w:pPr>
    </w:p>
    <w:p w:rsidRPr="00314731" w:rsidR="0040127A" w:rsidP="00314731" w:rsidRDefault="004004C5" w14:paraId="646A5DFD" w14:textId="77777777">
      <w:pPr>
        <w:spacing w:line="276" w:lineRule="auto"/>
      </w:pPr>
      <w:r>
        <w:t>B</w:t>
      </w:r>
      <w:r w:rsidRPr="00314731" w:rsidR="0042517F">
        <w:t xml:space="preserve">ijna 10% van alle ANBI-stichtingen (32.600) heeft slechts één of twee bestuurders (3.000). Dit kan ertoe leiden dat niet aan het beschikkingsmachtcriterium wordt voldaan. </w:t>
      </w:r>
      <w:proofErr w:type="gramStart"/>
      <w:r w:rsidRPr="00314731" w:rsidR="00E254F8">
        <w:t>Teneinde</w:t>
      </w:r>
      <w:proofErr w:type="gramEnd"/>
      <w:r w:rsidRPr="00314731" w:rsidR="00E254F8">
        <w:t xml:space="preserve"> de regeldruk niet onnodig te vergroten, stel ik voor</w:t>
      </w:r>
      <w:r w:rsidR="00E254F8">
        <w:t xml:space="preserve"> vooralsnog het beschikkingsmachtcriterium </w:t>
      </w:r>
      <w:r w:rsidR="007377FA">
        <w:t xml:space="preserve">niet </w:t>
      </w:r>
      <w:r w:rsidR="00E254F8">
        <w:t xml:space="preserve">aan te scherpen. </w:t>
      </w:r>
      <w:r w:rsidR="00140ACD">
        <w:t>Het betreft namelijk een relatief kleine groep ANBI’s die mogelijk niet aan het huidig</w:t>
      </w:r>
      <w:r w:rsidRPr="00140ACD" w:rsidR="00140ACD">
        <w:t xml:space="preserve"> </w:t>
      </w:r>
      <w:r w:rsidR="00140ACD">
        <w:t>beschikkingsmachtcriterium voldoet. Omdat dit diverse redenen kan hebben</w:t>
      </w:r>
      <w:r w:rsidR="003A2E11">
        <w:t>,</w:t>
      </w:r>
      <w:r w:rsidR="00140ACD">
        <w:t xml:space="preserve"> zal </w:t>
      </w:r>
      <w:proofErr w:type="gramStart"/>
      <w:r w:rsidR="00140ACD">
        <w:t>mijn inziens</w:t>
      </w:r>
      <w:proofErr w:type="gramEnd"/>
      <w:r w:rsidR="00140ACD">
        <w:t xml:space="preserve"> het aanscherpen van de wettelijke criteria niet effectief zijn. De bereidheid om compliant te zijn lijkt er namelijk wel te zijn. </w:t>
      </w:r>
    </w:p>
    <w:p w:rsidRPr="00314731" w:rsidR="00FE4F79" w:rsidP="00314731" w:rsidRDefault="00437F6C" w14:paraId="5FA4A7A6" w14:textId="4A049957">
      <w:pPr>
        <w:spacing w:line="276" w:lineRule="auto"/>
      </w:pPr>
      <w:r w:rsidRPr="00314731">
        <w:br/>
      </w:r>
      <w:r w:rsidR="004D6F02">
        <w:rPr>
          <w:b/>
          <w:bCs/>
        </w:rPr>
        <w:t>5</w:t>
      </w:r>
      <w:r w:rsidRPr="00314731" w:rsidR="00F13EA7">
        <w:rPr>
          <w:b/>
          <w:bCs/>
        </w:rPr>
        <w:t>.</w:t>
      </w:r>
      <w:r w:rsidR="003C7B46">
        <w:rPr>
          <w:b/>
          <w:bCs/>
        </w:rPr>
        <w:t xml:space="preserve"> </w:t>
      </w:r>
      <w:r w:rsidRPr="00314731" w:rsidR="00F13EA7">
        <w:rPr>
          <w:b/>
          <w:bCs/>
        </w:rPr>
        <w:t xml:space="preserve"> </w:t>
      </w:r>
      <w:r w:rsidRPr="00314731" w:rsidR="001C0E58">
        <w:rPr>
          <w:b/>
          <w:bCs/>
        </w:rPr>
        <w:t>NSW</w:t>
      </w:r>
      <w:r w:rsidRPr="00314731" w:rsidR="006A7305">
        <w:rPr>
          <w:b/>
          <w:bCs/>
        </w:rPr>
        <w:t>-</w:t>
      </w:r>
      <w:r w:rsidRPr="00314731" w:rsidR="001C0E58">
        <w:rPr>
          <w:b/>
          <w:bCs/>
        </w:rPr>
        <w:t>landgoederen in een ANBI</w:t>
      </w:r>
    </w:p>
    <w:p w:rsidR="001C0E58" w:rsidP="00314731" w:rsidRDefault="001C0E58" w14:paraId="4AC064FE" w14:textId="77777777">
      <w:pPr>
        <w:spacing w:line="276" w:lineRule="auto"/>
      </w:pPr>
      <w:r w:rsidRPr="00314731">
        <w:t xml:space="preserve">In de </w:t>
      </w:r>
      <w:r w:rsidRPr="00314731" w:rsidR="005324FB">
        <w:t xml:space="preserve">kabinetsreactie </w:t>
      </w:r>
      <w:r w:rsidRPr="00314731">
        <w:t xml:space="preserve">van 1 juli jl. is </w:t>
      </w:r>
      <w:r w:rsidRPr="00314731" w:rsidR="00C1721C">
        <w:t xml:space="preserve">naar aanleiding van het rapport familiestichtingen </w:t>
      </w:r>
      <w:r w:rsidRPr="00314731">
        <w:t xml:space="preserve">een situatie beschreven waarbij een NSW-landgoed in een ANBI is geplaatst. Daarbij kan van de giftenaftrek gebruik worden gemaakt als aan de voorwaarden daarvoor is voldaan. </w:t>
      </w:r>
      <w:r w:rsidRPr="00314731" w:rsidR="00C1721C">
        <w:rPr>
          <w:rFonts w:cs="Arial"/>
        </w:rPr>
        <w:t xml:space="preserve">Er kan een zeker spanningsveld ontstaan, indien de voormalige eigenaren van het landgoed gerechtigd blijven om op het landgoed te blijven wonen (bijvoorbeeld op grond van een eeuwigdurende huurovereenkomst) en zij het landgoed nog als hun (familie)bezit zien. Dat komt doordat de kern van de ANBI-regeling is dat een ANBI het algemeen nut moet beogen en voor ten minste 90% moet dienen. Dit </w:t>
      </w:r>
      <w:r w:rsidR="006E7D30">
        <w:rPr>
          <w:rFonts w:cs="Arial"/>
        </w:rPr>
        <w:t>betekent</w:t>
      </w:r>
      <w:r w:rsidRPr="00314731" w:rsidR="00C1721C">
        <w:rPr>
          <w:rFonts w:cs="Arial"/>
        </w:rPr>
        <w:t xml:space="preserve"> dat </w:t>
      </w:r>
      <w:r w:rsidR="006E7D30">
        <w:rPr>
          <w:rFonts w:cs="Arial"/>
        </w:rPr>
        <w:t xml:space="preserve">er </w:t>
      </w:r>
      <w:r w:rsidRPr="00314731" w:rsidR="00C1721C">
        <w:rPr>
          <w:rFonts w:cs="Arial"/>
        </w:rPr>
        <w:t xml:space="preserve">voor minder dan 10% sprake mag zijn van een particulier belang. Zoals in de kabinetsreactie van 1 juli </w:t>
      </w:r>
      <w:r w:rsidRPr="00314731" w:rsidR="006D6B38">
        <w:rPr>
          <w:rFonts w:cs="Arial"/>
        </w:rPr>
        <w:t xml:space="preserve">2025 </w:t>
      </w:r>
      <w:r w:rsidRPr="00314731" w:rsidR="00C1721C">
        <w:rPr>
          <w:rFonts w:cs="Arial"/>
        </w:rPr>
        <w:t>is vermeld, wordt d</w:t>
      </w:r>
      <w:r w:rsidRPr="00314731" w:rsidR="00C1721C">
        <w:t>eze situatie momenteel diepgaander bezien, niet alleen om de voor- en nadelen in kaart te brengen maar ook vanuit de handhaving door de Belastingdienst. Met de resultaten daarvan kan een afweging worden gemaakt of wettelijke aanpassingen wenselijk</w:t>
      </w:r>
      <w:r w:rsidRPr="00314731" w:rsidR="006F45AC">
        <w:t xml:space="preserve"> en </w:t>
      </w:r>
      <w:r w:rsidRPr="00314731" w:rsidR="00C1721C">
        <w:t xml:space="preserve">noodzakelijk </w:t>
      </w:r>
      <w:r w:rsidRPr="00314731" w:rsidR="0042517F">
        <w:t>zijn</w:t>
      </w:r>
      <w:r w:rsidRPr="00314731" w:rsidR="00C1721C">
        <w:t xml:space="preserve">. Ik </w:t>
      </w:r>
      <w:r w:rsidRPr="00314731" w:rsidR="00C1721C">
        <w:lastRenderedPageBreak/>
        <w:t xml:space="preserve">verwacht dat de </w:t>
      </w:r>
      <w:r w:rsidRPr="00314731" w:rsidR="00CB65B3">
        <w:t xml:space="preserve">eerste </w:t>
      </w:r>
      <w:r w:rsidRPr="00314731" w:rsidR="00C1721C">
        <w:t>resultaten van dit onderzoek in de tweede helft van 2026 bekend zullen zijn.</w:t>
      </w:r>
      <w:r w:rsidRPr="00314731" w:rsidR="00BB248C">
        <w:t xml:space="preserve"> Hiermee </w:t>
      </w:r>
      <w:r w:rsidRPr="00314731" w:rsidR="00FF31F5">
        <w:t xml:space="preserve">wordt </w:t>
      </w:r>
      <w:proofErr w:type="gramStart"/>
      <w:r w:rsidRPr="00314731" w:rsidR="00BB248C">
        <w:t>tevens</w:t>
      </w:r>
      <w:proofErr w:type="gramEnd"/>
      <w:r w:rsidRPr="00314731" w:rsidR="00BB248C">
        <w:t xml:space="preserve"> </w:t>
      </w:r>
      <w:r w:rsidRPr="00314731" w:rsidR="00FF31F5">
        <w:t>uitvoering</w:t>
      </w:r>
      <w:r w:rsidRPr="00314731" w:rsidR="00BB248C">
        <w:t xml:space="preserve"> gegeven aan de motie </w:t>
      </w:r>
      <w:proofErr w:type="spellStart"/>
      <w:r w:rsidRPr="00314731" w:rsidR="00BB248C">
        <w:t>Stultiens</w:t>
      </w:r>
      <w:proofErr w:type="spellEnd"/>
      <w:r w:rsidRPr="00314731" w:rsidR="00BB248C">
        <w:t xml:space="preserve"> en Dijk over het versturen van beleidsopties naar uw Kamer om</w:t>
      </w:r>
      <w:r w:rsidR="003C7B46">
        <w:t xml:space="preserve"> </w:t>
      </w:r>
      <w:r w:rsidRPr="00314731" w:rsidR="00BB248C">
        <w:t>in het rapport genoemde belastingconstructie</w:t>
      </w:r>
      <w:r w:rsidRPr="00314731" w:rsidR="00FF31F5">
        <w:t>s</w:t>
      </w:r>
      <w:r w:rsidRPr="00314731" w:rsidR="00BB248C">
        <w:t xml:space="preserve"> tegen te gaan.</w:t>
      </w:r>
      <w:r w:rsidRPr="00314731" w:rsidR="001F13FC">
        <w:rPr>
          <w:rStyle w:val="Voetnootmarkering"/>
        </w:rPr>
        <w:footnoteReference w:id="26"/>
      </w:r>
      <w:r w:rsidRPr="00314731" w:rsidR="00BB248C">
        <w:t xml:space="preserve"> </w:t>
      </w:r>
    </w:p>
    <w:p w:rsidRPr="005D02F0" w:rsidR="00F17BCC" w:rsidP="00314731" w:rsidRDefault="00F17BCC" w14:paraId="51EF4E5F" w14:textId="77777777">
      <w:pPr>
        <w:spacing w:line="276" w:lineRule="auto"/>
      </w:pPr>
    </w:p>
    <w:p w:rsidRPr="004D6F02" w:rsidR="001C0E58" w:rsidP="004D6F02" w:rsidRDefault="001C0E58" w14:paraId="649E7424" w14:textId="42EABD39">
      <w:pPr>
        <w:pStyle w:val="Lijstalinea"/>
        <w:numPr>
          <w:ilvl w:val="0"/>
          <w:numId w:val="43"/>
        </w:numPr>
        <w:spacing w:line="276" w:lineRule="auto"/>
        <w:rPr>
          <w:b/>
          <w:bCs/>
        </w:rPr>
      </w:pPr>
      <w:r w:rsidRPr="004D6F02">
        <w:rPr>
          <w:b/>
          <w:bCs/>
        </w:rPr>
        <w:t>Verplichtingen voormalige ANBI’s</w:t>
      </w:r>
    </w:p>
    <w:p w:rsidRPr="00314731" w:rsidR="00227D45" w:rsidP="00314731" w:rsidRDefault="003A73C1" w14:paraId="2DDA7CEB" w14:textId="77777777">
      <w:pPr>
        <w:spacing w:line="276" w:lineRule="auto"/>
      </w:pPr>
      <w:r w:rsidRPr="00314731">
        <w:t xml:space="preserve">De ANBI-status heeft een aantal fiscale voordelen. </w:t>
      </w:r>
      <w:r w:rsidRPr="00314731" w:rsidR="00973344">
        <w:t xml:space="preserve">Daarbij hoort ook een aantal voorwaarden zoals </w:t>
      </w:r>
      <w:r w:rsidRPr="00314731" w:rsidR="00B7116A">
        <w:t xml:space="preserve">het vereiste dat het vermogen </w:t>
      </w:r>
      <w:r w:rsidRPr="00314731" w:rsidR="00973344">
        <w:t xml:space="preserve">geheel of nagenoeg geheel aan het algemeen nut </w:t>
      </w:r>
      <w:r w:rsidRPr="00314731" w:rsidR="00B7116A">
        <w:t>moet worden besteed</w:t>
      </w:r>
      <w:r w:rsidRPr="00314731" w:rsidR="00973344">
        <w:t>.</w:t>
      </w:r>
      <w:r w:rsidRPr="00314731" w:rsidR="00973344">
        <w:rPr>
          <w:rStyle w:val="Voetnootmarkering"/>
        </w:rPr>
        <w:footnoteReference w:id="27"/>
      </w:r>
      <w:r w:rsidRPr="00314731" w:rsidR="00973344">
        <w:t xml:space="preserve"> </w:t>
      </w:r>
      <w:r w:rsidRPr="00314731">
        <w:t>Als de ANBI-status van een instelling</w:t>
      </w:r>
      <w:r w:rsidRPr="00314731" w:rsidR="00501F76">
        <w:t xml:space="preserve"> door de Belastingdienst</w:t>
      </w:r>
      <w:r w:rsidRPr="00314731">
        <w:t xml:space="preserve"> is ingetrokken, kan de</w:t>
      </w:r>
      <w:r w:rsidRPr="00314731" w:rsidR="0086560F">
        <w:t>ze</w:t>
      </w:r>
      <w:r w:rsidRPr="00314731" w:rsidR="00501F76">
        <w:t xml:space="preserve"> </w:t>
      </w:r>
      <w:r w:rsidRPr="00314731">
        <w:t>geen gebruik meer maken van de voordelen</w:t>
      </w:r>
      <w:r w:rsidRPr="00314731" w:rsidR="00C575E7">
        <w:t xml:space="preserve"> en hoeft niet meer te worden voldaan aan de ANBI-voorwaarden</w:t>
      </w:r>
      <w:r w:rsidRPr="00314731" w:rsidR="00501F76">
        <w:t xml:space="preserve">. </w:t>
      </w:r>
      <w:r w:rsidRPr="00314731" w:rsidR="0086560F">
        <w:t xml:space="preserve">Voor instellingen </w:t>
      </w:r>
      <w:r w:rsidRPr="00314731" w:rsidR="003D3E79">
        <w:t>waarvan de</w:t>
      </w:r>
      <w:r w:rsidRPr="00314731" w:rsidR="0086560F">
        <w:t xml:space="preserve"> ANBI-status is ingetrokken </w:t>
      </w:r>
      <w:r w:rsidRPr="00314731" w:rsidR="00501F76">
        <w:t xml:space="preserve">geldt </w:t>
      </w:r>
      <w:r w:rsidR="005D02F0">
        <w:t xml:space="preserve">wel nog </w:t>
      </w:r>
      <w:r w:rsidRPr="00314731" w:rsidR="00501F76">
        <w:t>een informatieverplichting (renseigneringsverplichting</w:t>
      </w:r>
      <w:r w:rsidRPr="00314731" w:rsidR="00760318">
        <w:rPr>
          <w:rStyle w:val="Voetnootmarkering"/>
        </w:rPr>
        <w:footnoteReference w:id="28"/>
      </w:r>
      <w:r w:rsidRPr="00314731" w:rsidR="00501F76">
        <w:t>) zolang het ANBI-vermogen van de voormalige ANBI € 25.000 of meer bedraagt.</w:t>
      </w:r>
      <w:r w:rsidRPr="00314731" w:rsidR="000306EB">
        <w:rPr>
          <w:rStyle w:val="Voetnootmarkering"/>
        </w:rPr>
        <w:footnoteReference w:id="29"/>
      </w:r>
      <w:r w:rsidRPr="00314731" w:rsidR="00501F76">
        <w:t xml:space="preserve"> </w:t>
      </w:r>
      <w:r w:rsidRPr="00314731" w:rsidR="00B120C2">
        <w:t>Het niet, niet tijdig, onjuist of onvolledig verstrekken van de gegevens en inlichtingen wordt aangemerkt als een overtreding.</w:t>
      </w:r>
      <w:r w:rsidRPr="00314731" w:rsidR="00B120C2">
        <w:rPr>
          <w:rStyle w:val="Voetnootmarkering"/>
        </w:rPr>
        <w:footnoteReference w:id="30"/>
      </w:r>
      <w:r w:rsidRPr="00314731" w:rsidR="00EF5B0B">
        <w:t xml:space="preserve"> </w:t>
      </w:r>
      <w:r w:rsidRPr="00314731" w:rsidR="00540C72">
        <w:t>Indien deze overtreding te wijten is aan opzet of grove schuld van de voormalige ANBI, vormt het een vergrijp ter zake waarvan de Belastingdienst een bestuurlijke boete van ten hoogste € 27.500 kan opleggen.</w:t>
      </w:r>
      <w:r w:rsidRPr="00314731" w:rsidR="00540C72">
        <w:rPr>
          <w:rStyle w:val="Voetnootmarkering"/>
        </w:rPr>
        <w:footnoteReference w:id="31"/>
      </w:r>
    </w:p>
    <w:p w:rsidRPr="00314731" w:rsidR="00540C72" w:rsidP="00314731" w:rsidRDefault="00F3327A" w14:paraId="31F7162B" w14:textId="77777777">
      <w:pPr>
        <w:spacing w:line="276" w:lineRule="auto"/>
      </w:pPr>
      <w:r>
        <w:t>I</w:t>
      </w:r>
      <w:r w:rsidRPr="00314731" w:rsidR="00540C72">
        <w:t xml:space="preserve">n </w:t>
      </w:r>
      <w:r w:rsidRPr="00017B8F" w:rsidR="00540C72">
        <w:t>de praktijk</w:t>
      </w:r>
      <w:r w:rsidRPr="00017B8F" w:rsidR="00CB65B3">
        <w:t xml:space="preserve"> </w:t>
      </w:r>
      <w:r w:rsidRPr="00017B8F">
        <w:t xml:space="preserve">is het vaak lastig een dergelijke </w:t>
      </w:r>
      <w:r w:rsidRPr="00017B8F" w:rsidR="0075127D">
        <w:t>boete op</w:t>
      </w:r>
      <w:r w:rsidRPr="00017B8F">
        <w:t xml:space="preserve"> te leggen,</w:t>
      </w:r>
      <w:r w:rsidRPr="00017B8F" w:rsidR="0075127D">
        <w:t xml:space="preserve"> omdat </w:t>
      </w:r>
      <w:r w:rsidRPr="00017B8F" w:rsidR="007377FA">
        <w:t>(vergrijp)</w:t>
      </w:r>
      <w:r w:rsidRPr="00017B8F">
        <w:t>boete</w:t>
      </w:r>
      <w:r w:rsidRPr="00017B8F">
        <w:noBreakHyphen/>
        <w:t>onderzoek</w:t>
      </w:r>
      <w:r w:rsidRPr="00017B8F" w:rsidR="0075127D">
        <w:t xml:space="preserve"> een arbeidsintensief traject is</w:t>
      </w:r>
      <w:r w:rsidRPr="00017B8F" w:rsidR="007377FA">
        <w:t>.</w:t>
      </w:r>
      <w:r w:rsidRPr="00017B8F" w:rsidR="0075127D">
        <w:t xml:space="preserve"> </w:t>
      </w:r>
    </w:p>
    <w:p w:rsidRPr="00314731" w:rsidR="00540C72" w:rsidP="00314731" w:rsidRDefault="00540C72" w14:paraId="6F1A3E71" w14:textId="77777777">
      <w:pPr>
        <w:spacing w:line="276" w:lineRule="auto"/>
      </w:pPr>
    </w:p>
    <w:p w:rsidRPr="00314731" w:rsidR="00A13A6A" w:rsidP="00314731" w:rsidRDefault="00501F76" w14:paraId="5CDA788C" w14:textId="77777777">
      <w:pPr>
        <w:spacing w:line="276" w:lineRule="auto"/>
      </w:pPr>
      <w:r w:rsidRPr="00314731">
        <w:t xml:space="preserve">De reden voor invoering van deze </w:t>
      </w:r>
      <w:r w:rsidRPr="00314731" w:rsidR="00540C72">
        <w:t>informatie</w:t>
      </w:r>
      <w:r w:rsidRPr="00314731">
        <w:t xml:space="preserve">verplichting was dat </w:t>
      </w:r>
      <w:r w:rsidRPr="00314731" w:rsidR="00A16849">
        <w:t xml:space="preserve">schenkingen door voormalige ANBI’s in beginsel belast zijn met schenkbelasting en dit mogelijk niet voor elke voormalige ANBI en voor de ontvanger van een schenking </w:t>
      </w:r>
      <w:r w:rsidRPr="00314731" w:rsidR="00F7580B">
        <w:t xml:space="preserve">afkomstig van die voormalige ANBI </w:t>
      </w:r>
      <w:r w:rsidRPr="00314731" w:rsidR="00A16849">
        <w:t>vanzelfsprekend is.</w:t>
      </w:r>
      <w:r w:rsidRPr="00314731" w:rsidR="00A16849">
        <w:rPr>
          <w:rStyle w:val="Voetnootmarkering"/>
        </w:rPr>
        <w:footnoteReference w:id="32"/>
      </w:r>
      <w:r w:rsidRPr="00314731">
        <w:t xml:space="preserve"> </w:t>
      </w:r>
      <w:r w:rsidRPr="00314731" w:rsidR="000B5907">
        <w:t>In de literatuur wordt</w:t>
      </w:r>
      <w:r w:rsidRPr="00314731" w:rsidR="00BC4A83">
        <w:t xml:space="preserve"> tegen deze verplichting</w:t>
      </w:r>
      <w:r w:rsidRPr="00314731" w:rsidR="000B5907">
        <w:t xml:space="preserve"> wisselend aangekeken</w:t>
      </w:r>
      <w:r w:rsidRPr="00314731" w:rsidR="007847A2">
        <w:t xml:space="preserve">. Sommige </w:t>
      </w:r>
      <w:r w:rsidRPr="00314731">
        <w:t xml:space="preserve">auteurs achten deze </w:t>
      </w:r>
      <w:r w:rsidRPr="00314731" w:rsidR="000B5907">
        <w:t xml:space="preserve">verplichting </w:t>
      </w:r>
      <w:r w:rsidRPr="00314731">
        <w:t>overbodig</w:t>
      </w:r>
      <w:r w:rsidRPr="00314731" w:rsidR="00BC4A83">
        <w:t xml:space="preserve"> </w:t>
      </w:r>
      <w:r w:rsidRPr="00314731" w:rsidR="00752D41">
        <w:t xml:space="preserve">en wijzen erop dat bij andere schenkingen niet </w:t>
      </w:r>
      <w:r w:rsidR="007377FA">
        <w:t>een dergelijke</w:t>
      </w:r>
      <w:r w:rsidRPr="00314731" w:rsidR="007377FA">
        <w:t xml:space="preserve"> </w:t>
      </w:r>
      <w:r w:rsidRPr="00314731" w:rsidR="00752D41">
        <w:t>verplichting geldt</w:t>
      </w:r>
      <w:r w:rsidRPr="00314731" w:rsidR="001F13FC">
        <w:t>.</w:t>
      </w:r>
      <w:r w:rsidRPr="00314731" w:rsidR="00BC4A83">
        <w:t xml:space="preserve"> </w:t>
      </w:r>
      <w:r w:rsidRPr="00314731" w:rsidR="00A16849">
        <w:t xml:space="preserve">Daarnaast wordt als </w:t>
      </w:r>
      <w:r w:rsidRPr="00314731" w:rsidR="003300A3">
        <w:t>b</w:t>
      </w:r>
      <w:r w:rsidRPr="00314731" w:rsidR="000B5907">
        <w:t>ezwaar</w:t>
      </w:r>
      <w:r w:rsidRPr="00314731" w:rsidR="00A16849">
        <w:t xml:space="preserve"> genoemd</w:t>
      </w:r>
      <w:r w:rsidRPr="00314731" w:rsidR="000B5907">
        <w:t xml:space="preserve"> dat de informatieverplichting alleen geldt voor in Nederland gevestigde voormalige ANBI’s.</w:t>
      </w:r>
      <w:r w:rsidRPr="00314731" w:rsidR="00BA5434">
        <w:rPr>
          <w:rStyle w:val="Voetnootmarkering"/>
        </w:rPr>
        <w:footnoteReference w:id="33"/>
      </w:r>
      <w:r w:rsidRPr="00314731" w:rsidR="000B5907">
        <w:t xml:space="preserve"> </w:t>
      </w:r>
      <w:r w:rsidRPr="00314731" w:rsidR="00CB33C0">
        <w:t xml:space="preserve">Indien de </w:t>
      </w:r>
      <w:r w:rsidRPr="00314731" w:rsidR="00BF7009">
        <w:t xml:space="preserve">voormalige ANBI in </w:t>
      </w:r>
      <w:r w:rsidRPr="00314731" w:rsidR="00CB33C0">
        <w:t xml:space="preserve">het buitenland </w:t>
      </w:r>
      <w:r w:rsidRPr="00314731" w:rsidR="00BF7009">
        <w:t>is gevestigd</w:t>
      </w:r>
      <w:r w:rsidRPr="00314731" w:rsidR="00CB33C0">
        <w:t>, is de informatieverplichting niet van toepassing. De reden daarvan is dat</w:t>
      </w:r>
      <w:r w:rsidRPr="00314731" w:rsidR="000B5907">
        <w:t xml:space="preserve"> </w:t>
      </w:r>
      <w:r w:rsidRPr="00314731" w:rsidR="00A76FB3">
        <w:t>schenkingen</w:t>
      </w:r>
      <w:r w:rsidRPr="00314731" w:rsidR="0075127D">
        <w:t xml:space="preserve"> </w:t>
      </w:r>
      <w:r w:rsidRPr="00314731" w:rsidR="00EC07E5">
        <w:t xml:space="preserve">van instellingen slechts </w:t>
      </w:r>
      <w:r w:rsidRPr="00314731" w:rsidR="000B5907">
        <w:t>onder de schenkbelasting kunnen vallen</w:t>
      </w:r>
      <w:r w:rsidRPr="00314731" w:rsidR="00EC07E5">
        <w:t xml:space="preserve"> als deze in Nederland zijn gevestigd</w:t>
      </w:r>
      <w:r w:rsidRPr="00314731" w:rsidR="000B5907">
        <w:t>.</w:t>
      </w:r>
      <w:r w:rsidRPr="00314731" w:rsidR="00BF7009">
        <w:rPr>
          <w:rStyle w:val="Voetnootmarkering"/>
        </w:rPr>
        <w:footnoteReference w:id="34"/>
      </w:r>
      <w:r w:rsidRPr="00314731" w:rsidR="00EC07E5">
        <w:t xml:space="preserve"> </w:t>
      </w:r>
    </w:p>
    <w:p w:rsidRPr="00314731" w:rsidR="00A13A6A" w:rsidP="00314731" w:rsidRDefault="00A13A6A" w14:paraId="444F8AAB" w14:textId="77777777">
      <w:pPr>
        <w:spacing w:line="276" w:lineRule="auto"/>
      </w:pPr>
    </w:p>
    <w:p w:rsidRPr="00314731" w:rsidR="00CB33C0" w:rsidP="00314731" w:rsidRDefault="00CB33C0" w14:paraId="3A87ACF8" w14:textId="77777777">
      <w:pPr>
        <w:spacing w:line="276" w:lineRule="auto"/>
      </w:pPr>
      <w:r w:rsidRPr="00314731">
        <w:t>Ook</w:t>
      </w:r>
      <w:r w:rsidRPr="00314731" w:rsidR="003300A3">
        <w:t xml:space="preserve"> </w:t>
      </w:r>
      <w:r w:rsidRPr="00314731">
        <w:t xml:space="preserve">constateert de </w:t>
      </w:r>
      <w:r w:rsidRPr="00314731" w:rsidR="003300A3">
        <w:t xml:space="preserve">Belastingdienst dat </w:t>
      </w:r>
      <w:r w:rsidRPr="00314731" w:rsidR="000B5907">
        <w:t>in enkele gevallen</w:t>
      </w:r>
      <w:r w:rsidRPr="00314731" w:rsidR="003300A3">
        <w:t>, in het bijzonder bij familiestichtingen,</w:t>
      </w:r>
      <w:r w:rsidRPr="00314731" w:rsidR="000B5907">
        <w:t xml:space="preserve"> de ANBI-status op verzoek van de instelling is ingetrokken kort nadat van fiscale voordelen gebruik is gemaakt.</w:t>
      </w:r>
      <w:r w:rsidRPr="00314731" w:rsidR="003300A3">
        <w:rPr>
          <w:rStyle w:val="Voetnootmarkering"/>
        </w:rPr>
        <w:footnoteReference w:id="35"/>
      </w:r>
      <w:r w:rsidRPr="00314731" w:rsidR="001F13FC">
        <w:t xml:space="preserve"> </w:t>
      </w:r>
      <w:r w:rsidRPr="00314731">
        <w:t xml:space="preserve">De onderzoekers concluderen </w:t>
      </w:r>
      <w:r w:rsidRPr="00314731" w:rsidR="000B5907">
        <w:lastRenderedPageBreak/>
        <w:t xml:space="preserve">dat </w:t>
      </w:r>
      <w:r w:rsidRPr="00314731" w:rsidR="00BF7009">
        <w:t>d</w:t>
      </w:r>
      <w:r w:rsidRPr="00314731" w:rsidR="00501F76">
        <w:t xml:space="preserve">e informatieverplichting </w:t>
      </w:r>
      <w:r w:rsidRPr="00314731">
        <w:t>niet altijd een effectief middel</w:t>
      </w:r>
      <w:r w:rsidRPr="00314731" w:rsidR="00501F76">
        <w:t xml:space="preserve"> </w:t>
      </w:r>
      <w:r w:rsidRPr="00314731" w:rsidR="00BF7009">
        <w:t xml:space="preserve">is </w:t>
      </w:r>
      <w:r w:rsidRPr="00314731" w:rsidR="00501F76">
        <w:t xml:space="preserve">om </w:t>
      </w:r>
      <w:r w:rsidRPr="00314731">
        <w:t xml:space="preserve">ervoor </w:t>
      </w:r>
      <w:r w:rsidRPr="00314731" w:rsidR="00501F76">
        <w:t xml:space="preserve">te zorgen dat in alle situaties het voormalige ANBI-vermogen algemeen nuttig wordt besteed. </w:t>
      </w:r>
      <w:r w:rsidRPr="00314731">
        <w:t xml:space="preserve">Het ANBI-vermogen kan </w:t>
      </w:r>
      <w:r w:rsidRPr="00314731" w:rsidR="00DF166A">
        <w:t xml:space="preserve">aan een </w:t>
      </w:r>
      <w:r w:rsidRPr="00314731">
        <w:t xml:space="preserve">niet algemeen nuttig </w:t>
      </w:r>
      <w:r w:rsidRPr="00314731" w:rsidR="00DF166A">
        <w:t xml:space="preserve">doel </w:t>
      </w:r>
      <w:r w:rsidRPr="00314731">
        <w:t>worden besteed of onbeperkt</w:t>
      </w:r>
      <w:r w:rsidRPr="00314731" w:rsidR="00013AFF">
        <w:t xml:space="preserve"> lang</w:t>
      </w:r>
      <w:r w:rsidRPr="00314731">
        <w:t xml:space="preserve"> in de voormalige ANBI blijven zitten.</w:t>
      </w:r>
      <w:r w:rsidRPr="00314731" w:rsidR="00013AFF">
        <w:t xml:space="preserve"> </w:t>
      </w:r>
    </w:p>
    <w:p w:rsidRPr="00314731" w:rsidR="0075127D" w:rsidP="00314731" w:rsidRDefault="0075127D" w14:paraId="020380B0" w14:textId="77777777">
      <w:pPr>
        <w:spacing w:line="276" w:lineRule="auto"/>
      </w:pPr>
    </w:p>
    <w:p w:rsidRPr="00314731" w:rsidR="00221BD7" w:rsidP="00314731" w:rsidRDefault="006E79BD" w14:paraId="5B6C8434" w14:textId="77777777">
      <w:pPr>
        <w:spacing w:line="276" w:lineRule="auto"/>
      </w:pPr>
      <w:r w:rsidRPr="00314731">
        <w:t xml:space="preserve">Deze conclusies met betrekking tot </w:t>
      </w:r>
      <w:r w:rsidRPr="00314731" w:rsidR="003300A3">
        <w:t xml:space="preserve">de informatieverplichting </w:t>
      </w:r>
      <w:r w:rsidRPr="00314731">
        <w:t xml:space="preserve">roepen </w:t>
      </w:r>
      <w:r w:rsidRPr="00314731" w:rsidR="000306EB">
        <w:t xml:space="preserve">de vraag op of het mogelijk is om de verplichtingen voor </w:t>
      </w:r>
      <w:r w:rsidRPr="00314731" w:rsidR="00BE5160">
        <w:t xml:space="preserve">voormalige </w:t>
      </w:r>
      <w:r w:rsidRPr="00314731" w:rsidR="000306EB">
        <w:t>ANBI</w:t>
      </w:r>
      <w:r w:rsidRPr="00314731" w:rsidR="00D54F05">
        <w:t>’</w:t>
      </w:r>
      <w:r w:rsidRPr="00314731" w:rsidR="000306EB">
        <w:t xml:space="preserve">s </w:t>
      </w:r>
      <w:r w:rsidRPr="00314731" w:rsidR="00D54F05">
        <w:t>zo vorm te geven dat gewaarborgd wordt dat het vermogen ook na intrekking van de ANBI-status</w:t>
      </w:r>
      <w:r w:rsidRPr="00314731" w:rsidR="000306EB">
        <w:t xml:space="preserve"> algemeen nuttig </w:t>
      </w:r>
      <w:r w:rsidRPr="00314731" w:rsidR="00D54F05">
        <w:t xml:space="preserve">wordt </w:t>
      </w:r>
      <w:r w:rsidRPr="00314731" w:rsidR="000306EB">
        <w:t>beste</w:t>
      </w:r>
      <w:r w:rsidRPr="00314731" w:rsidR="00D54F05">
        <w:t>ed</w:t>
      </w:r>
      <w:r w:rsidRPr="00314731" w:rsidR="000306EB">
        <w:t xml:space="preserve">. </w:t>
      </w:r>
      <w:r w:rsidRPr="00314731" w:rsidR="00F43BB6">
        <w:t xml:space="preserve">In de kabinetsreactie van 1 juli 2025 heeft mijn ambtsvoorganger </w:t>
      </w:r>
      <w:r w:rsidRPr="00314731" w:rsidR="000306EB">
        <w:t xml:space="preserve">daarom </w:t>
      </w:r>
      <w:r w:rsidRPr="00314731" w:rsidR="00F43BB6">
        <w:t xml:space="preserve">aangekondigd om in overleg met de filantropiesector te onderzoeken </w:t>
      </w:r>
      <w:r w:rsidRPr="00314731" w:rsidR="00FE4F79">
        <w:t xml:space="preserve">op welke wijze de verplichtingen voor voormalige ANBI’s het beste kunnen worden aangescherpt en uw Kamer zo snel mogelijk over de uitkomsten informeren. </w:t>
      </w:r>
      <w:r w:rsidRPr="00314731" w:rsidR="00574382">
        <w:t xml:space="preserve">Hierbij </w:t>
      </w:r>
      <w:r w:rsidRPr="00314731" w:rsidR="00E326D2">
        <w:t xml:space="preserve">is hij </w:t>
      </w:r>
      <w:r w:rsidRPr="00314731" w:rsidR="00574382">
        <w:t>uitgegaan van de drie aanpassingsmogelijkheden die in de evaluatie zijn opgenomen:</w:t>
      </w:r>
    </w:p>
    <w:p w:rsidRPr="00314731" w:rsidR="00D23487" w:rsidP="00314731" w:rsidRDefault="00D23487" w14:paraId="6D18956F" w14:textId="77777777">
      <w:pPr>
        <w:pStyle w:val="Lijstalinea"/>
        <w:numPr>
          <w:ilvl w:val="0"/>
          <w:numId w:val="24"/>
        </w:numPr>
        <w:spacing w:line="276" w:lineRule="auto"/>
      </w:pPr>
      <w:bookmarkStart w:name="_Hlk211590482" w:id="6"/>
      <w:r w:rsidRPr="00314731">
        <w:t xml:space="preserve">Het verplichten van alle voormalige ANBI’s om het ANBI-vermogen binnen een afzienbare tijd aan algemeen nuttige doelstellingen te besteden. </w:t>
      </w:r>
    </w:p>
    <w:p w:rsidRPr="00314731" w:rsidR="00221BD7" w:rsidP="00314731" w:rsidRDefault="00574382" w14:paraId="6329AC4C" w14:textId="77777777">
      <w:pPr>
        <w:pStyle w:val="Lijstalinea"/>
        <w:numPr>
          <w:ilvl w:val="0"/>
          <w:numId w:val="24"/>
        </w:numPr>
        <w:spacing w:line="276" w:lineRule="auto"/>
      </w:pPr>
      <w:r w:rsidRPr="00314731">
        <w:t xml:space="preserve">Het invoeren van een fiscale eindheffing bij het verlies van de ANBI-status. Hierbij kan ervoor worden gekozen om deze heffing achterwege te laten </w:t>
      </w:r>
      <w:proofErr w:type="gramStart"/>
      <w:r w:rsidRPr="00314731">
        <w:t>indien</w:t>
      </w:r>
      <w:proofErr w:type="gramEnd"/>
      <w:r w:rsidRPr="00314731">
        <w:t xml:space="preserve"> de </w:t>
      </w:r>
      <w:r w:rsidRPr="00314731" w:rsidR="005324FB">
        <w:t xml:space="preserve">voormalige ANBI </w:t>
      </w:r>
      <w:r w:rsidRPr="00314731">
        <w:t xml:space="preserve">het ANBI-vermogen aan een andere ANBI uitkeert of in het kader van het algemeen nut besteedt. </w:t>
      </w:r>
    </w:p>
    <w:p w:rsidRPr="00314731" w:rsidR="00574382" w:rsidP="00314731" w:rsidRDefault="00574382" w14:paraId="50C3CBE1" w14:textId="77777777">
      <w:pPr>
        <w:pStyle w:val="Lijstalinea"/>
        <w:numPr>
          <w:ilvl w:val="0"/>
          <w:numId w:val="24"/>
        </w:numPr>
        <w:spacing w:line="276" w:lineRule="auto"/>
      </w:pPr>
      <w:r w:rsidRPr="00314731">
        <w:t>Invoeren van een algemene belastingplicht voor stichtingen en verenigingen</w:t>
      </w:r>
      <w:r w:rsidRPr="00314731" w:rsidR="001A0DB9">
        <w:t>.</w:t>
      </w:r>
      <w:r w:rsidRPr="00314731">
        <w:t xml:space="preserve"> Dit betreft een alternatief voor de informatieplicht. </w:t>
      </w:r>
    </w:p>
    <w:p w:rsidRPr="00314731" w:rsidR="00574382" w:rsidP="00314731" w:rsidRDefault="00574382" w14:paraId="027162A4" w14:textId="77777777">
      <w:pPr>
        <w:spacing w:line="276" w:lineRule="auto"/>
      </w:pPr>
    </w:p>
    <w:p w:rsidRPr="00DF10C6" w:rsidR="00CD6842" w:rsidP="00314731" w:rsidRDefault="00CD6842" w14:paraId="52E1D045" w14:textId="77777777">
      <w:pPr>
        <w:spacing w:line="276" w:lineRule="auto"/>
        <w:rPr>
          <w:i/>
          <w:iCs/>
        </w:rPr>
      </w:pPr>
      <w:r w:rsidRPr="00DF10C6">
        <w:rPr>
          <w:i/>
          <w:iCs/>
        </w:rPr>
        <w:t>Populatie voormalige ANBI’s</w:t>
      </w:r>
    </w:p>
    <w:p w:rsidRPr="00314731" w:rsidR="00A86B6E" w:rsidP="00314731" w:rsidRDefault="00A86B6E" w14:paraId="3BFFC4BB" w14:textId="77777777">
      <w:pPr>
        <w:spacing w:line="276" w:lineRule="auto"/>
      </w:pPr>
      <w:r w:rsidRPr="00314731">
        <w:t xml:space="preserve">Voordat wordt ingegaan op de eerste twee opties, wordt ingezoomd op de populatie van voormalige ANBI’s. </w:t>
      </w:r>
      <w:r w:rsidRPr="00314731" w:rsidR="008129F5">
        <w:t xml:space="preserve">Volgens een recente, nadere analyse van de Belastingdienst hebben in de periode 2020-2023 jaarlijks 1.050 tot 1.450 instellingen de ANBI-status verloren. In de periode 2020-2023 ligt het aantal voormalige </w:t>
      </w:r>
      <w:proofErr w:type="spellStart"/>
      <w:r w:rsidRPr="00314731" w:rsidR="008129F5">
        <w:t>ANBI’s</w:t>
      </w:r>
      <w:proofErr w:type="spellEnd"/>
      <w:r w:rsidRPr="00314731" w:rsidR="008129F5">
        <w:t xml:space="preserve"> dat </w:t>
      </w:r>
      <w:proofErr w:type="spellStart"/>
      <w:r w:rsidRPr="00314731" w:rsidR="008129F5">
        <w:t>informatieplichtig</w:t>
      </w:r>
      <w:proofErr w:type="spellEnd"/>
      <w:r w:rsidRPr="00314731" w:rsidR="008129F5">
        <w:t xml:space="preserve"> is in de meeste jaren rond de 2.100.</w:t>
      </w:r>
      <w:r w:rsidRPr="00314731" w:rsidR="008129F5">
        <w:rPr>
          <w:rStyle w:val="Voetnootmarkering"/>
        </w:rPr>
        <w:footnoteReference w:id="36"/>
      </w:r>
      <w:r w:rsidRPr="00314731" w:rsidR="003F5302">
        <w:t xml:space="preserve"> </w:t>
      </w:r>
      <w:r w:rsidRPr="00314731">
        <w:t xml:space="preserve">Uit </w:t>
      </w:r>
      <w:r w:rsidRPr="00314731" w:rsidR="003F5302">
        <w:t xml:space="preserve">die </w:t>
      </w:r>
      <w:r w:rsidRPr="00314731">
        <w:t xml:space="preserve">analyse blijkt </w:t>
      </w:r>
      <w:r w:rsidRPr="00314731" w:rsidR="003F5302">
        <w:t xml:space="preserve">ook </w:t>
      </w:r>
      <w:r w:rsidRPr="00314731">
        <w:t xml:space="preserve">dat </w:t>
      </w:r>
      <w:r w:rsidRPr="00314731" w:rsidR="002748AF">
        <w:t xml:space="preserve">er over de periode 2013 tot en met 2024 8.069 voormalige ANBI’s waren die gedurende één kalenderjaar </w:t>
      </w:r>
      <w:proofErr w:type="spellStart"/>
      <w:r w:rsidRPr="00314731" w:rsidR="002748AF">
        <w:t>informatieplichtig</w:t>
      </w:r>
      <w:proofErr w:type="spellEnd"/>
      <w:r w:rsidRPr="00314731" w:rsidR="002748AF">
        <w:t xml:space="preserve"> waren en 1.260 voormalige ANBI’s die gedurende meer dan één kalenderjaar </w:t>
      </w:r>
      <w:proofErr w:type="spellStart"/>
      <w:r w:rsidRPr="00314731" w:rsidR="002748AF">
        <w:t>informatieplichtig</w:t>
      </w:r>
      <w:proofErr w:type="spellEnd"/>
      <w:r w:rsidRPr="00314731" w:rsidR="002748AF">
        <w:t xml:space="preserve"> waren. Vanaf 201</w:t>
      </w:r>
      <w:r w:rsidRPr="00314731" w:rsidR="00CD6842">
        <w:t>8</w:t>
      </w:r>
      <w:r w:rsidRPr="00314731" w:rsidR="002748AF">
        <w:t xml:space="preserve"> is een jaarlijkse daling van tussen de 5% en 10% ten opzichte van het jaar van ontstaan van de informatieplicht te zien bij de voormalige ANBI’s die gedurende meer dan één kalenderjaar </w:t>
      </w:r>
      <w:proofErr w:type="spellStart"/>
      <w:r w:rsidRPr="00314731" w:rsidR="002748AF">
        <w:t>informatieplichtig</w:t>
      </w:r>
      <w:proofErr w:type="spellEnd"/>
      <w:r w:rsidRPr="00314731" w:rsidR="002748AF">
        <w:t xml:space="preserve"> waren. Het is opmerkelijk dat een </w:t>
      </w:r>
      <w:r w:rsidRPr="00314731" w:rsidR="000D1AF4">
        <w:t xml:space="preserve">substantieel </w:t>
      </w:r>
      <w:r w:rsidRPr="00314731" w:rsidR="002748AF">
        <w:t>deel van de groep voormalige ANBI</w:t>
      </w:r>
      <w:r w:rsidRPr="00314731" w:rsidR="000D1AF4">
        <w:t>’</w:t>
      </w:r>
      <w:r w:rsidRPr="00314731" w:rsidR="002748AF">
        <w:t xml:space="preserve">s </w:t>
      </w:r>
      <w:r w:rsidRPr="00314731" w:rsidR="000D1AF4">
        <w:t xml:space="preserve">in de eerste jaren als voormalige ANBI </w:t>
      </w:r>
      <w:r w:rsidRPr="00314731" w:rsidR="002748AF">
        <w:t xml:space="preserve">geen uitgaven </w:t>
      </w:r>
      <w:r w:rsidRPr="00314731" w:rsidR="000F3DD3">
        <w:t xml:space="preserve">aan een </w:t>
      </w:r>
      <w:r w:rsidRPr="00314731" w:rsidR="002748AF">
        <w:t xml:space="preserve">algemeen </w:t>
      </w:r>
      <w:r w:rsidRPr="00314731" w:rsidR="00F72290">
        <w:t>nuttig</w:t>
      </w:r>
      <w:r w:rsidRPr="00314731" w:rsidR="000F3DD3">
        <w:t xml:space="preserve"> doel heeft </w:t>
      </w:r>
      <w:r w:rsidRPr="00314731" w:rsidR="00CD6842">
        <w:t>gedaan</w:t>
      </w:r>
      <w:r w:rsidRPr="00314731" w:rsidR="002748AF">
        <w:t xml:space="preserve"> en een deel geen </w:t>
      </w:r>
      <w:proofErr w:type="spellStart"/>
      <w:r w:rsidRPr="00314731" w:rsidR="002748AF">
        <w:t>beheersuitgaven</w:t>
      </w:r>
      <w:proofErr w:type="spellEnd"/>
      <w:r w:rsidRPr="00314731" w:rsidR="002748AF">
        <w:t xml:space="preserve"> heeft</w:t>
      </w:r>
      <w:r w:rsidR="009F4072">
        <w:t>.</w:t>
      </w:r>
      <w:r w:rsidRPr="00314731" w:rsidR="00CD6842">
        <w:t xml:space="preserve"> </w:t>
      </w:r>
      <w:r w:rsidR="009F4072">
        <w:t>D</w:t>
      </w:r>
      <w:r w:rsidRPr="00314731" w:rsidR="00CD6842">
        <w:t xml:space="preserve">it kan ertoe leiden dat </w:t>
      </w:r>
      <w:r w:rsidRPr="00314731" w:rsidR="006B1CB5">
        <w:t xml:space="preserve">een deel van </w:t>
      </w:r>
      <w:r w:rsidRPr="00314731" w:rsidR="00CD6842">
        <w:t>deze voormalige ANBI’s tot in de lengte der dagen onder de informatieverplichting blijven vallen</w:t>
      </w:r>
      <w:r w:rsidRPr="00314731" w:rsidR="002748AF">
        <w:t>. Het merendeel van de voormalige ANBI</w:t>
      </w:r>
      <w:r w:rsidRPr="00314731" w:rsidR="00F10D02">
        <w:t>’</w:t>
      </w:r>
      <w:r w:rsidRPr="00314731" w:rsidR="002748AF">
        <w:t xml:space="preserve">s </w:t>
      </w:r>
      <w:r w:rsidRPr="00314731" w:rsidR="00F10D02">
        <w:t xml:space="preserve">onder de informatieverplichting bevindt zich in de categorie welzijn, cultuur of ontwikkelingssamenwerking. Voor de jaren 2023, 2024 en 2025 is </w:t>
      </w:r>
      <w:r w:rsidR="005D02F0">
        <w:t xml:space="preserve">ook </w:t>
      </w:r>
      <w:r w:rsidRPr="00314731" w:rsidR="00F10D02">
        <w:t xml:space="preserve">de reden van de intrekking nagegaan. Bijna 60% van de intrekkingen betreft ontbindingen (inclusief fusies), 28% volgt na toezicht (inclusief </w:t>
      </w:r>
      <w:r w:rsidR="009F4072">
        <w:t xml:space="preserve">toezicht op </w:t>
      </w:r>
      <w:r w:rsidRPr="00314731" w:rsidR="00F10D02">
        <w:t xml:space="preserve">de publicatieplicht) </w:t>
      </w:r>
      <w:r w:rsidRPr="00314731" w:rsidR="00F10D02">
        <w:lastRenderedPageBreak/>
        <w:t>van de Belastingdienst</w:t>
      </w:r>
      <w:r w:rsidRPr="00314731" w:rsidR="000D1AF4">
        <w:rPr>
          <w:rStyle w:val="Voetnootmarkering"/>
        </w:rPr>
        <w:footnoteReference w:id="37"/>
      </w:r>
      <w:r w:rsidRPr="00314731" w:rsidR="00F10D02">
        <w:t xml:space="preserve"> en 15% betreft intrekking op</w:t>
      </w:r>
      <w:r w:rsidR="003C7B46">
        <w:t xml:space="preserve"> </w:t>
      </w:r>
      <w:r w:rsidRPr="00314731" w:rsidR="00F10D02">
        <w:t xml:space="preserve">verzoek </w:t>
      </w:r>
      <w:r w:rsidRPr="00314731" w:rsidR="008F762B">
        <w:t>van</w:t>
      </w:r>
      <w:r w:rsidRPr="00314731" w:rsidR="00F10D02">
        <w:t xml:space="preserve"> de </w:t>
      </w:r>
      <w:r w:rsidRPr="00314731" w:rsidR="008F762B">
        <w:t>instelling</w:t>
      </w:r>
      <w:r w:rsidRPr="00314731" w:rsidR="000F3DD3">
        <w:t>.</w:t>
      </w:r>
      <w:r w:rsidRPr="00314731" w:rsidR="00F10D02">
        <w:t xml:space="preserve"> </w:t>
      </w:r>
      <w:r w:rsidRPr="00314731" w:rsidR="00D23487">
        <w:t>Op basis van de beschikbare gegevens is echter niet te achterhalen welk soort instellingen niet aan de informatieplicht voldoen, noch welke redenen er zijn voor het niet (tijdig) naleven van deze verplichting.</w:t>
      </w:r>
      <w:r w:rsidR="003C7B46">
        <w:t xml:space="preserve"> </w:t>
      </w:r>
    </w:p>
    <w:p w:rsidRPr="00314731" w:rsidR="008F762B" w:rsidP="00314731" w:rsidRDefault="008F762B" w14:paraId="5E2B065C" w14:textId="77777777">
      <w:pPr>
        <w:spacing w:line="276" w:lineRule="auto"/>
      </w:pPr>
    </w:p>
    <w:p w:rsidRPr="00314731" w:rsidR="00F13EA7" w:rsidP="00314731" w:rsidRDefault="00F13EA7" w14:paraId="339FDBC0" w14:textId="77777777">
      <w:pPr>
        <w:spacing w:line="276" w:lineRule="auto"/>
      </w:pPr>
      <w:r w:rsidRPr="00314731">
        <w:t>Onderstaand word</w:t>
      </w:r>
      <w:r w:rsidRPr="00314731" w:rsidR="005324FB">
        <w:t>t</w:t>
      </w:r>
      <w:r w:rsidRPr="00314731">
        <w:t xml:space="preserve"> ingegaan op de eerste twee opties</w:t>
      </w:r>
      <w:r w:rsidR="009F4072">
        <w:t>.</w:t>
      </w:r>
      <w:r w:rsidRPr="00314731" w:rsidR="003117C7">
        <w:t xml:space="preserve"> De overeenkomst tussen deze twee opties is het introduceren van een zogeheten </w:t>
      </w:r>
      <w:r w:rsidR="00277716">
        <w:t>besteding</w:t>
      </w:r>
      <w:r w:rsidRPr="00314731" w:rsidR="003117C7">
        <w:t xml:space="preserve">sverplichting voor voormalige ANBI’s. Daarom zal eerst worden ingegaan op de </w:t>
      </w:r>
      <w:r w:rsidR="00FB5FB6">
        <w:t>besteding</w:t>
      </w:r>
      <w:r w:rsidRPr="00314731" w:rsidR="003117C7">
        <w:t>sverplichting.</w:t>
      </w:r>
      <w:r w:rsidRPr="00314731">
        <w:t xml:space="preserve"> </w:t>
      </w:r>
      <w:r w:rsidR="005D02F0">
        <w:t xml:space="preserve">Vervolgens zal worden ingegaan op de mogelijkheid om </w:t>
      </w:r>
      <w:r w:rsidRPr="00314731">
        <w:t xml:space="preserve">een fiscale eindheffing </w:t>
      </w:r>
      <w:r w:rsidR="005D02F0">
        <w:t>te introduceren</w:t>
      </w:r>
      <w:r w:rsidRPr="00314731">
        <w:t xml:space="preserve"> ingeval </w:t>
      </w:r>
      <w:r w:rsidRPr="00314731" w:rsidR="005324FB">
        <w:t xml:space="preserve">de </w:t>
      </w:r>
      <w:r w:rsidRPr="00314731" w:rsidR="00973344">
        <w:t xml:space="preserve">voormalige </w:t>
      </w:r>
      <w:r w:rsidRPr="00314731" w:rsidR="005324FB">
        <w:t xml:space="preserve">ANBI </w:t>
      </w:r>
      <w:r w:rsidRPr="00314731">
        <w:t xml:space="preserve">het ANBI-vermogen niet binnen een afzienbare periode aan een algemeen nuttig doel </w:t>
      </w:r>
      <w:r w:rsidRPr="00314731" w:rsidR="00D94BDA">
        <w:t xml:space="preserve">heeft </w:t>
      </w:r>
      <w:r w:rsidRPr="00314731">
        <w:t xml:space="preserve">besteed. </w:t>
      </w:r>
      <w:r w:rsidRPr="00314731" w:rsidR="00F066E6">
        <w:t xml:space="preserve">Zoals in de kabinetsreactie is aangegeven zal uw Kamer afzonderlijk geïnformeerd worden over de </w:t>
      </w:r>
      <w:r w:rsidRPr="00314731" w:rsidR="003117C7">
        <w:t xml:space="preserve">derde </w:t>
      </w:r>
      <w:r w:rsidRPr="00314731" w:rsidR="00F066E6">
        <w:t>optie om een algemene belastingplicht voor stichtingen en verenigingen in te voeren.</w:t>
      </w:r>
    </w:p>
    <w:p w:rsidRPr="00314731" w:rsidR="00F13EA7" w:rsidP="00314731" w:rsidRDefault="00F13EA7" w14:paraId="16BE36E9" w14:textId="77777777">
      <w:pPr>
        <w:spacing w:line="276" w:lineRule="auto"/>
      </w:pPr>
    </w:p>
    <w:bookmarkEnd w:id="6"/>
    <w:p w:rsidRPr="00314731" w:rsidR="00FE4F79" w:rsidP="00314731" w:rsidRDefault="00CD4889" w14:paraId="1A4D3A2D" w14:textId="77777777">
      <w:pPr>
        <w:spacing w:line="276" w:lineRule="auto"/>
      </w:pPr>
      <w:r w:rsidRPr="00314731">
        <w:rPr>
          <w:i/>
          <w:iCs/>
        </w:rPr>
        <w:t xml:space="preserve">Verkenning </w:t>
      </w:r>
      <w:r w:rsidRPr="00314731" w:rsidR="0075127D">
        <w:rPr>
          <w:i/>
          <w:iCs/>
        </w:rPr>
        <w:t>bestedingsverplichting</w:t>
      </w:r>
      <w:r w:rsidR="00277716">
        <w:rPr>
          <w:i/>
          <w:iCs/>
        </w:rPr>
        <w:t xml:space="preserve"> </w:t>
      </w:r>
      <w:r w:rsidRPr="00314731">
        <w:rPr>
          <w:i/>
          <w:iCs/>
        </w:rPr>
        <w:t>voormalige ANBI’s</w:t>
      </w:r>
    </w:p>
    <w:p w:rsidRPr="00314731" w:rsidR="00DF166A" w:rsidP="00314731" w:rsidRDefault="00760318" w14:paraId="1FBD864C" w14:textId="77777777">
      <w:pPr>
        <w:spacing w:line="276" w:lineRule="auto"/>
      </w:pPr>
      <w:r w:rsidRPr="00314731">
        <w:t xml:space="preserve">De </w:t>
      </w:r>
      <w:r w:rsidR="00277716">
        <w:t>besteding</w:t>
      </w:r>
      <w:r w:rsidRPr="00314731">
        <w:t>sverplichting in b</w:t>
      </w:r>
      <w:r w:rsidRPr="00314731" w:rsidR="009F4781">
        <w:t>eide opties beo</w:t>
      </w:r>
      <w:r w:rsidRPr="00314731">
        <w:t>o</w:t>
      </w:r>
      <w:r w:rsidRPr="00314731" w:rsidR="009F4781">
        <w:t>g</w:t>
      </w:r>
      <w:r w:rsidRPr="00314731">
        <w:t>t</w:t>
      </w:r>
      <w:r w:rsidRPr="00314731" w:rsidR="009F4781">
        <w:t xml:space="preserve"> te bewerkstelligen dat de voormalige ANBI het ANBI-vermogen binnen een afzienbare periode aan een algemeen nuttige doelstelling besteedt. </w:t>
      </w:r>
      <w:r w:rsidRPr="00314731" w:rsidR="00F948C4">
        <w:t>De</w:t>
      </w:r>
      <w:r w:rsidRPr="00314731" w:rsidR="000342D2">
        <w:t xml:space="preserve"> voorwaarde van </w:t>
      </w:r>
      <w:r w:rsidRPr="00314731" w:rsidR="00F948C4">
        <w:t xml:space="preserve">besteding </w:t>
      </w:r>
      <w:r w:rsidRPr="00314731" w:rsidR="000342D2">
        <w:t xml:space="preserve">aan een algemeen nuttige doelstelling betekent dat </w:t>
      </w:r>
      <w:r w:rsidRPr="00314731" w:rsidR="0059775C">
        <w:t xml:space="preserve">het vermogen door de instelling algemeen nuttig </w:t>
      </w:r>
      <w:r w:rsidR="006E7711">
        <w:t>moet</w:t>
      </w:r>
      <w:r w:rsidRPr="00314731" w:rsidR="0059775C">
        <w:t xml:space="preserve"> worden besteed</w:t>
      </w:r>
      <w:r w:rsidR="00277716">
        <w:t>,</w:t>
      </w:r>
      <w:r w:rsidRPr="00314731" w:rsidR="0059775C">
        <w:t xml:space="preserve"> maar ook dat </w:t>
      </w:r>
      <w:r w:rsidRPr="00314731" w:rsidR="000342D2">
        <w:t>besteding</w:t>
      </w:r>
      <w:r w:rsidR="009F4072">
        <w:t xml:space="preserve"> </w:t>
      </w:r>
      <w:r w:rsidRPr="00314731" w:rsidR="0059775C">
        <w:t xml:space="preserve">mag </w:t>
      </w:r>
      <w:r w:rsidRPr="00314731" w:rsidR="000342D2">
        <w:t xml:space="preserve">plaatsvinden </w:t>
      </w:r>
      <w:r w:rsidRPr="00314731" w:rsidR="0059775C">
        <w:t>in de vorm van</w:t>
      </w:r>
      <w:r w:rsidRPr="00314731" w:rsidR="000342D2">
        <w:t xml:space="preserve"> een uitkering </w:t>
      </w:r>
      <w:r w:rsidRPr="00314731" w:rsidR="00F948C4">
        <w:t>aan een andere ANBI</w:t>
      </w:r>
      <w:r w:rsidRPr="00314731" w:rsidR="0059775C">
        <w:t xml:space="preserve">. </w:t>
      </w:r>
      <w:r w:rsidR="001765FF">
        <w:t xml:space="preserve">Die uitkering is vrijgesteld van schenkbelasting bij de ontvanger. </w:t>
      </w:r>
      <w:r w:rsidRPr="00314731" w:rsidR="0059775C">
        <w:t>D</w:t>
      </w:r>
      <w:r w:rsidRPr="00314731" w:rsidR="005E3ABC">
        <w:t xml:space="preserve">it kan ook het geval zijn bij fusie met een ANBI of </w:t>
      </w:r>
      <w:r w:rsidRPr="00314731" w:rsidR="00A038E0">
        <w:t xml:space="preserve">ontbinding </w:t>
      </w:r>
      <w:r w:rsidRPr="00314731" w:rsidR="005E3ABC">
        <w:t>van de</w:t>
      </w:r>
      <w:r w:rsidRPr="00314731" w:rsidR="00A038E0">
        <w:t xml:space="preserve"> voormalige </w:t>
      </w:r>
      <w:r w:rsidRPr="00314731" w:rsidR="005E3ABC">
        <w:t xml:space="preserve">ANBI </w:t>
      </w:r>
      <w:r w:rsidRPr="00314731" w:rsidR="00A038E0">
        <w:t>waarbij het batig liquidatiesaldo</w:t>
      </w:r>
      <w:r w:rsidRPr="00314731" w:rsidR="007B18C1">
        <w:rPr>
          <w:rStyle w:val="Voetnootmarkering"/>
        </w:rPr>
        <w:footnoteReference w:id="38"/>
      </w:r>
      <w:r w:rsidRPr="00314731" w:rsidR="00A038E0">
        <w:t xml:space="preserve"> aan een andere ANBI toekomt</w:t>
      </w:r>
      <w:r w:rsidR="00277716">
        <w:t xml:space="preserve">. </w:t>
      </w:r>
    </w:p>
    <w:p w:rsidRPr="00314731" w:rsidR="007B18C1" w:rsidP="00314731" w:rsidRDefault="007B18C1" w14:paraId="44D5E30E" w14:textId="77777777">
      <w:pPr>
        <w:spacing w:line="276" w:lineRule="auto"/>
      </w:pPr>
    </w:p>
    <w:p w:rsidR="00314731" w:rsidRDefault="007B18C1" w14:paraId="5C747AEF" w14:textId="77777777">
      <w:pPr>
        <w:pStyle w:val="Voetnoottekst"/>
        <w:spacing w:line="276" w:lineRule="auto"/>
        <w:contextualSpacing/>
        <w:rPr>
          <w:sz w:val="18"/>
          <w:szCs w:val="18"/>
        </w:rPr>
      </w:pPr>
      <w:r w:rsidRPr="00DF10C6">
        <w:rPr>
          <w:sz w:val="18"/>
          <w:szCs w:val="18"/>
        </w:rPr>
        <w:t xml:space="preserve">Bij de </w:t>
      </w:r>
      <w:r w:rsidRPr="00DF10C6" w:rsidR="0059775C">
        <w:rPr>
          <w:sz w:val="18"/>
          <w:szCs w:val="18"/>
        </w:rPr>
        <w:t>bestedings</w:t>
      </w:r>
      <w:r w:rsidRPr="00DF10C6">
        <w:rPr>
          <w:sz w:val="18"/>
          <w:szCs w:val="18"/>
        </w:rPr>
        <w:t xml:space="preserve">verplichting </w:t>
      </w:r>
      <w:r w:rsidRPr="00DF10C6" w:rsidR="009F4781">
        <w:rPr>
          <w:sz w:val="18"/>
          <w:szCs w:val="18"/>
        </w:rPr>
        <w:t xml:space="preserve">is van belang dat </w:t>
      </w:r>
      <w:r w:rsidRPr="00DF10C6" w:rsidR="005E3ABC">
        <w:rPr>
          <w:sz w:val="18"/>
          <w:szCs w:val="18"/>
        </w:rPr>
        <w:t xml:space="preserve">een </w:t>
      </w:r>
      <w:r w:rsidRPr="00DF10C6" w:rsidR="009F4781">
        <w:rPr>
          <w:sz w:val="18"/>
          <w:szCs w:val="18"/>
        </w:rPr>
        <w:t>‘</w:t>
      </w:r>
      <w:r w:rsidRPr="00DF10C6" w:rsidR="005E3ABC">
        <w:rPr>
          <w:sz w:val="18"/>
          <w:szCs w:val="18"/>
        </w:rPr>
        <w:t>afzienbare periode</w:t>
      </w:r>
      <w:r w:rsidRPr="00DF10C6" w:rsidR="00CD4889">
        <w:rPr>
          <w:sz w:val="18"/>
          <w:szCs w:val="18"/>
        </w:rPr>
        <w:t xml:space="preserve">’ moet worden gedefinieerd. </w:t>
      </w:r>
      <w:r w:rsidRPr="00DF10C6" w:rsidR="00B52C29">
        <w:rPr>
          <w:sz w:val="18"/>
          <w:szCs w:val="18"/>
        </w:rPr>
        <w:t>E</w:t>
      </w:r>
      <w:r w:rsidRPr="00DF10C6" w:rsidR="009F4781">
        <w:rPr>
          <w:sz w:val="18"/>
          <w:szCs w:val="18"/>
        </w:rPr>
        <w:t xml:space="preserve">en periode van </w:t>
      </w:r>
      <w:r w:rsidRPr="00DF10C6" w:rsidR="00101D6F">
        <w:rPr>
          <w:sz w:val="18"/>
          <w:szCs w:val="18"/>
        </w:rPr>
        <w:t>twee</w:t>
      </w:r>
      <w:r w:rsidR="00277716">
        <w:rPr>
          <w:sz w:val="18"/>
          <w:szCs w:val="18"/>
        </w:rPr>
        <w:t xml:space="preserve"> </w:t>
      </w:r>
      <w:r w:rsidRPr="00DF10C6" w:rsidR="00101D6F">
        <w:rPr>
          <w:sz w:val="18"/>
          <w:szCs w:val="18"/>
        </w:rPr>
        <w:t>jaar</w:t>
      </w:r>
      <w:r w:rsidRPr="00DF10C6" w:rsidR="00B52C29">
        <w:rPr>
          <w:sz w:val="18"/>
          <w:szCs w:val="18"/>
        </w:rPr>
        <w:t xml:space="preserve"> lijkt</w:t>
      </w:r>
      <w:r w:rsidRPr="00DF10C6" w:rsidR="009F4781">
        <w:rPr>
          <w:sz w:val="18"/>
          <w:szCs w:val="18"/>
        </w:rPr>
        <w:t xml:space="preserve"> redelijk</w:t>
      </w:r>
      <w:r w:rsidRPr="00DF10C6" w:rsidR="00CF359C">
        <w:rPr>
          <w:sz w:val="18"/>
          <w:szCs w:val="18"/>
        </w:rPr>
        <w:t xml:space="preserve">. Als het statusverlies op initiatief van de ANBI is, dan heeft </w:t>
      </w:r>
      <w:r w:rsidRPr="00DF10C6">
        <w:rPr>
          <w:sz w:val="18"/>
          <w:szCs w:val="18"/>
        </w:rPr>
        <w:t xml:space="preserve">het bestuur </w:t>
      </w:r>
      <w:r w:rsidRPr="00DF10C6" w:rsidR="00CF359C">
        <w:rPr>
          <w:sz w:val="18"/>
          <w:szCs w:val="18"/>
        </w:rPr>
        <w:t xml:space="preserve">er van </w:t>
      </w:r>
      <w:proofErr w:type="gramStart"/>
      <w:r w:rsidRPr="00DF10C6" w:rsidR="00CF359C">
        <w:rPr>
          <w:sz w:val="18"/>
          <w:szCs w:val="18"/>
        </w:rPr>
        <w:t>te voren</w:t>
      </w:r>
      <w:proofErr w:type="gramEnd"/>
      <w:r w:rsidRPr="00DF10C6" w:rsidR="00CF359C">
        <w:rPr>
          <w:sz w:val="18"/>
          <w:szCs w:val="18"/>
        </w:rPr>
        <w:t xml:space="preserve"> over kunnen</w:t>
      </w:r>
      <w:r w:rsidRPr="00DF10C6">
        <w:rPr>
          <w:sz w:val="18"/>
          <w:szCs w:val="18"/>
        </w:rPr>
        <w:t xml:space="preserve"> na</w:t>
      </w:r>
      <w:r w:rsidRPr="00DF10C6" w:rsidR="00CF359C">
        <w:rPr>
          <w:sz w:val="18"/>
          <w:szCs w:val="18"/>
        </w:rPr>
        <w:t>denken en</w:t>
      </w:r>
      <w:r w:rsidRPr="00DF10C6" w:rsidR="00FD6C4C">
        <w:rPr>
          <w:sz w:val="18"/>
          <w:szCs w:val="18"/>
        </w:rPr>
        <w:t xml:space="preserve"> </w:t>
      </w:r>
      <w:r w:rsidRPr="00DF10C6" w:rsidR="00AE7E75">
        <w:rPr>
          <w:sz w:val="18"/>
          <w:szCs w:val="18"/>
        </w:rPr>
        <w:t xml:space="preserve">er </w:t>
      </w:r>
      <w:r w:rsidRPr="00DF10C6" w:rsidR="00FD6C4C">
        <w:rPr>
          <w:sz w:val="18"/>
          <w:szCs w:val="18"/>
        </w:rPr>
        <w:t>op</w:t>
      </w:r>
      <w:r w:rsidRPr="00DF10C6" w:rsidR="00CF359C">
        <w:rPr>
          <w:sz w:val="18"/>
          <w:szCs w:val="18"/>
        </w:rPr>
        <w:t xml:space="preserve"> </w:t>
      </w:r>
      <w:r w:rsidRPr="00DF10C6" w:rsidR="00AE7E75">
        <w:rPr>
          <w:sz w:val="18"/>
          <w:szCs w:val="18"/>
        </w:rPr>
        <w:t xml:space="preserve">kunnen </w:t>
      </w:r>
      <w:r w:rsidRPr="00DF10C6" w:rsidR="00CF359C">
        <w:rPr>
          <w:sz w:val="18"/>
          <w:szCs w:val="18"/>
        </w:rPr>
        <w:t xml:space="preserve">anticiperen. </w:t>
      </w:r>
      <w:r w:rsidRPr="00DF10C6" w:rsidR="00314731">
        <w:rPr>
          <w:sz w:val="18"/>
          <w:szCs w:val="18"/>
        </w:rPr>
        <w:t>Indien sprake is van intrekking van de ANBI-status door de Belastingdienst met terugwerkende kracht zou deze periode van twee jaar moeten ingaan op de datum van de beschikking.</w:t>
      </w:r>
      <w:r w:rsidRPr="00DF10C6" w:rsidR="000F3DD3">
        <w:rPr>
          <w:sz w:val="18"/>
          <w:szCs w:val="18"/>
        </w:rPr>
        <w:t xml:space="preserve"> </w:t>
      </w:r>
      <w:r w:rsidRPr="00DF10C6" w:rsidR="00FD6C4C">
        <w:rPr>
          <w:sz w:val="18"/>
          <w:szCs w:val="18"/>
        </w:rPr>
        <w:t>In dat geval lijkt een periode van twee jaar evenzeer redelijk.</w:t>
      </w:r>
      <w:r w:rsidRPr="00DF10C6" w:rsidR="0078078F">
        <w:rPr>
          <w:sz w:val="18"/>
          <w:szCs w:val="18"/>
        </w:rPr>
        <w:t xml:space="preserve"> </w:t>
      </w:r>
    </w:p>
    <w:p w:rsidRPr="00DF10C6" w:rsidR="001765FF" w:rsidP="00DF10C6" w:rsidRDefault="001765FF" w14:paraId="7B9CFD69" w14:textId="77777777">
      <w:pPr>
        <w:pStyle w:val="Voetnoottekst"/>
        <w:spacing w:line="276" w:lineRule="auto"/>
        <w:contextualSpacing/>
        <w:rPr>
          <w:sz w:val="18"/>
          <w:szCs w:val="18"/>
        </w:rPr>
      </w:pPr>
    </w:p>
    <w:p w:rsidR="001765FF" w:rsidP="00314731" w:rsidRDefault="0020119A" w14:paraId="50B29623" w14:textId="77777777">
      <w:pPr>
        <w:spacing w:line="276" w:lineRule="auto"/>
      </w:pPr>
      <w:r>
        <w:t>Op het eerste oog zou e</w:t>
      </w:r>
      <w:r w:rsidRPr="00314731" w:rsidR="006B1CB5">
        <w:t xml:space="preserve">en periode van twee jaar voldoende tijd </w:t>
      </w:r>
      <w:r>
        <w:t>moe</w:t>
      </w:r>
      <w:r w:rsidR="00FB5FB6">
        <w:t>te</w:t>
      </w:r>
      <w:r>
        <w:t>n</w:t>
      </w:r>
      <w:r w:rsidR="00FB5FB6">
        <w:t xml:space="preserve"> geven </w:t>
      </w:r>
      <w:r w:rsidRPr="00314731" w:rsidR="006B1CB5">
        <w:t>voor een ordentelijke afwikkeling, zonder dat het vermogen jarenlang ‘geparkeerd’ kan worden. </w:t>
      </w:r>
      <w:r w:rsidRPr="00314731" w:rsidR="00FF31F5">
        <w:t xml:space="preserve">Uit de recente analyse kan geen conclusie worden getrokken over de vraag of een </w:t>
      </w:r>
      <w:r w:rsidRPr="00314731" w:rsidR="00F72290">
        <w:t xml:space="preserve">periode van twee jaar </w:t>
      </w:r>
      <w:r w:rsidRPr="00314731" w:rsidR="00FF31F5">
        <w:t xml:space="preserve">in de praktijk realistisch is. </w:t>
      </w:r>
      <w:r w:rsidRPr="00314731" w:rsidR="006B1CB5">
        <w:t>Deze analyse gaat uit van de huidige situatie en in de analyse is geen onderscheid gemaakt tussen bijvoorbeeld stamvermogen</w:t>
      </w:r>
      <w:r>
        <w:t xml:space="preserve"> en andere vermogensbestanddelen</w:t>
      </w:r>
      <w:r w:rsidR="006E7711">
        <w:t>, m</w:t>
      </w:r>
      <w:r w:rsidRPr="00314731" w:rsidR="00FF31F5">
        <w:t xml:space="preserve">aar ik </w:t>
      </w:r>
      <w:r w:rsidRPr="00314731" w:rsidR="006B1CB5">
        <w:t xml:space="preserve">verwacht dat een termijn van twee jaar een aansporing tot actie voor voormalige ANBI’s is. Ik </w:t>
      </w:r>
      <w:r w:rsidRPr="00314731" w:rsidR="00FF31F5">
        <w:t>vind het belangrijk dat voormalige ANBI</w:t>
      </w:r>
      <w:r w:rsidRPr="00314731" w:rsidR="001620CB">
        <w:t>’</w:t>
      </w:r>
      <w:r w:rsidRPr="00314731" w:rsidR="00FF31F5">
        <w:t>s</w:t>
      </w:r>
      <w:r w:rsidRPr="00314731" w:rsidR="001620CB">
        <w:t xml:space="preserve"> het nog aanwezige ANBI-vermogen binnen een afzienbare periode algemeen nuttig</w:t>
      </w:r>
      <w:r w:rsidRPr="00314731" w:rsidR="00FF31F5">
        <w:t xml:space="preserve"> </w:t>
      </w:r>
      <w:r w:rsidRPr="00314731" w:rsidR="001620CB">
        <w:t xml:space="preserve">besteden en niet eindeloos oppotten. Daarvoor zijn de </w:t>
      </w:r>
      <w:r w:rsidRPr="00314731" w:rsidR="001620CB">
        <w:lastRenderedPageBreak/>
        <w:t>ANBI-faciliteiten niet bedoeld. Daarom wil ik voorstellen om de afzienbare periode vooralsnog te stellen op twee jaar</w:t>
      </w:r>
      <w:r w:rsidRPr="00314731" w:rsidR="00C413B1">
        <w:t xml:space="preserve"> (</w:t>
      </w:r>
      <w:r w:rsidR="006E7711">
        <w:t xml:space="preserve">nagenoeg </w:t>
      </w:r>
      <w:r w:rsidRPr="00314731" w:rsidR="00C413B1">
        <w:t>drie jaar met inbegrip van het jaar van intrekking op basis van de datum van de beschikking)</w:t>
      </w:r>
      <w:r w:rsidRPr="00314731" w:rsidR="001620CB">
        <w:t>. Gedurende deze twee jaar geldt de bestaande informatieverplichting onverkort.</w:t>
      </w:r>
      <w:r w:rsidRPr="00314731" w:rsidR="00F007AB">
        <w:t xml:space="preserve"> </w:t>
      </w:r>
      <w:proofErr w:type="gramStart"/>
      <w:r w:rsidR="003D2C9D">
        <w:t>Indien</w:t>
      </w:r>
      <w:proofErr w:type="gramEnd"/>
      <w:r w:rsidR="003D2C9D">
        <w:t xml:space="preserve"> niet is voldaan aan de bestedingsverplichting, </w:t>
      </w:r>
      <w:r w:rsidRPr="00314731" w:rsidR="00A00A57">
        <w:t>zal de Belastingdienst een bestuurlijke boete kunnen opleggen</w:t>
      </w:r>
      <w:r w:rsidR="003D2C9D">
        <w:t>.</w:t>
      </w:r>
      <w:r w:rsidRPr="00314731" w:rsidR="00A00A57">
        <w:t xml:space="preserve"> </w:t>
      </w:r>
    </w:p>
    <w:p w:rsidR="001765FF" w:rsidP="00314731" w:rsidRDefault="001765FF" w14:paraId="6E369341" w14:textId="77777777">
      <w:pPr>
        <w:spacing w:line="276" w:lineRule="auto"/>
      </w:pPr>
    </w:p>
    <w:p w:rsidRPr="00314731" w:rsidR="008F762B" w:rsidP="00314731" w:rsidRDefault="00F007AB" w14:paraId="3EBC1CF3" w14:textId="77777777">
      <w:pPr>
        <w:spacing w:line="276" w:lineRule="auto"/>
      </w:pPr>
      <w:r w:rsidRPr="00314731">
        <w:t xml:space="preserve">Ik stel voor de </w:t>
      </w:r>
      <w:r w:rsidRPr="00314731" w:rsidR="0059775C">
        <w:t>bestedingsv</w:t>
      </w:r>
      <w:r w:rsidRPr="00314731" w:rsidR="00D004FB">
        <w:t>erplichting op te nemen in de URAWR</w:t>
      </w:r>
      <w:r w:rsidRPr="00314731" w:rsidR="009566A3">
        <w:t xml:space="preserve"> </w:t>
      </w:r>
      <w:r w:rsidRPr="00314731">
        <w:t xml:space="preserve">met </w:t>
      </w:r>
      <w:r w:rsidRPr="00314731" w:rsidR="008C352A">
        <w:t xml:space="preserve">als </w:t>
      </w:r>
      <w:r w:rsidRPr="00314731">
        <w:t>ingang</w:t>
      </w:r>
      <w:r w:rsidRPr="00314731" w:rsidR="008C352A">
        <w:t xml:space="preserve">sdatum </w:t>
      </w:r>
      <w:r w:rsidRPr="00314731">
        <w:t>1 januari 202</w:t>
      </w:r>
      <w:r w:rsidRPr="00314731" w:rsidR="008C352A">
        <w:t xml:space="preserve">9. Daarbij stel ik voor dat deze </w:t>
      </w:r>
      <w:r w:rsidRPr="00314731" w:rsidR="0059775C">
        <w:t>bestedings</w:t>
      </w:r>
      <w:r w:rsidRPr="00314731" w:rsidR="008C352A">
        <w:t xml:space="preserve">verplichting ook van toepassing zal zijn op </w:t>
      </w:r>
      <w:proofErr w:type="spellStart"/>
      <w:r w:rsidRPr="00314731" w:rsidR="008C352A">
        <w:t>informatieplichtige</w:t>
      </w:r>
      <w:proofErr w:type="spellEnd"/>
      <w:r w:rsidRPr="00314731" w:rsidR="008C352A">
        <w:t xml:space="preserve"> </w:t>
      </w:r>
      <w:r w:rsidRPr="00314731" w:rsidR="00726BB8">
        <w:t xml:space="preserve">voormalige </w:t>
      </w:r>
      <w:proofErr w:type="spellStart"/>
      <w:r w:rsidRPr="00314731" w:rsidR="008C352A">
        <w:t>ANBI’s</w:t>
      </w:r>
      <w:proofErr w:type="spellEnd"/>
      <w:r w:rsidRPr="00314731" w:rsidR="008C352A">
        <w:t xml:space="preserve"> die </w:t>
      </w:r>
      <w:r w:rsidRPr="00314731" w:rsidR="00726BB8">
        <w:t xml:space="preserve">per </w:t>
      </w:r>
      <w:r w:rsidRPr="00314731" w:rsidR="008C352A">
        <w:t xml:space="preserve">1 januari 2029 </w:t>
      </w:r>
      <w:r w:rsidRPr="00314731" w:rsidR="00726BB8">
        <w:t xml:space="preserve">nog steeds </w:t>
      </w:r>
      <w:proofErr w:type="spellStart"/>
      <w:r w:rsidRPr="00314731" w:rsidR="00726BB8">
        <w:t>informatieplichtig</w:t>
      </w:r>
      <w:proofErr w:type="spellEnd"/>
      <w:r w:rsidRPr="00314731" w:rsidR="00726BB8">
        <w:t xml:space="preserve"> zijn</w:t>
      </w:r>
      <w:r w:rsidRPr="00314731" w:rsidR="008C352A">
        <w:t xml:space="preserve">. </w:t>
      </w:r>
      <w:r w:rsidRPr="00314731" w:rsidR="00771763">
        <w:t xml:space="preserve">Dit alles </w:t>
      </w:r>
      <w:r w:rsidRPr="00DF10C6" w:rsidR="00771763">
        <w:t xml:space="preserve">onder voorbehoud van </w:t>
      </w:r>
      <w:r w:rsidR="00314731">
        <w:t xml:space="preserve">de gebruikelijke toetsen bij aanpassing van regelgeving zoals </w:t>
      </w:r>
      <w:r w:rsidRPr="00DF10C6" w:rsidR="00771763">
        <w:t>een uitvoeringstoets</w:t>
      </w:r>
      <w:r w:rsidR="006E7711">
        <w:t>.</w:t>
      </w:r>
    </w:p>
    <w:p w:rsidRPr="00314731" w:rsidR="00A00A57" w:rsidP="00314731" w:rsidRDefault="00A00A57" w14:paraId="51AF6553" w14:textId="77777777">
      <w:pPr>
        <w:spacing w:line="276" w:lineRule="auto"/>
      </w:pPr>
    </w:p>
    <w:p w:rsidRPr="00314731" w:rsidR="004B4B5F" w:rsidP="00314731" w:rsidRDefault="00A10A29" w14:paraId="50CF1331" w14:textId="77777777">
      <w:pPr>
        <w:spacing w:line="276" w:lineRule="auto"/>
        <w:rPr>
          <w:i/>
          <w:iCs/>
        </w:rPr>
      </w:pPr>
      <w:r w:rsidRPr="00314731">
        <w:rPr>
          <w:i/>
          <w:iCs/>
        </w:rPr>
        <w:t>V</w:t>
      </w:r>
      <w:r w:rsidRPr="00314731" w:rsidR="004B4B5F">
        <w:rPr>
          <w:i/>
          <w:iCs/>
        </w:rPr>
        <w:t xml:space="preserve">erkenning </w:t>
      </w:r>
      <w:r w:rsidR="00993349">
        <w:rPr>
          <w:i/>
          <w:iCs/>
        </w:rPr>
        <w:t>intrekkingsbelasting/afrekening</w:t>
      </w:r>
      <w:r w:rsidRPr="00314731" w:rsidR="00BA68A1">
        <w:rPr>
          <w:i/>
          <w:iCs/>
        </w:rPr>
        <w:t xml:space="preserve"> voormalige ANBI </w:t>
      </w:r>
    </w:p>
    <w:p w:rsidR="009243E0" w:rsidP="004569A2" w:rsidRDefault="00101D6F" w14:paraId="33202A2D" w14:textId="77777777">
      <w:pPr>
        <w:spacing w:line="276" w:lineRule="auto"/>
      </w:pPr>
      <w:r w:rsidRPr="00314731">
        <w:t xml:space="preserve">Bij de </w:t>
      </w:r>
      <w:r w:rsidRPr="00314731" w:rsidR="003117C7">
        <w:t>tweede</w:t>
      </w:r>
      <w:r w:rsidRPr="00314731">
        <w:t xml:space="preserve"> optie wordt </w:t>
      </w:r>
      <w:r w:rsidRPr="00314731" w:rsidR="00771763">
        <w:t xml:space="preserve">niet alleen een bestedingsverplichting voor </w:t>
      </w:r>
      <w:proofErr w:type="spellStart"/>
      <w:r w:rsidRPr="00314731" w:rsidR="00771763">
        <w:t>informatieplichtige</w:t>
      </w:r>
      <w:proofErr w:type="spellEnd"/>
      <w:r w:rsidRPr="00314731" w:rsidR="00771763">
        <w:t xml:space="preserve"> voormalige </w:t>
      </w:r>
      <w:proofErr w:type="spellStart"/>
      <w:r w:rsidRPr="00314731" w:rsidR="00771763">
        <w:t>ANBI’s</w:t>
      </w:r>
      <w:proofErr w:type="spellEnd"/>
      <w:r w:rsidRPr="00314731" w:rsidR="00771763">
        <w:t xml:space="preserve"> maar </w:t>
      </w:r>
      <w:r w:rsidRPr="00314731" w:rsidR="00A64592">
        <w:t>bovendien</w:t>
      </w:r>
      <w:r w:rsidRPr="00314731">
        <w:t xml:space="preserve"> een fiscale heffing geïntroduceerd die van toepassing zal zijn voor zover het ANBI-vermogen niet binnen die afzienbare periode </w:t>
      </w:r>
      <w:r w:rsidRPr="00314731" w:rsidR="00314731">
        <w:t xml:space="preserve">van twee jaar </w:t>
      </w:r>
      <w:r w:rsidRPr="00314731">
        <w:t xml:space="preserve">aan het algemeen nut is besteed. </w:t>
      </w:r>
      <w:r w:rsidRPr="00314731" w:rsidR="00A64592">
        <w:t xml:space="preserve">Deze heffing heeft geen budgettair </w:t>
      </w:r>
      <w:r w:rsidRPr="00314731">
        <w:t>doel</w:t>
      </w:r>
      <w:r w:rsidRPr="00314731" w:rsidR="00BC70A8">
        <w:t xml:space="preserve"> maar is bedoeld als stok achter de deur</w:t>
      </w:r>
      <w:r w:rsidRPr="00314731">
        <w:t xml:space="preserve">. </w:t>
      </w:r>
      <w:r w:rsidRPr="00314731" w:rsidR="006E5E0E">
        <w:t xml:space="preserve">Het </w:t>
      </w:r>
      <w:r w:rsidR="008310BE">
        <w:t>kern</w:t>
      </w:r>
      <w:r w:rsidRPr="00314731" w:rsidR="006E5E0E">
        <w:t xml:space="preserve">doel van </w:t>
      </w:r>
      <w:r w:rsidRPr="00314731">
        <w:t>de</w:t>
      </w:r>
      <w:r w:rsidRPr="00314731" w:rsidR="00BC70A8">
        <w:t>ze</w:t>
      </w:r>
      <w:r w:rsidRPr="00314731">
        <w:t xml:space="preserve"> heffing</w:t>
      </w:r>
      <w:r w:rsidRPr="00314731" w:rsidR="006E5E0E">
        <w:t xml:space="preserve"> bij het verliezen van een ANBI-status is </w:t>
      </w:r>
      <w:r w:rsidRPr="00314731" w:rsidR="0084594E">
        <w:t xml:space="preserve">om </w:t>
      </w:r>
      <w:r w:rsidRPr="00314731" w:rsidR="00A64592">
        <w:t>een extra prikkel te geven het ANBI</w:t>
      </w:r>
      <w:r w:rsidRPr="00314731" w:rsidR="00A2199C">
        <w:noBreakHyphen/>
      </w:r>
      <w:r w:rsidRPr="00314731" w:rsidR="00A64592">
        <w:t>vermogen</w:t>
      </w:r>
      <w:r w:rsidRPr="00314731" w:rsidR="0084594E">
        <w:t xml:space="preserve"> </w:t>
      </w:r>
      <w:proofErr w:type="gramStart"/>
      <w:r w:rsidRPr="00314731" w:rsidR="0084594E">
        <w:t>conform</w:t>
      </w:r>
      <w:proofErr w:type="gramEnd"/>
      <w:r w:rsidRPr="00314731" w:rsidR="0084594E">
        <w:t xml:space="preserve"> de algemeen nuttige doelstelling van de instelling </w:t>
      </w:r>
      <w:r w:rsidRPr="00314731" w:rsidR="00543F92">
        <w:t xml:space="preserve">binnen een redelijk tijdsbestek </w:t>
      </w:r>
      <w:r w:rsidRPr="00314731" w:rsidR="006B3800">
        <w:t>te besteden</w:t>
      </w:r>
      <w:r w:rsidRPr="00314731" w:rsidR="0084594E">
        <w:t xml:space="preserve"> en niet nodeloos aan</w:t>
      </w:r>
      <w:r w:rsidRPr="00314731" w:rsidR="004A76F5">
        <w:t xml:space="preserve"> te </w:t>
      </w:r>
      <w:r w:rsidRPr="00314731" w:rsidR="0084594E">
        <w:t>houden.</w:t>
      </w:r>
      <w:r w:rsidR="008310BE">
        <w:rPr>
          <w:rStyle w:val="Voetnootmarkering"/>
        </w:rPr>
        <w:footnoteReference w:id="39"/>
      </w:r>
      <w:r w:rsidRPr="00314731" w:rsidR="004569A2">
        <w:t xml:space="preserve"> </w:t>
      </w:r>
      <w:r w:rsidRPr="00314731" w:rsidR="007F6F92">
        <w:t>Het introduceren van een dergelijke heffing is echter wetstechnisch niet eenvoudig en brengt ook bepaalde afbakeningsvraagstukken met zich</w:t>
      </w:r>
      <w:r w:rsidRPr="00314731" w:rsidR="009243E0">
        <w:t>.</w:t>
      </w:r>
      <w:r w:rsidR="001765FF">
        <w:t xml:space="preserve"> </w:t>
      </w:r>
      <w:r w:rsidR="00270D47">
        <w:t>Ook is bij</w:t>
      </w:r>
      <w:r w:rsidRPr="00314731" w:rsidR="00270D47">
        <w:t xml:space="preserve"> </w:t>
      </w:r>
      <w:r w:rsidRPr="00314731" w:rsidR="009243E0">
        <w:t>het eventueel introduceren van de eindheffing van belang dat de heffing proportioneel en gericht is.</w:t>
      </w:r>
    </w:p>
    <w:p w:rsidR="00BB5C64" w:rsidP="004569A2" w:rsidRDefault="00BB5C64" w14:paraId="73FEBEFC" w14:textId="77777777">
      <w:pPr>
        <w:spacing w:line="276" w:lineRule="auto"/>
      </w:pPr>
    </w:p>
    <w:p w:rsidRPr="00812A59" w:rsidR="00812A59" w:rsidP="00812A59" w:rsidRDefault="006E7711" w14:paraId="0EF1C40F" w14:textId="77777777">
      <w:pPr>
        <w:spacing w:line="276" w:lineRule="auto"/>
      </w:pPr>
      <w:r>
        <w:t>E</w:t>
      </w:r>
      <w:r w:rsidR="00270D47">
        <w:t>en</w:t>
      </w:r>
      <w:r w:rsidRPr="00812A59" w:rsidR="00812A59">
        <w:t xml:space="preserve"> afrekening na </w:t>
      </w:r>
      <w:r w:rsidR="00017B8F">
        <w:t>het verliezen</w:t>
      </w:r>
      <w:r w:rsidRPr="00812A59" w:rsidR="00812A59">
        <w:t xml:space="preserve"> </w:t>
      </w:r>
      <w:r w:rsidR="00017B8F">
        <w:t xml:space="preserve">van een ANBI-status </w:t>
      </w:r>
      <w:r>
        <w:t xml:space="preserve">zou </w:t>
      </w:r>
      <w:r w:rsidRPr="00812A59" w:rsidR="00812A59">
        <w:t xml:space="preserve">moreel </w:t>
      </w:r>
      <w:r>
        <w:t xml:space="preserve">kunnen </w:t>
      </w:r>
      <w:r w:rsidR="00270D47">
        <w:t>wringen</w:t>
      </w:r>
      <w:r w:rsidRPr="00812A59" w:rsidR="00812A59">
        <w:t>.</w:t>
      </w:r>
      <w:r w:rsidR="00BB5C64">
        <w:t xml:space="preserve"> </w:t>
      </w:r>
      <w:r w:rsidRPr="00812A59" w:rsidR="00812A59">
        <w:t xml:space="preserve">Een donateur geeft om een doelstelling te bevorderen. Een afrekening na intrekking van de ANBI-status treft vermogen dat door derden is ingebracht met de intentie het algemeen nut te dienen. Die derden hadden geen zeggenschap over het </w:t>
      </w:r>
      <w:r w:rsidR="00BB5C64">
        <w:t>(</w:t>
      </w:r>
      <w:proofErr w:type="spellStart"/>
      <w:r w:rsidRPr="00812A59" w:rsidR="00812A59">
        <w:t>bestuurs</w:t>
      </w:r>
      <w:proofErr w:type="spellEnd"/>
      <w:r w:rsidR="00BB5C64">
        <w:t>)</w:t>
      </w:r>
      <w:r w:rsidRPr="00812A59" w:rsidR="00812A59">
        <w:t xml:space="preserve">handelen dat tot intrekking leidde. De afrekening onttrekt hun giften aan de algemeen nuttige bestemming waarvoor zij bedoeld waren en leidt het vermogen naar de </w:t>
      </w:r>
      <w:r w:rsidR="00270D47">
        <w:t xml:space="preserve">staatskas. </w:t>
      </w:r>
    </w:p>
    <w:p w:rsidRPr="00314731" w:rsidR="009243E0" w:rsidP="00314731" w:rsidRDefault="009243E0" w14:paraId="6BFB2653" w14:textId="77777777">
      <w:pPr>
        <w:spacing w:line="276" w:lineRule="auto"/>
      </w:pPr>
    </w:p>
    <w:p w:rsidRPr="00314731" w:rsidR="00962E74" w:rsidP="00314731" w:rsidRDefault="006E7711" w14:paraId="1CFA24CE" w14:textId="77777777">
      <w:pPr>
        <w:spacing w:line="276" w:lineRule="auto"/>
      </w:pPr>
      <w:r>
        <w:t xml:space="preserve">Tegelijkertijd zou </w:t>
      </w:r>
      <w:r w:rsidRPr="00314731" w:rsidR="003606D8">
        <w:t xml:space="preserve">Nederland met het introduceren van de verplichting om het ANBI-vermogen binnen een bepaald tijdsbestek na het verlies van de ANBI-status algemeen nuttig te besteden niet uniek zijn. </w:t>
      </w:r>
      <w:r w:rsidRPr="00314731" w:rsidR="009243E0">
        <w:t xml:space="preserve">Zo kent bijvoorbeeld Canada </w:t>
      </w:r>
      <w:r w:rsidRPr="00314731" w:rsidR="00A710D9">
        <w:t>voor ‘</w:t>
      </w:r>
      <w:proofErr w:type="spellStart"/>
      <w:r w:rsidRPr="00314731" w:rsidR="00A710D9">
        <w:t>register</w:t>
      </w:r>
      <w:r w:rsidRPr="00314731" w:rsidR="00347546">
        <w:t>e</w:t>
      </w:r>
      <w:r w:rsidRPr="00314731" w:rsidR="00A710D9">
        <w:t>d</w:t>
      </w:r>
      <w:proofErr w:type="spellEnd"/>
      <w:r w:rsidRPr="00314731" w:rsidR="00A710D9">
        <w:t xml:space="preserve"> </w:t>
      </w:r>
      <w:proofErr w:type="spellStart"/>
      <w:r w:rsidRPr="00314731" w:rsidR="00A710D9">
        <w:t>charit</w:t>
      </w:r>
      <w:r w:rsidRPr="00314731" w:rsidR="00347546">
        <w:t>ies</w:t>
      </w:r>
      <w:proofErr w:type="spellEnd"/>
      <w:r w:rsidRPr="00314731" w:rsidR="00A710D9">
        <w:t>’ een zogeheten ‘</w:t>
      </w:r>
      <w:proofErr w:type="spellStart"/>
      <w:r w:rsidRPr="00314731" w:rsidR="00A710D9">
        <w:t>revocation</w:t>
      </w:r>
      <w:proofErr w:type="spellEnd"/>
      <w:r w:rsidRPr="00314731" w:rsidR="00A710D9">
        <w:t xml:space="preserve"> </w:t>
      </w:r>
      <w:proofErr w:type="spellStart"/>
      <w:r w:rsidRPr="00314731" w:rsidR="00A710D9">
        <w:t>tax</w:t>
      </w:r>
      <w:proofErr w:type="spellEnd"/>
      <w:r w:rsidRPr="00314731" w:rsidR="00A710D9">
        <w:t xml:space="preserve">’ als </w:t>
      </w:r>
      <w:r w:rsidRPr="00314731" w:rsidR="00962E74">
        <w:t>een instelling haar status verliest. De heffing bedraagt 100% van de waarde van de resterende activa verminderd met de schulden.</w:t>
      </w:r>
      <w:r w:rsidRPr="00314731" w:rsidR="00333A82">
        <w:t xml:space="preserve"> De instelling is de heffing niet verschuldigd </w:t>
      </w:r>
      <w:proofErr w:type="gramStart"/>
      <w:r w:rsidRPr="00314731" w:rsidR="00333A82">
        <w:t>indien</w:t>
      </w:r>
      <w:proofErr w:type="gramEnd"/>
      <w:r w:rsidRPr="00314731" w:rsidR="00333A82">
        <w:t xml:space="preserve"> de resterende activa alsnog</w:t>
      </w:r>
      <w:r w:rsidRPr="00314731" w:rsidR="00360AB3">
        <w:t xml:space="preserve"> aan</w:t>
      </w:r>
      <w:r w:rsidRPr="00314731" w:rsidR="00333A82">
        <w:t xml:space="preserve"> liefdadigheidsactiviteiten ten goede kom</w:t>
      </w:r>
      <w:r w:rsidRPr="00314731" w:rsidR="00C078E3">
        <w:t>en</w:t>
      </w:r>
      <w:r w:rsidRPr="00314731" w:rsidR="00333A82">
        <w:t xml:space="preserve"> of binnen 1 jaar na de datum van de kennisgeving van het voornemen tot intrekking van de status word</w:t>
      </w:r>
      <w:r w:rsidRPr="00314731" w:rsidR="00AE7E75">
        <w:t>en</w:t>
      </w:r>
      <w:r w:rsidRPr="00314731" w:rsidR="00333A82">
        <w:t xml:space="preserve"> overgedragen aan een</w:t>
      </w:r>
      <w:r w:rsidRPr="00314731" w:rsidR="00C078E3">
        <w:t xml:space="preserve"> andere</w:t>
      </w:r>
      <w:r w:rsidRPr="00314731" w:rsidR="00333A82">
        <w:t xml:space="preserve"> ‘</w:t>
      </w:r>
      <w:proofErr w:type="spellStart"/>
      <w:r w:rsidRPr="00314731" w:rsidR="00333A82">
        <w:t>register</w:t>
      </w:r>
      <w:r w:rsidRPr="00314731" w:rsidR="00347546">
        <w:t>e</w:t>
      </w:r>
      <w:r w:rsidRPr="00314731" w:rsidR="00333A82">
        <w:t>d</w:t>
      </w:r>
      <w:proofErr w:type="spellEnd"/>
      <w:r w:rsidRPr="00314731" w:rsidR="00333A82">
        <w:t xml:space="preserve"> </w:t>
      </w:r>
      <w:proofErr w:type="spellStart"/>
      <w:r w:rsidRPr="00314731" w:rsidR="00333A82">
        <w:t>charity</w:t>
      </w:r>
      <w:proofErr w:type="spellEnd"/>
      <w:r w:rsidRPr="00314731" w:rsidR="00333A82">
        <w:t xml:space="preserve">’. Ook kan </w:t>
      </w:r>
      <w:r w:rsidRPr="00314731" w:rsidR="00333A82">
        <w:lastRenderedPageBreak/>
        <w:t xml:space="preserve">de instelling de </w:t>
      </w:r>
      <w:r w:rsidRPr="00314731" w:rsidR="00962E74">
        <w:t xml:space="preserve">heffing voorkomen </w:t>
      </w:r>
      <w:proofErr w:type="gramStart"/>
      <w:r w:rsidRPr="00314731" w:rsidR="00962E74">
        <w:t>indien</w:t>
      </w:r>
      <w:proofErr w:type="gramEnd"/>
      <w:r w:rsidRPr="00314731" w:rsidR="00962E74">
        <w:t xml:space="preserve"> zij voldoet aan de volgende cumulatieve voorwaarden:</w:t>
      </w:r>
    </w:p>
    <w:p w:rsidRPr="00314731" w:rsidR="00962E74" w:rsidP="00314731" w:rsidRDefault="00962E74" w14:paraId="4362C6FB" w14:textId="77777777">
      <w:pPr>
        <w:pStyle w:val="Lijstalinea"/>
        <w:numPr>
          <w:ilvl w:val="0"/>
          <w:numId w:val="11"/>
        </w:numPr>
        <w:spacing w:line="276" w:lineRule="auto"/>
      </w:pPr>
      <w:r w:rsidRPr="00314731">
        <w:t xml:space="preserve">De instelling vraagt </w:t>
      </w:r>
      <w:r w:rsidRPr="00314731">
        <w:rPr>
          <w:rFonts w:ascii="Arial" w:hAnsi="Arial" w:cs="Arial"/>
        </w:rPr>
        <w:t>​​</w:t>
      </w:r>
      <w:r w:rsidRPr="00314731">
        <w:t>binnen een jaar na het verliezen van de status een herregistratie aan en krijgt deze toegekend</w:t>
      </w:r>
      <w:r w:rsidRPr="00314731" w:rsidR="00C078E3">
        <w:t>;</w:t>
      </w:r>
    </w:p>
    <w:p w:rsidRPr="00314731" w:rsidR="00962E74" w:rsidP="00314731" w:rsidRDefault="00962E74" w14:paraId="3F786459" w14:textId="77777777">
      <w:pPr>
        <w:pStyle w:val="Lijstalinea"/>
        <w:numPr>
          <w:ilvl w:val="0"/>
          <w:numId w:val="11"/>
        </w:numPr>
        <w:spacing w:line="276" w:lineRule="auto"/>
      </w:pPr>
      <w:r w:rsidRPr="00314731">
        <w:t>De instelling betaalt vóór de datum van herregistratie alle andere belastingen, boetes en rente die zij verschuldigd is</w:t>
      </w:r>
      <w:r w:rsidRPr="00314731" w:rsidR="00C078E3">
        <w:t>;</w:t>
      </w:r>
    </w:p>
    <w:p w:rsidRPr="00314731" w:rsidR="00962E74" w:rsidP="00314731" w:rsidRDefault="00962E74" w14:paraId="08AE8A05" w14:textId="77777777">
      <w:pPr>
        <w:pStyle w:val="Lijstalinea"/>
        <w:numPr>
          <w:ilvl w:val="0"/>
          <w:numId w:val="11"/>
        </w:numPr>
        <w:spacing w:line="276" w:lineRule="auto"/>
      </w:pPr>
      <w:r w:rsidRPr="00314731">
        <w:t>De instelling dient vóór de datum van herregistratie alle ontbrekende informatieaangiften en de financiële overzichten in.</w:t>
      </w:r>
      <w:r w:rsidRPr="00314731" w:rsidR="00333A82">
        <w:rPr>
          <w:rStyle w:val="Voetnootmarkering"/>
        </w:rPr>
        <w:footnoteReference w:id="40"/>
      </w:r>
    </w:p>
    <w:p w:rsidRPr="00314731" w:rsidR="00333A82" w:rsidP="00314731" w:rsidRDefault="00333A82" w14:paraId="2AF19392" w14:textId="77777777">
      <w:pPr>
        <w:spacing w:line="276" w:lineRule="auto"/>
        <w:rPr>
          <w:highlight w:val="yellow"/>
        </w:rPr>
      </w:pPr>
    </w:p>
    <w:p w:rsidRPr="00314731" w:rsidR="00245D43" w:rsidP="00314731" w:rsidRDefault="008D4DF4" w14:paraId="10B712E5" w14:textId="77777777">
      <w:pPr>
        <w:spacing w:line="276" w:lineRule="auto"/>
        <w:rPr>
          <w:i/>
          <w:iCs/>
        </w:rPr>
      </w:pPr>
      <w:r w:rsidRPr="00314731">
        <w:t xml:space="preserve">Ook in Duitsland moet bij het </w:t>
      </w:r>
      <w:r w:rsidRPr="00314731" w:rsidR="00002548">
        <w:t xml:space="preserve">verlies van de status </w:t>
      </w:r>
      <w:r w:rsidRPr="00314731" w:rsidR="002922C2">
        <w:t xml:space="preserve">de bestemming van de vermogensbestanddelen </w:t>
      </w:r>
      <w:r w:rsidRPr="00314731" w:rsidR="00002548">
        <w:t>duidelijk zijn</w:t>
      </w:r>
      <w:r w:rsidRPr="00314731" w:rsidR="002922C2">
        <w:t xml:space="preserve">. </w:t>
      </w:r>
      <w:proofErr w:type="gramStart"/>
      <w:r w:rsidRPr="00314731" w:rsidR="00002548">
        <w:t>Indien</w:t>
      </w:r>
      <w:proofErr w:type="gramEnd"/>
      <w:r w:rsidRPr="00314731" w:rsidR="00002548">
        <w:t xml:space="preserve"> het niet zeker is dat het nog aanwezige vermogen </w:t>
      </w:r>
      <w:r w:rsidRPr="00314731">
        <w:t>algemeen nuttig wordt</w:t>
      </w:r>
      <w:r w:rsidRPr="00314731" w:rsidR="00002548">
        <w:t xml:space="preserve"> besteed,</w:t>
      </w:r>
      <w:r w:rsidRPr="00314731">
        <w:t xml:space="preserve"> dan</w:t>
      </w:r>
      <w:r w:rsidRPr="00314731" w:rsidR="00002548">
        <w:t xml:space="preserve"> wordt er alsnog belasting geheven met een terugwerkende kracht van 10 jaar.</w:t>
      </w:r>
      <w:r w:rsidRPr="00314731" w:rsidR="002922C2">
        <w:rPr>
          <w:rStyle w:val="Voetnootmarkering"/>
        </w:rPr>
        <w:footnoteReference w:id="41"/>
      </w:r>
    </w:p>
    <w:p w:rsidRPr="00314731" w:rsidR="00245D43" w:rsidP="00314731" w:rsidRDefault="00245D43" w14:paraId="5A5CA046" w14:textId="77777777">
      <w:pPr>
        <w:spacing w:line="276" w:lineRule="auto"/>
        <w:rPr>
          <w:i/>
          <w:iCs/>
        </w:rPr>
      </w:pPr>
    </w:p>
    <w:p w:rsidRPr="00314731" w:rsidR="00245D43" w:rsidP="00314731" w:rsidRDefault="00101D6F" w14:paraId="2E7D8967" w14:textId="77777777">
      <w:pPr>
        <w:spacing w:line="276" w:lineRule="auto"/>
      </w:pPr>
      <w:r w:rsidRPr="00314731">
        <w:rPr>
          <w:i/>
          <w:iCs/>
        </w:rPr>
        <w:t>V</w:t>
      </w:r>
      <w:r w:rsidRPr="00314731" w:rsidR="00A10A29">
        <w:rPr>
          <w:i/>
          <w:iCs/>
        </w:rPr>
        <w:t>ormgeving</w:t>
      </w:r>
      <w:r w:rsidR="006A6031">
        <w:rPr>
          <w:i/>
          <w:iCs/>
        </w:rPr>
        <w:t xml:space="preserve"> </w:t>
      </w:r>
      <w:r w:rsidR="00993349">
        <w:rPr>
          <w:i/>
          <w:iCs/>
        </w:rPr>
        <w:t>intrekkingsbelasting</w:t>
      </w:r>
      <w:r w:rsidR="006A6031">
        <w:rPr>
          <w:i/>
          <w:iCs/>
        </w:rPr>
        <w:t>/afrekening</w:t>
      </w:r>
      <w:r w:rsidRPr="00314731" w:rsidR="00245D43">
        <w:rPr>
          <w:i/>
          <w:iCs/>
        </w:rPr>
        <w:t xml:space="preserve"> bij verlies ANBI-status</w:t>
      </w:r>
      <w:r w:rsidRPr="00314731" w:rsidR="00245D43">
        <w:t xml:space="preserve"> </w:t>
      </w:r>
    </w:p>
    <w:p w:rsidRPr="00314731" w:rsidR="006E5E0E" w:rsidP="00314731" w:rsidRDefault="000E182F" w14:paraId="210D0472" w14:textId="77777777">
      <w:pPr>
        <w:spacing w:line="276" w:lineRule="auto"/>
      </w:pPr>
      <w:r w:rsidRPr="00314731">
        <w:t>De eindheffing</w:t>
      </w:r>
      <w:r w:rsidRPr="00314731" w:rsidR="00BA68A1">
        <w:t xml:space="preserve"> </w:t>
      </w:r>
      <w:r w:rsidRPr="00314731" w:rsidR="00835F35">
        <w:t xml:space="preserve">voor </w:t>
      </w:r>
      <w:r w:rsidRPr="00314731" w:rsidR="00BA68A1">
        <w:t>voormalige ANBI</w:t>
      </w:r>
      <w:r w:rsidR="009C505F">
        <w:t>’</w:t>
      </w:r>
      <w:r w:rsidRPr="00314731" w:rsidR="00835F35">
        <w:t>s</w:t>
      </w:r>
      <w:r w:rsidRPr="00314731">
        <w:t xml:space="preserve"> </w:t>
      </w:r>
      <w:r w:rsidR="009C505F">
        <w:t xml:space="preserve">zou </w:t>
      </w:r>
      <w:r w:rsidRPr="00314731" w:rsidR="00A66D63">
        <w:t xml:space="preserve">enkel </w:t>
      </w:r>
      <w:r w:rsidRPr="00314731">
        <w:t xml:space="preserve">– in lijn met de doelstelling van de ANBI-regeling </w:t>
      </w:r>
      <w:r w:rsidRPr="00314731" w:rsidR="00C078E3">
        <w:t>–</w:t>
      </w:r>
      <w:r w:rsidRPr="00314731">
        <w:t xml:space="preserve"> als stok achter de deur</w:t>
      </w:r>
      <w:r w:rsidRPr="00314731" w:rsidR="00384FD4">
        <w:t xml:space="preserve"> </w:t>
      </w:r>
      <w:r w:rsidR="009C505F">
        <w:t xml:space="preserve">dienen </w:t>
      </w:r>
      <w:r w:rsidRPr="00314731" w:rsidR="00C63FCB">
        <w:t xml:space="preserve">om te bereiken dat </w:t>
      </w:r>
      <w:r w:rsidRPr="00314731" w:rsidR="00384FD4">
        <w:t xml:space="preserve">het ANBI-vermogen algemeen nuttig </w:t>
      </w:r>
      <w:r w:rsidR="009C505F">
        <w:t>wordt</w:t>
      </w:r>
      <w:r w:rsidRPr="00314731" w:rsidR="009C505F">
        <w:t xml:space="preserve"> </w:t>
      </w:r>
      <w:r w:rsidRPr="00314731" w:rsidR="00384FD4">
        <w:t>besteed</w:t>
      </w:r>
      <w:r w:rsidRPr="00314731">
        <w:t>. De eindheffing ontslaat een voormalige ANBI ook niet van de bestaande</w:t>
      </w:r>
      <w:r w:rsidRPr="00314731" w:rsidR="009F78AA">
        <w:t xml:space="preserve"> informati</w:t>
      </w:r>
      <w:r w:rsidRPr="00314731" w:rsidR="00B52C29">
        <w:t>e</w:t>
      </w:r>
      <w:r w:rsidRPr="00314731">
        <w:t>verplichting</w:t>
      </w:r>
      <w:r w:rsidRPr="00314731" w:rsidR="009F78AA">
        <w:t xml:space="preserve"> </w:t>
      </w:r>
      <w:r w:rsidRPr="00314731" w:rsidR="00F92A8A">
        <w:t xml:space="preserve">gedurende deze twee jaar </w:t>
      </w:r>
      <w:r w:rsidRPr="00314731" w:rsidR="009F78AA">
        <w:t xml:space="preserve">en bijvoorbeeld </w:t>
      </w:r>
      <w:r w:rsidR="003A2E11">
        <w:t xml:space="preserve">van </w:t>
      </w:r>
      <w:r w:rsidRPr="00314731" w:rsidR="009F78AA">
        <w:t xml:space="preserve">de verplichting om het vermogen </w:t>
      </w:r>
      <w:r w:rsidR="00842150">
        <w:t>in lijn met</w:t>
      </w:r>
      <w:r w:rsidRPr="00F10D02" w:rsidR="00842150">
        <w:t xml:space="preserve"> de </w:t>
      </w:r>
      <w:r w:rsidR="00842150">
        <w:t>doelstelling in</w:t>
      </w:r>
      <w:r w:rsidRPr="00314731" w:rsidR="009F78AA">
        <w:t xml:space="preserve"> de statuten uit te geven.</w:t>
      </w:r>
      <w:r w:rsidRPr="00314731">
        <w:t xml:space="preserve"> Het (resterende) ANBI-vermogen dient ook na de eindheffing </w:t>
      </w:r>
      <w:proofErr w:type="gramStart"/>
      <w:r w:rsidRPr="00314731">
        <w:t>conform</w:t>
      </w:r>
      <w:proofErr w:type="gramEnd"/>
      <w:r w:rsidRPr="00314731">
        <w:t xml:space="preserve"> </w:t>
      </w:r>
      <w:r w:rsidRPr="00314731" w:rsidR="00C63FCB">
        <w:t>de</w:t>
      </w:r>
      <w:r w:rsidRPr="00314731">
        <w:t xml:space="preserve"> algemeen nuttig doelstelling besteed te worden. </w:t>
      </w:r>
      <w:r w:rsidRPr="00314731" w:rsidR="00F92A8A">
        <w:t>B</w:t>
      </w:r>
      <w:r w:rsidRPr="00314731" w:rsidR="00C85FCF">
        <w:t>ij introduc</w:t>
      </w:r>
      <w:r w:rsidRPr="00314731" w:rsidR="00F92A8A">
        <w:t>tie</w:t>
      </w:r>
      <w:r w:rsidRPr="00314731" w:rsidR="00C85FCF">
        <w:t xml:space="preserve"> van de eindheffing </w:t>
      </w:r>
      <w:r w:rsidRPr="00314731" w:rsidR="00F92A8A">
        <w:t xml:space="preserve">kan </w:t>
      </w:r>
      <w:r w:rsidRPr="00314731" w:rsidR="00C85FCF">
        <w:t xml:space="preserve">de informatieverplichting vervallen op het moment dat de voormalige ANBI de eindheffing heeft voldaan. </w:t>
      </w:r>
    </w:p>
    <w:p w:rsidRPr="00314731" w:rsidR="00101D6F" w:rsidP="00314731" w:rsidRDefault="00101D6F" w14:paraId="0B703C98" w14:textId="77777777">
      <w:pPr>
        <w:spacing w:line="276" w:lineRule="auto"/>
      </w:pPr>
    </w:p>
    <w:p w:rsidRPr="00314731" w:rsidR="00A201FA" w:rsidP="00DF10C6" w:rsidRDefault="003A2E11" w14:paraId="6BD14904" w14:textId="77777777">
      <w:pPr>
        <w:spacing w:line="276" w:lineRule="auto"/>
      </w:pPr>
      <w:r>
        <w:t>Vastgesteld moet worden</w:t>
      </w:r>
      <w:r w:rsidRPr="00314731" w:rsidR="00835F35">
        <w:t xml:space="preserve"> in welke belastingwet de</w:t>
      </w:r>
      <w:r w:rsidRPr="00314731" w:rsidR="006B658D">
        <w:t xml:space="preserve"> heffing zou </w:t>
      </w:r>
      <w:r w:rsidRPr="00314731" w:rsidR="00835F35">
        <w:t xml:space="preserve">moeten worden ondergebracht. De heffing zou </w:t>
      </w:r>
      <w:r w:rsidRPr="00314731" w:rsidR="006B658D">
        <w:t xml:space="preserve">onderdeel kunnen worden van </w:t>
      </w:r>
      <w:r w:rsidRPr="00314731" w:rsidR="00835F35">
        <w:t>de AWR omdat deze de essentialia van de ANBI-regelgeving bevat. Anderzijds is de AWR een algemene wet die geen heffingen bevat</w:t>
      </w:r>
      <w:r w:rsidRPr="00314731" w:rsidR="00A201FA">
        <w:t>,</w:t>
      </w:r>
      <w:r w:rsidR="00BE0823">
        <w:t xml:space="preserve"> dus</w:t>
      </w:r>
      <w:r w:rsidRPr="00314731" w:rsidR="00A201FA">
        <w:t xml:space="preserve"> in die zin past een heffing in de AWR niet</w:t>
      </w:r>
      <w:r w:rsidRPr="00314731" w:rsidR="00835F35">
        <w:t xml:space="preserve">. </w:t>
      </w:r>
      <w:r w:rsidRPr="00314731" w:rsidR="006B658D">
        <w:t>De</w:t>
      </w:r>
      <w:r w:rsidRPr="00314731" w:rsidR="00F72714">
        <w:t xml:space="preserve"> </w:t>
      </w:r>
      <w:r w:rsidR="00017B8F">
        <w:t>Successiewet</w:t>
      </w:r>
      <w:r w:rsidRPr="00314731" w:rsidR="00F72714">
        <w:t xml:space="preserve"> </w:t>
      </w:r>
      <w:r w:rsidRPr="00314731" w:rsidR="006B658D">
        <w:t xml:space="preserve">ligt </w:t>
      </w:r>
      <w:r w:rsidR="00993349">
        <w:t xml:space="preserve">dan </w:t>
      </w:r>
      <w:r w:rsidRPr="00314731" w:rsidR="006B658D">
        <w:t xml:space="preserve">voor de hand aangezien de voormalige ANBI in haar ANBI-periode heeft geprofiteerd van de vrijstellingen schenk- en erfbelasting voor ANBI’s. </w:t>
      </w:r>
      <w:r w:rsidR="009C505F">
        <w:t>H</w:t>
      </w:r>
      <w:r w:rsidR="00EB4FEF">
        <w:t xml:space="preserve">et opnemen van de heffing in een nieuwe materiële belastingwet is ook denkbaar, </w:t>
      </w:r>
      <w:r w:rsidR="00DF10C6">
        <w:t xml:space="preserve">maar </w:t>
      </w:r>
      <w:r w:rsidR="00EB4FEF">
        <w:t xml:space="preserve">dit staat wel haaks op de ambitie </w:t>
      </w:r>
      <w:r w:rsidR="007750F7">
        <w:t xml:space="preserve">om </w:t>
      </w:r>
      <w:r w:rsidR="00EB4FEF">
        <w:t>het belastingstelsel te vereenvoudigen.</w:t>
      </w:r>
    </w:p>
    <w:p w:rsidRPr="00314731" w:rsidR="00A201FA" w:rsidP="00DF10C6" w:rsidRDefault="00A201FA" w14:paraId="56EB0853" w14:textId="77777777">
      <w:pPr>
        <w:spacing w:line="276" w:lineRule="auto"/>
      </w:pPr>
    </w:p>
    <w:p w:rsidRPr="00314731" w:rsidR="00101D6F" w:rsidP="00DF10C6" w:rsidRDefault="00101D6F" w14:paraId="11AB4B52" w14:textId="77777777">
      <w:pPr>
        <w:spacing w:line="276" w:lineRule="auto"/>
      </w:pPr>
      <w:r w:rsidRPr="00314731">
        <w:t xml:space="preserve">Om </w:t>
      </w:r>
      <w:r w:rsidRPr="00314731" w:rsidR="00544668">
        <w:t>wetstechnisch e</w:t>
      </w:r>
      <w:r w:rsidRPr="00314731">
        <w:t>en fiscale eindheffing te kunnen introduceren zullen de volgende elementen moeten worden vastgesteld:</w:t>
      </w:r>
    </w:p>
    <w:p w:rsidRPr="00314731" w:rsidR="00101D6F" w:rsidP="00314731" w:rsidRDefault="00101D6F" w14:paraId="7375433B" w14:textId="77777777">
      <w:pPr>
        <w:pStyle w:val="Lijstalinea"/>
        <w:numPr>
          <w:ilvl w:val="0"/>
          <w:numId w:val="26"/>
        </w:numPr>
        <w:spacing w:line="276" w:lineRule="auto"/>
      </w:pPr>
      <w:r w:rsidRPr="00314731">
        <w:t xml:space="preserve">Subject. </w:t>
      </w:r>
    </w:p>
    <w:p w:rsidRPr="00314731" w:rsidR="00101D6F" w:rsidP="00314731" w:rsidRDefault="00101D6F" w14:paraId="74A12258" w14:textId="77777777">
      <w:pPr>
        <w:pStyle w:val="Lijstalinea"/>
        <w:numPr>
          <w:ilvl w:val="0"/>
          <w:numId w:val="26"/>
        </w:numPr>
        <w:spacing w:line="276" w:lineRule="auto"/>
      </w:pPr>
      <w:r w:rsidRPr="00314731">
        <w:t xml:space="preserve">Belastbaar feit. </w:t>
      </w:r>
    </w:p>
    <w:p w:rsidRPr="00314731" w:rsidR="00101D6F" w:rsidP="00314731" w:rsidRDefault="00101D6F" w14:paraId="64AF8A2B" w14:textId="77777777">
      <w:pPr>
        <w:pStyle w:val="Lijstalinea"/>
        <w:numPr>
          <w:ilvl w:val="0"/>
          <w:numId w:val="26"/>
        </w:numPr>
        <w:spacing w:line="276" w:lineRule="auto"/>
      </w:pPr>
      <w:r w:rsidRPr="00314731">
        <w:t>Heffingsgrondslag.</w:t>
      </w:r>
    </w:p>
    <w:p w:rsidRPr="00314731" w:rsidR="00544668" w:rsidP="00314731" w:rsidRDefault="00544668" w14:paraId="3D548BBB" w14:textId="77777777">
      <w:pPr>
        <w:pStyle w:val="Lijstalinea"/>
        <w:numPr>
          <w:ilvl w:val="0"/>
          <w:numId w:val="26"/>
        </w:numPr>
        <w:spacing w:line="276" w:lineRule="auto"/>
      </w:pPr>
      <w:r w:rsidRPr="00314731">
        <w:t>Tarief.</w:t>
      </w:r>
    </w:p>
    <w:p w:rsidRPr="00314731" w:rsidR="00101D6F" w:rsidP="00314731" w:rsidRDefault="00101D6F" w14:paraId="6F81654A" w14:textId="77777777">
      <w:pPr>
        <w:pStyle w:val="Lijstalinea"/>
        <w:numPr>
          <w:ilvl w:val="0"/>
          <w:numId w:val="26"/>
        </w:numPr>
        <w:spacing w:line="276" w:lineRule="auto"/>
      </w:pPr>
      <w:r w:rsidRPr="00314731">
        <w:t xml:space="preserve">Tijdstip van heffing. </w:t>
      </w:r>
    </w:p>
    <w:p w:rsidRPr="00314731" w:rsidR="00101D6F" w:rsidP="00314731" w:rsidRDefault="00101D6F" w14:paraId="5217B859" w14:textId="77777777">
      <w:pPr>
        <w:pStyle w:val="Lijstalinea"/>
        <w:numPr>
          <w:ilvl w:val="0"/>
          <w:numId w:val="26"/>
        </w:numPr>
        <w:spacing w:line="276" w:lineRule="auto"/>
      </w:pPr>
      <w:r w:rsidRPr="00314731">
        <w:t>Wijze van heffing.</w:t>
      </w:r>
    </w:p>
    <w:p w:rsidRPr="00314731" w:rsidR="00544668" w:rsidP="00314731" w:rsidRDefault="00544668" w14:paraId="730820E5" w14:textId="77777777">
      <w:pPr>
        <w:spacing w:line="276" w:lineRule="auto"/>
      </w:pPr>
    </w:p>
    <w:p w:rsidRPr="00AE6786" w:rsidR="00AE6786" w:rsidP="00AE6786" w:rsidRDefault="00891DBD" w14:paraId="19E2E6FB" w14:textId="77777777">
      <w:pPr>
        <w:spacing w:line="276" w:lineRule="auto"/>
      </w:pPr>
      <w:r w:rsidRPr="00314731">
        <w:t>Daarnaast is</w:t>
      </w:r>
      <w:r w:rsidRPr="00314731" w:rsidR="00F81B83">
        <w:t xml:space="preserve"> uiteraard ook de uitvoerbaarheid </w:t>
      </w:r>
      <w:r w:rsidRPr="00314731" w:rsidR="009F78AA">
        <w:t xml:space="preserve">van de heffing </w:t>
      </w:r>
      <w:r w:rsidRPr="00314731" w:rsidR="00F81B83">
        <w:t xml:space="preserve">voor zowel de </w:t>
      </w:r>
      <w:r w:rsidRPr="00314731" w:rsidR="00F72714">
        <w:t xml:space="preserve">Belastingdienst </w:t>
      </w:r>
      <w:r w:rsidRPr="00314731" w:rsidR="00F81B83">
        <w:t xml:space="preserve">als de </w:t>
      </w:r>
      <w:r w:rsidRPr="00314731" w:rsidR="00F72714">
        <w:t xml:space="preserve">voormalige ANBI’s </w:t>
      </w:r>
      <w:r w:rsidRPr="00314731" w:rsidR="00F81B83">
        <w:t xml:space="preserve">van belang. </w:t>
      </w:r>
      <w:r w:rsidRPr="00314731" w:rsidR="00614DEF">
        <w:t>B</w:t>
      </w:r>
      <w:r w:rsidRPr="00314731" w:rsidR="00F81B83">
        <w:t xml:space="preserve">ij de vormgeving van de heffing </w:t>
      </w:r>
      <w:r w:rsidRPr="00314731" w:rsidR="00614DEF">
        <w:t xml:space="preserve">kan </w:t>
      </w:r>
      <w:r w:rsidRPr="00314731" w:rsidR="00F81B83">
        <w:t>vooruitlopend</w:t>
      </w:r>
      <w:r w:rsidRPr="00314731" w:rsidR="00CA3964">
        <w:t xml:space="preserve"> op een</w:t>
      </w:r>
      <w:r w:rsidRPr="00314731" w:rsidR="00614DEF">
        <w:t xml:space="preserve"> gesprek met de Belastingdienst en de sector </w:t>
      </w:r>
      <w:r w:rsidRPr="00314731" w:rsidR="00F81B83">
        <w:t>rekening gehouden worden met mogelijk</w:t>
      </w:r>
      <w:r w:rsidRPr="00314731" w:rsidR="00614DEF">
        <w:t>e</w:t>
      </w:r>
      <w:r w:rsidRPr="00314731" w:rsidR="00F81B83">
        <w:t xml:space="preserve"> knelpunten.</w:t>
      </w:r>
      <w:r w:rsidRPr="00314731" w:rsidR="00522980">
        <w:t xml:space="preserve"> Onderstaand worden de bovenstaande elementen op hoofdlijnen langsgelopen zodat bepaald kan worden of nadere uitwerking gewenst en haalbaar is. </w:t>
      </w:r>
      <w:r w:rsidRPr="00314731" w:rsidR="00846924">
        <w:t>Een eerste inschatting op basis van de onderstaande conto</w:t>
      </w:r>
      <w:r w:rsidRPr="00314731" w:rsidR="00030BBD">
        <w:t>u</w:t>
      </w:r>
      <w:r w:rsidRPr="00314731" w:rsidR="00846924">
        <w:t xml:space="preserve">ren is dat </w:t>
      </w:r>
      <w:r w:rsidRPr="00314731" w:rsidR="00030BBD">
        <w:t>een dergelijke</w:t>
      </w:r>
      <w:r w:rsidRPr="00314731" w:rsidR="00846924">
        <w:t xml:space="preserve"> </w:t>
      </w:r>
      <w:r w:rsidRPr="00314731" w:rsidR="00614DEF">
        <w:t xml:space="preserve">heffing uitvoerbaar </w:t>
      </w:r>
      <w:r w:rsidRPr="00314731" w:rsidR="00F72714">
        <w:t>zou moeten zijn</w:t>
      </w:r>
      <w:r w:rsidRPr="00314731" w:rsidR="00030BBD">
        <w:t>,</w:t>
      </w:r>
      <w:r w:rsidRPr="00314731" w:rsidR="00846924">
        <w:t xml:space="preserve"> </w:t>
      </w:r>
      <w:r w:rsidR="009C505F">
        <w:t>m</w:t>
      </w:r>
      <w:r w:rsidRPr="00AE6786" w:rsidR="00AE6786">
        <w:t xml:space="preserve">aar of deze </w:t>
      </w:r>
      <w:r w:rsidR="00270D47">
        <w:t>inschatting</w:t>
      </w:r>
      <w:r w:rsidRPr="00AE6786" w:rsidR="00AE6786">
        <w:t xml:space="preserve"> juist is </w:t>
      </w:r>
      <w:r w:rsidR="00BE0823">
        <w:t xml:space="preserve">zou </w:t>
      </w:r>
      <w:r w:rsidRPr="00AE6786" w:rsidR="00AE6786">
        <w:t>moeten blijken uit een uitvoeringstoets</w:t>
      </w:r>
      <w:r w:rsidR="009C505F">
        <w:t>.</w:t>
      </w:r>
    </w:p>
    <w:p w:rsidRPr="00314731" w:rsidR="00F81B83" w:rsidP="00314731" w:rsidRDefault="00A85582" w14:paraId="30C3F357" w14:textId="77777777">
      <w:pPr>
        <w:spacing w:line="276" w:lineRule="auto"/>
      </w:pPr>
      <w:r w:rsidRPr="00314731">
        <w:t xml:space="preserve">Dit geldt ook voor de mate waarin de administratieve lasten al dan niet </w:t>
      </w:r>
      <w:r w:rsidR="003A2E11">
        <w:t>worden</w:t>
      </w:r>
      <w:r w:rsidRPr="00314731">
        <w:t xml:space="preserve"> verhoogd. </w:t>
      </w:r>
    </w:p>
    <w:p w:rsidRPr="00314731" w:rsidR="00F81B83" w:rsidP="00314731" w:rsidRDefault="00F81B83" w14:paraId="685B275F" w14:textId="77777777">
      <w:pPr>
        <w:spacing w:line="276" w:lineRule="auto"/>
      </w:pPr>
    </w:p>
    <w:p w:rsidRPr="00314731" w:rsidR="00101D6F" w:rsidP="00314731" w:rsidRDefault="00544668" w14:paraId="0C024E64" w14:textId="77777777">
      <w:pPr>
        <w:spacing w:line="276" w:lineRule="auto"/>
        <w:rPr>
          <w:u w:val="single"/>
        </w:rPr>
      </w:pPr>
      <w:r w:rsidRPr="00314731">
        <w:rPr>
          <w:u w:val="single"/>
        </w:rPr>
        <w:t xml:space="preserve">Subject </w:t>
      </w:r>
    </w:p>
    <w:p w:rsidRPr="00314731" w:rsidR="00BF36C5" w:rsidP="00314731" w:rsidRDefault="00101D6F" w14:paraId="4F8614DD" w14:textId="77777777">
      <w:pPr>
        <w:spacing w:line="276" w:lineRule="auto"/>
      </w:pPr>
      <w:r w:rsidRPr="00314731">
        <w:t>De eindheffing z</w:t>
      </w:r>
      <w:r w:rsidRPr="00314731" w:rsidR="00F92A8A">
        <w:t>ou</w:t>
      </w:r>
      <w:r w:rsidRPr="00314731">
        <w:t xml:space="preserve"> zien op </w:t>
      </w:r>
      <w:r w:rsidRPr="00314731" w:rsidR="009A7065">
        <w:t>ANBI’s</w:t>
      </w:r>
      <w:r w:rsidRPr="00314731">
        <w:t xml:space="preserve"> die </w:t>
      </w:r>
      <w:r w:rsidRPr="00314731" w:rsidR="009A7065">
        <w:t xml:space="preserve">na </w:t>
      </w:r>
      <w:r w:rsidRPr="00314731" w:rsidR="00F92A8A">
        <w:t xml:space="preserve">de </w:t>
      </w:r>
      <w:r w:rsidRPr="00314731" w:rsidR="009A7065">
        <w:t xml:space="preserve">datum </w:t>
      </w:r>
      <w:r w:rsidRPr="00314731" w:rsidR="00F92A8A">
        <w:t xml:space="preserve">van </w:t>
      </w:r>
      <w:r w:rsidRPr="00314731" w:rsidR="009A7065">
        <w:t>inwerkingtreding van de eindheffing de ANBI-status verliezen. Met andere woorden</w:t>
      </w:r>
      <w:r w:rsidRPr="00314731" w:rsidR="00F92A8A">
        <w:t xml:space="preserve">, </w:t>
      </w:r>
      <w:r w:rsidRPr="00314731" w:rsidR="009A7065">
        <w:t xml:space="preserve">de heffing </w:t>
      </w:r>
      <w:r w:rsidRPr="00314731" w:rsidR="00F92A8A">
        <w:t xml:space="preserve">zou </w:t>
      </w:r>
      <w:r w:rsidRPr="00314731" w:rsidR="009F78AA">
        <w:t>van toepassing zijn</w:t>
      </w:r>
      <w:r w:rsidRPr="00314731" w:rsidR="009A7065">
        <w:t xml:space="preserve"> op </w:t>
      </w:r>
      <w:r w:rsidRPr="00314731" w:rsidR="00F92A8A">
        <w:t xml:space="preserve">voormalige </w:t>
      </w:r>
      <w:r w:rsidRPr="00314731" w:rsidR="009A7065">
        <w:t>ANBI</w:t>
      </w:r>
      <w:r w:rsidRPr="00314731" w:rsidR="009F78AA">
        <w:t>’</w:t>
      </w:r>
      <w:r w:rsidRPr="00314731" w:rsidR="009A7065">
        <w:t>s</w:t>
      </w:r>
      <w:r w:rsidR="00993349">
        <w:t>.</w:t>
      </w:r>
    </w:p>
    <w:p w:rsidRPr="00314731" w:rsidR="00A70C53" w:rsidP="00314731" w:rsidRDefault="00A70C53" w14:paraId="65DB4783" w14:textId="77777777">
      <w:pPr>
        <w:spacing w:line="276" w:lineRule="auto"/>
      </w:pPr>
    </w:p>
    <w:p w:rsidRPr="00314731" w:rsidR="00A70C53" w:rsidP="00314731" w:rsidRDefault="00A70C53" w14:paraId="285355A4" w14:textId="77777777">
      <w:pPr>
        <w:spacing w:line="276" w:lineRule="auto"/>
        <w:rPr>
          <w:rFonts w:cs="IrisUPC"/>
        </w:rPr>
      </w:pPr>
      <w:r w:rsidRPr="00314731">
        <w:t>Bezien kan worden of de heffing ook moet gelden voor in het buitenland gevestigde</w:t>
      </w:r>
      <w:r w:rsidRPr="00314731" w:rsidR="00AB0F26">
        <w:t xml:space="preserve"> voormalige</w:t>
      </w:r>
      <w:r w:rsidRPr="00314731">
        <w:t xml:space="preserve"> ANBI’s. De informatieverplichting geldt </w:t>
      </w:r>
      <w:r w:rsidRPr="00314731" w:rsidR="009F78AA">
        <w:t xml:space="preserve">weliswaar </w:t>
      </w:r>
      <w:r w:rsidRPr="00314731">
        <w:t>niet voor in het buitenland gevestigde voormalige ANBI</w:t>
      </w:r>
      <w:r w:rsidRPr="00314731" w:rsidR="009F78AA">
        <w:t>’</w:t>
      </w:r>
      <w:r w:rsidRPr="00314731">
        <w:t>s</w:t>
      </w:r>
      <w:r w:rsidRPr="00314731" w:rsidR="009F78AA">
        <w:t xml:space="preserve"> maar het is denkbaar </w:t>
      </w:r>
      <w:r w:rsidRPr="00314731" w:rsidR="00AB0F26">
        <w:rPr>
          <w:rFonts w:cs="IrisUPC"/>
        </w:rPr>
        <w:t>om de ein</w:t>
      </w:r>
      <w:r w:rsidRPr="00314731" w:rsidR="00866104">
        <w:rPr>
          <w:rFonts w:cs="IrisUPC"/>
        </w:rPr>
        <w:t>d</w:t>
      </w:r>
      <w:r w:rsidRPr="00314731" w:rsidR="00AB0F26">
        <w:rPr>
          <w:rFonts w:cs="IrisUPC"/>
        </w:rPr>
        <w:t xml:space="preserve">heffing </w:t>
      </w:r>
      <w:r w:rsidR="00993349">
        <w:rPr>
          <w:rFonts w:cs="IrisUPC"/>
        </w:rPr>
        <w:t xml:space="preserve">wel </w:t>
      </w:r>
      <w:r w:rsidRPr="00314731" w:rsidR="00F72714">
        <w:rPr>
          <w:rFonts w:cs="IrisUPC"/>
        </w:rPr>
        <w:t xml:space="preserve">van toepassing te verklaren </w:t>
      </w:r>
      <w:r w:rsidR="00993349">
        <w:rPr>
          <w:rFonts w:cs="IrisUPC"/>
        </w:rPr>
        <w:t xml:space="preserve">op </w:t>
      </w:r>
      <w:r w:rsidRPr="00314731" w:rsidR="00866104">
        <w:rPr>
          <w:rFonts w:cs="IrisUPC"/>
        </w:rPr>
        <w:t xml:space="preserve">in het buitenland gevestigde </w:t>
      </w:r>
      <w:r w:rsidRPr="00314731" w:rsidR="00C045F2">
        <w:rPr>
          <w:rFonts w:cs="IrisUPC"/>
        </w:rPr>
        <w:t xml:space="preserve">voormalige </w:t>
      </w:r>
      <w:r w:rsidRPr="00314731" w:rsidR="00866104">
        <w:rPr>
          <w:rFonts w:cs="IrisUPC"/>
        </w:rPr>
        <w:t xml:space="preserve">ANBI’s. </w:t>
      </w:r>
      <w:r w:rsidRPr="00314731" w:rsidR="00C045F2">
        <w:rPr>
          <w:rFonts w:cs="IrisUPC"/>
        </w:rPr>
        <w:t xml:space="preserve">Hiermee </w:t>
      </w:r>
      <w:r w:rsidRPr="00314731" w:rsidR="0040186E">
        <w:rPr>
          <w:rFonts w:cs="IrisUPC"/>
        </w:rPr>
        <w:t xml:space="preserve">zou </w:t>
      </w:r>
      <w:r w:rsidRPr="00314731" w:rsidR="009F78AA">
        <w:rPr>
          <w:rFonts w:cs="IrisUPC"/>
        </w:rPr>
        <w:t xml:space="preserve">een sluitend systeem </w:t>
      </w:r>
      <w:r w:rsidRPr="00314731" w:rsidR="0040186E">
        <w:rPr>
          <w:rFonts w:cs="IrisUPC"/>
        </w:rPr>
        <w:t>ontstaan.</w:t>
      </w:r>
      <w:r w:rsidRPr="00314731" w:rsidR="008732DD">
        <w:rPr>
          <w:rFonts w:cs="IrisUPC"/>
        </w:rPr>
        <w:t xml:space="preserve"> </w:t>
      </w:r>
    </w:p>
    <w:p w:rsidRPr="00314731" w:rsidR="00544668" w:rsidP="00314731" w:rsidRDefault="00544668" w14:paraId="20094162" w14:textId="77777777">
      <w:pPr>
        <w:spacing w:line="276" w:lineRule="auto"/>
      </w:pPr>
    </w:p>
    <w:p w:rsidRPr="00314731" w:rsidR="00544668" w:rsidP="00314731" w:rsidRDefault="00544668" w14:paraId="1E1E070C" w14:textId="77777777">
      <w:pPr>
        <w:spacing w:line="276" w:lineRule="auto"/>
        <w:rPr>
          <w:u w:val="single"/>
        </w:rPr>
      </w:pPr>
      <w:r w:rsidRPr="00314731">
        <w:rPr>
          <w:u w:val="single"/>
        </w:rPr>
        <w:t>Belastbaar feit</w:t>
      </w:r>
    </w:p>
    <w:p w:rsidR="00993349" w:rsidP="00314731" w:rsidRDefault="00A82EEA" w14:paraId="010124EA" w14:textId="77777777">
      <w:pPr>
        <w:spacing w:line="276" w:lineRule="auto"/>
      </w:pPr>
      <w:r w:rsidRPr="00314731">
        <w:t xml:space="preserve">Het belastbaar feit is het </w:t>
      </w:r>
      <w:r w:rsidRPr="00314731" w:rsidR="00FA4E7A">
        <w:t>feit</w:t>
      </w:r>
      <w:r w:rsidRPr="00314731">
        <w:t xml:space="preserve"> dat als rechtsgevolg heeft dat </w:t>
      </w:r>
      <w:r w:rsidRPr="00314731" w:rsidR="00FA4E7A">
        <w:t>de eindheffing is</w:t>
      </w:r>
      <w:r w:rsidRPr="00314731">
        <w:t xml:space="preserve"> verschuldigd. </w:t>
      </w:r>
      <w:r w:rsidRPr="00314731" w:rsidR="00FA4E7A">
        <w:t xml:space="preserve">In dit geval zou </w:t>
      </w:r>
      <w:r w:rsidRPr="00314731" w:rsidR="0040186E">
        <w:t xml:space="preserve">het </w:t>
      </w:r>
      <w:r w:rsidRPr="00314731" w:rsidR="003A1FD2">
        <w:t xml:space="preserve">belastbaar feit </w:t>
      </w:r>
      <w:r w:rsidR="00AE6786">
        <w:t xml:space="preserve">mogelijk </w:t>
      </w:r>
      <w:r w:rsidRPr="00314731" w:rsidR="003A1FD2">
        <w:t>kunnen zijn</w:t>
      </w:r>
      <w:r w:rsidRPr="00314731" w:rsidR="008C352A">
        <w:t xml:space="preserve">: </w:t>
      </w:r>
      <w:r w:rsidR="003D2C9D">
        <w:t>de aanwezigheid van</w:t>
      </w:r>
      <w:r w:rsidR="00452220">
        <w:t xml:space="preserve"> ANBI-vermogen aan het einde van de termijn waarbinnen het ANBI</w:t>
      </w:r>
      <w:r w:rsidR="00452220">
        <w:noBreakHyphen/>
        <w:t xml:space="preserve">vermogen algemeen nuttig besteed moet zijn. </w:t>
      </w:r>
    </w:p>
    <w:p w:rsidR="00993349" w:rsidP="00314731" w:rsidRDefault="00993349" w14:paraId="23F1D869" w14:textId="77777777">
      <w:pPr>
        <w:spacing w:line="276" w:lineRule="auto"/>
      </w:pPr>
    </w:p>
    <w:p w:rsidR="00544668" w:rsidP="00314731" w:rsidRDefault="0040186E" w14:paraId="1007FEDA" w14:textId="77777777">
      <w:pPr>
        <w:spacing w:line="276" w:lineRule="auto"/>
      </w:pPr>
      <w:r w:rsidRPr="00314731">
        <w:t xml:space="preserve">Het invoeren van deze heffing </w:t>
      </w:r>
      <w:r w:rsidRPr="00314731" w:rsidR="004B6D5F">
        <w:t xml:space="preserve">betekent wel </w:t>
      </w:r>
      <w:r w:rsidRPr="00314731" w:rsidR="00A52B0C">
        <w:t xml:space="preserve">dat </w:t>
      </w:r>
      <w:r w:rsidRPr="00314731" w:rsidR="004B6D5F">
        <w:t xml:space="preserve">de drempel om </w:t>
      </w:r>
      <w:r w:rsidRPr="00314731" w:rsidR="00A52B0C">
        <w:t xml:space="preserve">op eigen verzoek de ANBI-status te laten </w:t>
      </w:r>
      <w:r w:rsidRPr="00314731" w:rsidR="00A07F87">
        <w:t>in</w:t>
      </w:r>
      <w:r w:rsidRPr="00314731" w:rsidR="00A52B0C">
        <w:t xml:space="preserve">trekken – bijvoorbeeld vanwege de administratieve lasten </w:t>
      </w:r>
      <w:r w:rsidRPr="00314731" w:rsidR="00E377ED">
        <w:t>–</w:t>
      </w:r>
      <w:r w:rsidRPr="00314731" w:rsidR="00A52B0C">
        <w:t xml:space="preserve"> hog</w:t>
      </w:r>
      <w:r w:rsidRPr="00314731">
        <w:t>er</w:t>
      </w:r>
      <w:r w:rsidRPr="00314731" w:rsidR="00A52B0C">
        <w:t xml:space="preserve"> kan komen te liggen.</w:t>
      </w:r>
      <w:r w:rsidRPr="00314731" w:rsidR="00F72714">
        <w:t xml:space="preserve"> </w:t>
      </w:r>
      <w:r w:rsidRPr="00314731" w:rsidR="00BA3BDE">
        <w:t xml:space="preserve">Tegelijkertijd leidt dit </w:t>
      </w:r>
      <w:r w:rsidRPr="00314731" w:rsidR="000A55DB">
        <w:t xml:space="preserve">er </w:t>
      </w:r>
      <w:r w:rsidRPr="00314731" w:rsidR="003A1FD2">
        <w:t xml:space="preserve">vermoedelijk </w:t>
      </w:r>
      <w:r w:rsidRPr="00314731" w:rsidR="00BA3BDE">
        <w:t xml:space="preserve">wel toe dat het aanvragen van een ANBI-status door organisaties </w:t>
      </w:r>
      <w:r w:rsidRPr="00314731" w:rsidR="0077020C">
        <w:t>beter</w:t>
      </w:r>
      <w:r w:rsidRPr="00314731" w:rsidR="00BA3BDE">
        <w:t xml:space="preserve"> afgewogen zal worden</w:t>
      </w:r>
      <w:r w:rsidRPr="00314731" w:rsidR="0077020C">
        <w:t xml:space="preserve">, omdat intrekking van een ANBI-status </w:t>
      </w:r>
      <w:r w:rsidRPr="00314731" w:rsidR="003A1FD2">
        <w:t>ook fiscale gevolgen kan hebben</w:t>
      </w:r>
      <w:r w:rsidR="00993349">
        <w:t>.</w:t>
      </w:r>
      <w:r w:rsidR="003C7B46">
        <w:t xml:space="preserve"> </w:t>
      </w:r>
    </w:p>
    <w:p w:rsidRPr="00314731" w:rsidR="00AE6786" w:rsidP="00314731" w:rsidRDefault="00AE6786" w14:paraId="1DC8B3D9" w14:textId="77777777">
      <w:pPr>
        <w:spacing w:line="276" w:lineRule="auto"/>
        <w:rPr>
          <w:u w:val="single"/>
        </w:rPr>
      </w:pPr>
    </w:p>
    <w:p w:rsidRPr="00314731" w:rsidR="00544668" w:rsidP="00314731" w:rsidRDefault="00544668" w14:paraId="37A841F8" w14:textId="77777777">
      <w:pPr>
        <w:spacing w:line="276" w:lineRule="auto"/>
        <w:rPr>
          <w:u w:val="single"/>
        </w:rPr>
      </w:pPr>
      <w:r w:rsidRPr="00314731">
        <w:rPr>
          <w:u w:val="single"/>
        </w:rPr>
        <w:t>Heffingsgrondslag</w:t>
      </w:r>
    </w:p>
    <w:p w:rsidR="00200AB9" w:rsidP="00314731" w:rsidRDefault="00C63FCB" w14:paraId="4CF796C8" w14:textId="77777777">
      <w:pPr>
        <w:spacing w:line="276" w:lineRule="auto"/>
        <w:rPr>
          <w:i/>
          <w:iCs/>
        </w:rPr>
      </w:pPr>
      <w:r w:rsidRPr="00314731">
        <w:t>De</w:t>
      </w:r>
      <w:r w:rsidRPr="00314731" w:rsidR="00FA4E7A">
        <w:t xml:space="preserve"> </w:t>
      </w:r>
      <w:r w:rsidR="00AE6786">
        <w:t xml:space="preserve">mogelijke </w:t>
      </w:r>
      <w:r w:rsidRPr="00314731" w:rsidR="00FA4E7A">
        <w:t>heffings</w:t>
      </w:r>
      <w:r w:rsidRPr="00314731">
        <w:t xml:space="preserve">grondslag </w:t>
      </w:r>
      <w:r w:rsidR="00AE6786">
        <w:t>is</w:t>
      </w:r>
      <w:r w:rsidRPr="00314731">
        <w:t xml:space="preserve"> het </w:t>
      </w:r>
      <w:r w:rsidRPr="00314731" w:rsidR="003A1FD2">
        <w:t xml:space="preserve">nog resterende </w:t>
      </w:r>
      <w:r w:rsidRPr="00314731" w:rsidR="00BE1FC0">
        <w:t>ANBI-vermogen</w:t>
      </w:r>
      <w:r w:rsidRPr="00314731" w:rsidR="00EB4DBF">
        <w:t xml:space="preserve"> </w:t>
      </w:r>
      <w:r w:rsidRPr="00314731" w:rsidR="00FA4E7A">
        <w:t xml:space="preserve">op het </w:t>
      </w:r>
      <w:r w:rsidRPr="00314731" w:rsidR="0040186E">
        <w:t xml:space="preserve">tijdstip nadat de afzienbare periode na de intrekking van de ANBI-status is verstreken. </w:t>
      </w:r>
      <w:r w:rsidRPr="00314731" w:rsidR="00200AB9">
        <w:t xml:space="preserve">Hiervoor </w:t>
      </w:r>
      <w:r w:rsidRPr="00314731" w:rsidR="00FA4E7A">
        <w:t>zou</w:t>
      </w:r>
      <w:r w:rsidRPr="00314731" w:rsidR="00200AB9">
        <w:t xml:space="preserve"> </w:t>
      </w:r>
      <w:r w:rsidRPr="00314731" w:rsidR="00CF359C">
        <w:t xml:space="preserve">aansluiting </w:t>
      </w:r>
      <w:r w:rsidRPr="00314731" w:rsidR="00FA4E7A">
        <w:t xml:space="preserve">kunnen </w:t>
      </w:r>
      <w:r w:rsidRPr="00314731" w:rsidR="00CF359C">
        <w:t xml:space="preserve">worden gezocht </w:t>
      </w:r>
      <w:r w:rsidRPr="00314731" w:rsidR="00200AB9">
        <w:t>bij de definitie van ANBI-vermogen voor de huidige informatieverplichting</w:t>
      </w:r>
      <w:r w:rsidRPr="00314731" w:rsidR="00CF359C">
        <w:t>.</w:t>
      </w:r>
      <w:r w:rsidRPr="00314731" w:rsidR="00CF359C">
        <w:rPr>
          <w:rStyle w:val="Voetnootmarkering"/>
        </w:rPr>
        <w:footnoteReference w:id="42"/>
      </w:r>
      <w:r w:rsidRPr="00314731" w:rsidR="00200AB9">
        <w:t xml:space="preserve"> </w:t>
      </w:r>
      <w:r w:rsidRPr="00314731" w:rsidR="00FA4E7A">
        <w:t>Voor</w:t>
      </w:r>
      <w:r w:rsidRPr="00314731" w:rsidR="00CF359C">
        <w:t xml:space="preserve"> deze heffing </w:t>
      </w:r>
      <w:r w:rsidRPr="00314731" w:rsidR="00FA4E7A">
        <w:t xml:space="preserve">zal dan </w:t>
      </w:r>
      <w:r w:rsidRPr="00314731" w:rsidR="00200AB9">
        <w:t>onder</w:t>
      </w:r>
      <w:r w:rsidRPr="00314731" w:rsidR="00FA4E7A">
        <w:t xml:space="preserve"> het</w:t>
      </w:r>
      <w:r w:rsidRPr="00314731" w:rsidR="00200AB9">
        <w:t xml:space="preserve"> ANBI-vermogen</w:t>
      </w:r>
      <w:r w:rsidRPr="00314731" w:rsidR="00FA4E7A">
        <w:t xml:space="preserve"> worden</w:t>
      </w:r>
      <w:r w:rsidRPr="00314731" w:rsidR="00200AB9">
        <w:t xml:space="preserve"> verstaan: </w:t>
      </w:r>
      <w:r w:rsidRPr="00314731" w:rsidR="00200AB9">
        <w:rPr>
          <w:i/>
          <w:iCs/>
        </w:rPr>
        <w:t>het eigen vermogen van de instelling</w:t>
      </w:r>
      <w:r w:rsidRPr="00314731" w:rsidR="007C2375">
        <w:rPr>
          <w:rStyle w:val="Voetnootmarkering"/>
          <w:i/>
          <w:iCs/>
        </w:rPr>
        <w:footnoteReference w:id="43"/>
      </w:r>
      <w:r w:rsidRPr="00314731" w:rsidR="00200AB9">
        <w:rPr>
          <w:i/>
          <w:iCs/>
        </w:rPr>
        <w:t xml:space="preserve"> op het tijdstip met ingang waarvan deze </w:t>
      </w:r>
      <w:r w:rsidRPr="00314731" w:rsidR="00200AB9">
        <w:rPr>
          <w:i/>
          <w:iCs/>
          <w:color w:val="auto"/>
        </w:rPr>
        <w:t>ingevolge </w:t>
      </w:r>
      <w:hyperlink w:history="1" r:id="rId7">
        <w:r w:rsidRPr="00314731" w:rsidR="00200AB9">
          <w:rPr>
            <w:rStyle w:val="Hyperlink"/>
            <w:i/>
            <w:iCs/>
            <w:color w:val="auto"/>
            <w:u w:val="none"/>
          </w:rPr>
          <w:t>artikel 5b, zevende</w:t>
        </w:r>
      </w:hyperlink>
      <w:r w:rsidRPr="00314731" w:rsidR="00200AB9">
        <w:rPr>
          <w:i/>
          <w:iCs/>
          <w:color w:val="auto"/>
        </w:rPr>
        <w:t> of </w:t>
      </w:r>
      <w:hyperlink w:history="1" r:id="rId8">
        <w:r w:rsidRPr="00314731" w:rsidR="00200AB9">
          <w:rPr>
            <w:rStyle w:val="Hyperlink"/>
            <w:i/>
            <w:iCs/>
            <w:color w:val="auto"/>
            <w:u w:val="none"/>
          </w:rPr>
          <w:t>achtste lid</w:t>
        </w:r>
      </w:hyperlink>
      <w:r w:rsidRPr="00314731" w:rsidR="00200AB9">
        <w:rPr>
          <w:i/>
          <w:iCs/>
          <w:color w:val="auto"/>
        </w:rPr>
        <w:t>, van de Algem</w:t>
      </w:r>
      <w:r w:rsidRPr="00314731" w:rsidR="00200AB9">
        <w:rPr>
          <w:i/>
          <w:iCs/>
        </w:rPr>
        <w:t xml:space="preserve">ene wet inzake rijksbelastingen niet meer als algemeen nut beogende instelling is aangemerkt, verminderd met de bedragen die vanaf dat tijdstip </w:t>
      </w:r>
      <w:r w:rsidRPr="00314731" w:rsidR="00760562">
        <w:rPr>
          <w:i/>
          <w:iCs/>
        </w:rPr>
        <w:t>(</w:t>
      </w:r>
      <w:r w:rsidRPr="00314731" w:rsidR="007C2375">
        <w:rPr>
          <w:i/>
          <w:iCs/>
        </w:rPr>
        <w:t>gedurende twee jaar</w:t>
      </w:r>
      <w:r w:rsidRPr="00314731" w:rsidR="00760562">
        <w:rPr>
          <w:i/>
          <w:iCs/>
        </w:rPr>
        <w:t>)</w:t>
      </w:r>
      <w:r w:rsidRPr="00314731" w:rsidR="007C2375">
        <w:rPr>
          <w:i/>
          <w:iCs/>
        </w:rPr>
        <w:t xml:space="preserve"> </w:t>
      </w:r>
      <w:r w:rsidRPr="00314731" w:rsidR="00200AB9">
        <w:rPr>
          <w:i/>
          <w:iCs/>
        </w:rPr>
        <w:t>zijn besteed ter verwezenlijking van haar doelstelling en aan de daarmee verband houdende beheerkosten</w:t>
      </w:r>
      <w:r w:rsidRPr="0069474C" w:rsidR="00200AB9">
        <w:rPr>
          <w:i/>
          <w:iCs/>
        </w:rPr>
        <w:t>.</w:t>
      </w:r>
      <w:r w:rsidRPr="0069474C" w:rsidR="00CF359C">
        <w:rPr>
          <w:i/>
          <w:iCs/>
        </w:rPr>
        <w:t xml:space="preserve"> </w:t>
      </w:r>
    </w:p>
    <w:p w:rsidRPr="00B53181" w:rsidR="00452220" w:rsidP="00314731" w:rsidRDefault="00452220" w14:paraId="516043FB" w14:textId="77777777">
      <w:pPr>
        <w:spacing w:line="276" w:lineRule="auto"/>
      </w:pPr>
      <w:r>
        <w:lastRenderedPageBreak/>
        <w:t xml:space="preserve">Overwogen kan worden om te bepalen dat de </w:t>
      </w:r>
      <w:r w:rsidRPr="00314731">
        <w:t xml:space="preserve">ANBI aannemelijk </w:t>
      </w:r>
      <w:r>
        <w:t xml:space="preserve">moet </w:t>
      </w:r>
      <w:r w:rsidRPr="00314731">
        <w:t>maken welk bedrag na intrekking van de ANBI-status aan de algemeen nuttige doelstelling is besteed</w:t>
      </w:r>
      <w:r w:rsidR="006E7711">
        <w:t>.</w:t>
      </w:r>
    </w:p>
    <w:p w:rsidRPr="0069474C" w:rsidR="00452220" w:rsidP="00314731" w:rsidRDefault="00452220" w14:paraId="751CDF67" w14:textId="77777777">
      <w:pPr>
        <w:spacing w:line="276" w:lineRule="auto"/>
        <w:rPr>
          <w:i/>
          <w:iCs/>
        </w:rPr>
      </w:pPr>
    </w:p>
    <w:p w:rsidRPr="00472E84" w:rsidR="0069474C" w:rsidP="00314731" w:rsidRDefault="0069474C" w14:paraId="6FB36FD8" w14:textId="77777777">
      <w:pPr>
        <w:spacing w:line="276" w:lineRule="auto"/>
        <w:rPr>
          <w:highlight w:val="yellow"/>
        </w:rPr>
      </w:pPr>
      <w:r w:rsidRPr="00DF10C6">
        <w:t xml:space="preserve">Of het resterende ANBI-vermogen inderdaad een goede heffingsgrondslag zou zijn, zou verder onderzoek vergen. </w:t>
      </w:r>
      <w:r w:rsidR="007750F7">
        <w:t>Het</w:t>
      </w:r>
      <w:r w:rsidRPr="00DF10C6">
        <w:t xml:space="preserve"> eigen vermogen zal in de praktijk afkomstig zijn van uiteenlopende bronnen en niet alleen uit donaties.</w:t>
      </w:r>
      <w:r w:rsidR="003C7B46">
        <w:t xml:space="preserve"> </w:t>
      </w:r>
    </w:p>
    <w:p w:rsidRPr="00314731" w:rsidR="002A2BFB" w:rsidP="00314731" w:rsidRDefault="002A2BFB" w14:paraId="51D6B45E" w14:textId="77777777">
      <w:pPr>
        <w:spacing w:line="276" w:lineRule="auto"/>
        <w:rPr>
          <w:u w:val="single"/>
        </w:rPr>
      </w:pPr>
      <w:r w:rsidRPr="00314731">
        <w:rPr>
          <w:u w:val="single"/>
        </w:rPr>
        <w:t>Tarief</w:t>
      </w:r>
    </w:p>
    <w:p w:rsidR="006403B1" w:rsidP="00314731" w:rsidRDefault="0045773F" w14:paraId="34D26094" w14:textId="77777777">
      <w:pPr>
        <w:spacing w:line="276" w:lineRule="auto"/>
      </w:pPr>
      <w:r w:rsidRPr="00314731">
        <w:t xml:space="preserve">Voor het tarief kan </w:t>
      </w:r>
      <w:r w:rsidR="006C26B2">
        <w:t>aansluiting gezocht</w:t>
      </w:r>
      <w:r w:rsidRPr="00314731">
        <w:t xml:space="preserve"> worden bij het tarief </w:t>
      </w:r>
      <w:r w:rsidRPr="00314731" w:rsidR="00200AB9">
        <w:t>in</w:t>
      </w:r>
      <w:r w:rsidRPr="00314731" w:rsidR="008732DD">
        <w:t xml:space="preserve"> </w:t>
      </w:r>
      <w:r w:rsidRPr="00314731" w:rsidR="00872736">
        <w:t xml:space="preserve">de schenk- </w:t>
      </w:r>
      <w:r w:rsidRPr="00314731" w:rsidR="008732DD">
        <w:t>en</w:t>
      </w:r>
      <w:r w:rsidRPr="00314731" w:rsidR="00872736">
        <w:t xml:space="preserve"> erfbelasting </w:t>
      </w:r>
      <w:r w:rsidRPr="00314731" w:rsidR="00200AB9">
        <w:t>voor derden van 30%</w:t>
      </w:r>
      <w:r w:rsidRPr="00314731" w:rsidR="008732DD">
        <w:t xml:space="preserve"> voor een belaste verkrijging tot en met € </w:t>
      </w:r>
      <w:r w:rsidRPr="00314731" w:rsidR="003A1FD2">
        <w:t>158.669</w:t>
      </w:r>
      <w:r w:rsidRPr="00314731" w:rsidR="008732DD">
        <w:t xml:space="preserve"> en 40% voor zover de verkrijging hoger is</w:t>
      </w:r>
      <w:r w:rsidRPr="00314731" w:rsidR="00891DBD">
        <w:t xml:space="preserve"> (202</w:t>
      </w:r>
      <w:r w:rsidRPr="00314731" w:rsidR="003A1FD2">
        <w:t>6</w:t>
      </w:r>
      <w:r w:rsidRPr="00314731" w:rsidR="00891DBD">
        <w:t>)</w:t>
      </w:r>
      <w:r w:rsidRPr="00314731" w:rsidR="00200AB9">
        <w:t>.</w:t>
      </w:r>
      <w:r w:rsidRPr="00314731" w:rsidR="00200AB9">
        <w:rPr>
          <w:rStyle w:val="Voetnootmarkering"/>
        </w:rPr>
        <w:footnoteReference w:id="44"/>
      </w:r>
      <w:r w:rsidRPr="00314731" w:rsidR="00200AB9">
        <w:t xml:space="preserve"> </w:t>
      </w:r>
      <w:r w:rsidRPr="00314731" w:rsidR="008732DD">
        <w:t xml:space="preserve">Dit tarief </w:t>
      </w:r>
      <w:r w:rsidR="008746DA">
        <w:t xml:space="preserve">van 30% of 40% </w:t>
      </w:r>
      <w:r w:rsidRPr="00314731" w:rsidR="008732DD">
        <w:t xml:space="preserve">zou immers ook van toepassing zijn voor verkrijgingen door en van een ANBI </w:t>
      </w:r>
      <w:proofErr w:type="gramStart"/>
      <w:r w:rsidRPr="00314731" w:rsidR="008732DD">
        <w:t>indien</w:t>
      </w:r>
      <w:proofErr w:type="gramEnd"/>
      <w:r w:rsidRPr="00314731" w:rsidR="008732DD">
        <w:t xml:space="preserve"> de vrijstelling van schenk- en erfbelasting daarvoor niet zou gelden</w:t>
      </w:r>
      <w:r w:rsidR="006C26B2">
        <w:t xml:space="preserve">. </w:t>
      </w:r>
      <w:r w:rsidR="006403B1">
        <w:t>Omdat het resterende ANBI-vermogen kan bestaan uit</w:t>
      </w:r>
      <w:r w:rsidRPr="00314731" w:rsidR="006403B1">
        <w:t xml:space="preserve"> verkrijgingen d</w:t>
      </w:r>
      <w:r w:rsidR="006403B1">
        <w:t>ie</w:t>
      </w:r>
      <w:r w:rsidRPr="00314731" w:rsidR="006403B1">
        <w:t xml:space="preserve"> in de loop der jaren </w:t>
      </w:r>
      <w:r w:rsidR="006403B1">
        <w:t>zijn</w:t>
      </w:r>
      <w:r w:rsidRPr="00314731" w:rsidR="006403B1">
        <w:t xml:space="preserve"> ontvangen</w:t>
      </w:r>
      <w:r w:rsidR="006403B1">
        <w:t>, zou een</w:t>
      </w:r>
      <w:r w:rsidRPr="00314731" w:rsidR="006403B1">
        <w:t xml:space="preserve"> tarief van ten hoogste 30% </w:t>
      </w:r>
      <w:r w:rsidR="006403B1">
        <w:t>passend zijn</w:t>
      </w:r>
      <w:r w:rsidRPr="00314731" w:rsidR="006403B1">
        <w:t>.</w:t>
      </w:r>
      <w:r w:rsidR="006403B1">
        <w:t xml:space="preserve"> Reconstructie van de totstandkoming van het reserverende ANBI-vermogen zal waarschijnlijk niet altijd mogelijk zijn.</w:t>
      </w:r>
    </w:p>
    <w:p w:rsidRPr="00314731" w:rsidR="002C5778" w:rsidP="00314731" w:rsidRDefault="002C5778" w14:paraId="05CFCCDC" w14:textId="77777777">
      <w:pPr>
        <w:spacing w:line="276" w:lineRule="auto"/>
      </w:pPr>
    </w:p>
    <w:p w:rsidRPr="00314731" w:rsidR="002A2BFB" w:rsidP="00314731" w:rsidRDefault="002A2BFB" w14:paraId="0FF2C527" w14:textId="77777777">
      <w:pPr>
        <w:spacing w:line="276" w:lineRule="auto"/>
        <w:rPr>
          <w:u w:val="single"/>
        </w:rPr>
      </w:pPr>
      <w:r w:rsidRPr="00314731">
        <w:rPr>
          <w:u w:val="single"/>
        </w:rPr>
        <w:t>Tijdstip van heffing</w:t>
      </w:r>
    </w:p>
    <w:p w:rsidRPr="008D46A9" w:rsidR="00903C9A" w:rsidP="00314731" w:rsidRDefault="005F32EC" w14:paraId="6F82299B" w14:textId="77777777">
      <w:pPr>
        <w:spacing w:line="276" w:lineRule="auto"/>
      </w:pPr>
      <w:r w:rsidRPr="00314731">
        <w:t xml:space="preserve">De eindheffing </w:t>
      </w:r>
      <w:r w:rsidRPr="00314731" w:rsidR="008732DD">
        <w:t>is verschuldigd</w:t>
      </w:r>
      <w:r w:rsidRPr="00314731">
        <w:t xml:space="preserve"> op het moment dat de afzienbare periode na het verliezen van de ANBI-status is verstreken. </w:t>
      </w:r>
      <w:r w:rsidRPr="00314731" w:rsidR="00866104">
        <w:t xml:space="preserve">Om misbruik te voorkomen kan worden bezien of het </w:t>
      </w:r>
      <w:r w:rsidRPr="00314731">
        <w:t xml:space="preserve">gewenst en </w:t>
      </w:r>
      <w:r w:rsidRPr="00314731" w:rsidR="00866104">
        <w:t xml:space="preserve">juridisch houdbaar </w:t>
      </w:r>
      <w:r w:rsidR="00452220">
        <w:t>zou zijn</w:t>
      </w:r>
      <w:r w:rsidRPr="00314731" w:rsidR="00452220">
        <w:t xml:space="preserve"> </w:t>
      </w:r>
      <w:r w:rsidRPr="00314731" w:rsidR="00866104">
        <w:t>om</w:t>
      </w:r>
      <w:r w:rsidR="00812A59">
        <w:t xml:space="preserve"> zekerheden te laten stellen</w:t>
      </w:r>
      <w:r w:rsidR="00277562">
        <w:t xml:space="preserve"> </w:t>
      </w:r>
      <w:r w:rsidR="008746DA">
        <w:t xml:space="preserve">of </w:t>
      </w:r>
      <w:r w:rsidR="00DA2212">
        <w:t>om</w:t>
      </w:r>
      <w:r w:rsidR="008746DA">
        <w:t xml:space="preserve"> een conserverende aanslag</w:t>
      </w:r>
      <w:r w:rsidR="00DA2212">
        <w:t xml:space="preserve"> op te leggen</w:t>
      </w:r>
      <w:r w:rsidR="008746DA">
        <w:t xml:space="preserve"> </w:t>
      </w:r>
      <w:r w:rsidRPr="00314731" w:rsidR="00866104">
        <w:t>ingeval een voormalige ANBI naar het buitenland verhuis</w:t>
      </w:r>
      <w:r w:rsidRPr="00314731">
        <w:t>t</w:t>
      </w:r>
      <w:r w:rsidRPr="00314731" w:rsidR="00866104">
        <w:t xml:space="preserve">. </w:t>
      </w:r>
    </w:p>
    <w:p w:rsidR="00903C9A" w:rsidP="00314731" w:rsidRDefault="00903C9A" w14:paraId="6F83013D" w14:textId="77777777">
      <w:pPr>
        <w:spacing w:line="276" w:lineRule="auto"/>
        <w:rPr>
          <w:u w:val="single"/>
        </w:rPr>
      </w:pPr>
    </w:p>
    <w:p w:rsidRPr="00314731" w:rsidR="002A2BFB" w:rsidP="00314731" w:rsidRDefault="002A2BFB" w14:paraId="0FD36A96" w14:textId="77777777">
      <w:pPr>
        <w:spacing w:line="276" w:lineRule="auto"/>
        <w:rPr>
          <w:u w:val="single"/>
        </w:rPr>
      </w:pPr>
      <w:r w:rsidRPr="00314731">
        <w:rPr>
          <w:u w:val="single"/>
        </w:rPr>
        <w:t>Wijze van heffing</w:t>
      </w:r>
    </w:p>
    <w:p w:rsidRPr="00314731" w:rsidR="00866104" w:rsidP="00314731" w:rsidRDefault="00866104" w14:paraId="3CACC5D9" w14:textId="77777777">
      <w:pPr>
        <w:spacing w:line="276" w:lineRule="auto"/>
      </w:pPr>
      <w:r w:rsidRPr="00314731">
        <w:t xml:space="preserve">De </w:t>
      </w:r>
      <w:r w:rsidR="00812A59">
        <w:t xml:space="preserve">vraag is of de </w:t>
      </w:r>
      <w:r w:rsidRPr="00314731">
        <w:t>belasting wordt geheven bij wege van aanslag</w:t>
      </w:r>
      <w:r w:rsidR="006403B1">
        <w:t>. De</w:t>
      </w:r>
      <w:r w:rsidRPr="00314731">
        <w:t xml:space="preserve"> voormalige ANBI </w:t>
      </w:r>
      <w:r w:rsidR="006403B1">
        <w:t xml:space="preserve">dient </w:t>
      </w:r>
      <w:r w:rsidRPr="00314731">
        <w:t>hiervoor een aangifte</w:t>
      </w:r>
      <w:r w:rsidRPr="00314731" w:rsidR="008732DD">
        <w:t xml:space="preserve"> </w:t>
      </w:r>
      <w:r w:rsidRPr="00314731" w:rsidR="00A201FA">
        <w:t xml:space="preserve">in </w:t>
      </w:r>
      <w:r w:rsidRPr="00314731" w:rsidR="00BF6600">
        <w:t xml:space="preserve">binnen </w:t>
      </w:r>
      <w:r w:rsidR="006403B1">
        <w:t>(</w:t>
      </w:r>
      <w:r w:rsidRPr="00314731" w:rsidR="00A201FA">
        <w:t xml:space="preserve">een </w:t>
      </w:r>
      <w:r w:rsidR="006403B1">
        <w:t xml:space="preserve">nader te bepalen) </w:t>
      </w:r>
      <w:r w:rsidRPr="00314731" w:rsidR="00A201FA">
        <w:t>aantal</w:t>
      </w:r>
      <w:r w:rsidRPr="00314731" w:rsidR="00BF6600">
        <w:t xml:space="preserve"> maanden na afloop van het kalenderjaar</w:t>
      </w:r>
      <w:r w:rsidRPr="00314731">
        <w:t xml:space="preserve"> </w:t>
      </w:r>
      <w:r w:rsidRPr="00314731" w:rsidR="004813E6">
        <w:t>waarin de afzienbare periode (na intrekking van de ANBI-status) ten einde is gekomen</w:t>
      </w:r>
      <w:r w:rsidRPr="00314731">
        <w:t xml:space="preserve">. </w:t>
      </w:r>
    </w:p>
    <w:p w:rsidRPr="00314731" w:rsidR="00245D43" w:rsidP="00314731" w:rsidRDefault="00245D43" w14:paraId="4B2EE901" w14:textId="77777777">
      <w:pPr>
        <w:spacing w:line="276" w:lineRule="auto"/>
      </w:pPr>
    </w:p>
    <w:p w:rsidRPr="00314731" w:rsidR="002A2BFB" w:rsidP="00314731" w:rsidRDefault="002A2BFB" w14:paraId="61AD96AA" w14:textId="77777777">
      <w:pPr>
        <w:spacing w:line="276" w:lineRule="auto"/>
        <w:rPr>
          <w:i/>
          <w:iCs/>
        </w:rPr>
      </w:pPr>
      <w:r w:rsidRPr="00314731">
        <w:rPr>
          <w:i/>
          <w:iCs/>
        </w:rPr>
        <w:t>Uitkomst verkenni</w:t>
      </w:r>
      <w:r w:rsidRPr="00314731" w:rsidR="00FE200C">
        <w:rPr>
          <w:i/>
          <w:iCs/>
        </w:rPr>
        <w:t>ng</w:t>
      </w:r>
      <w:r w:rsidR="00305A5C">
        <w:rPr>
          <w:i/>
          <w:iCs/>
        </w:rPr>
        <w:t xml:space="preserve"> </w:t>
      </w:r>
      <w:r w:rsidR="00993349">
        <w:rPr>
          <w:i/>
          <w:iCs/>
        </w:rPr>
        <w:t>eindheffing/</w:t>
      </w:r>
      <w:r w:rsidRPr="00314731" w:rsidR="00C85FCF">
        <w:rPr>
          <w:i/>
          <w:iCs/>
        </w:rPr>
        <w:t xml:space="preserve"> intrekkingsbelasting</w:t>
      </w:r>
      <w:r w:rsidR="00305A5C">
        <w:rPr>
          <w:i/>
          <w:iCs/>
        </w:rPr>
        <w:t xml:space="preserve"> </w:t>
      </w:r>
      <w:r w:rsidRPr="00314731" w:rsidR="00245D43">
        <w:rPr>
          <w:i/>
          <w:iCs/>
        </w:rPr>
        <w:t>bij verlies ANBI-status</w:t>
      </w:r>
    </w:p>
    <w:p w:rsidRPr="00314731" w:rsidR="00305A5C" w:rsidP="00305A5C" w:rsidRDefault="00FE200C" w14:paraId="5B79E6A6" w14:textId="77777777">
      <w:pPr>
        <w:spacing w:line="276" w:lineRule="auto"/>
      </w:pPr>
      <w:r w:rsidRPr="00314731">
        <w:t>Het is wetstechnisch mogelijk om de ANBI-regeling zodanig te wijzigen dat van voormalige ANBI’s wordt geëist dat ze het ANBI-vermogen binnen een afzienbare periode algemeen nuttig besteden</w:t>
      </w:r>
      <w:r w:rsidR="00305A5C">
        <w:t xml:space="preserve"> (bestedingsverplichting)</w:t>
      </w:r>
      <w:r w:rsidRPr="00314731">
        <w:t xml:space="preserve">. </w:t>
      </w:r>
      <w:r w:rsidRPr="00314731" w:rsidR="00BE7248">
        <w:t>Zoals uit bovenstaande verkenning naar voren komt, is d</w:t>
      </w:r>
      <w:r w:rsidRPr="00314731">
        <w:t xml:space="preserve">e invoering van een eindheffing </w:t>
      </w:r>
      <w:r w:rsidR="00305A5C">
        <w:t xml:space="preserve">daarentegen zeer </w:t>
      </w:r>
      <w:r w:rsidRPr="00314731" w:rsidR="00670B0F">
        <w:t>complex</w:t>
      </w:r>
      <w:r w:rsidR="00305A5C">
        <w:t xml:space="preserve"> en kent ook nadelen.</w:t>
      </w:r>
      <w:r w:rsidRPr="00314731" w:rsidR="00BE7248">
        <w:t xml:space="preserve"> </w:t>
      </w:r>
      <w:r w:rsidRPr="00314731" w:rsidR="00F8769B">
        <w:t xml:space="preserve">Daarom kies ik </w:t>
      </w:r>
      <w:r w:rsidRPr="00314731" w:rsidR="00BE7248">
        <w:t xml:space="preserve">er </w:t>
      </w:r>
      <w:r w:rsidRPr="00314731" w:rsidR="00B13E36">
        <w:t xml:space="preserve">nu </w:t>
      </w:r>
      <w:r w:rsidRPr="00314731" w:rsidR="00F8769B">
        <w:t xml:space="preserve">voor om </w:t>
      </w:r>
      <w:r w:rsidR="00305A5C">
        <w:t xml:space="preserve">alleen </w:t>
      </w:r>
      <w:r w:rsidRPr="00314731" w:rsidR="00F8769B">
        <w:t xml:space="preserve">verder te gaan </w:t>
      </w:r>
      <w:r w:rsidRPr="00314731" w:rsidR="00BF6600">
        <w:t xml:space="preserve">met </w:t>
      </w:r>
      <w:r w:rsidRPr="00314731" w:rsidR="00827773">
        <w:t xml:space="preserve">de </w:t>
      </w:r>
      <w:r w:rsidRPr="00314731" w:rsidR="00BF6600">
        <w:t>uitwerking van</w:t>
      </w:r>
      <w:r w:rsidRPr="00314731" w:rsidR="00F8769B">
        <w:t xml:space="preserve"> </w:t>
      </w:r>
      <w:r w:rsidRPr="00314731" w:rsidR="00827773">
        <w:t xml:space="preserve">de </w:t>
      </w:r>
      <w:r w:rsidRPr="00314731" w:rsidR="00F8769B">
        <w:t xml:space="preserve">optie </w:t>
      </w:r>
      <w:r w:rsidRPr="00314731" w:rsidR="00827773">
        <w:t>om</w:t>
      </w:r>
      <w:r w:rsidRPr="00314731" w:rsidR="00AA5564">
        <w:t xml:space="preserve"> verplicht te stellen dat</w:t>
      </w:r>
      <w:r w:rsidRPr="00314731" w:rsidR="00827773">
        <w:t xml:space="preserve"> </w:t>
      </w:r>
      <w:r w:rsidRPr="00314731" w:rsidR="00846924">
        <w:t xml:space="preserve">voormalige ANBI’s </w:t>
      </w:r>
      <w:r w:rsidRPr="00314731" w:rsidR="00827773">
        <w:t xml:space="preserve">het </w:t>
      </w:r>
      <w:r w:rsidRPr="00314731" w:rsidR="00846924">
        <w:t xml:space="preserve">nog aanwezige </w:t>
      </w:r>
      <w:r w:rsidRPr="00314731" w:rsidR="00827773">
        <w:t xml:space="preserve">ANBI-vermogen binnen een afzienbare tijd aan </w:t>
      </w:r>
      <w:r w:rsidRPr="00314731" w:rsidR="00AA5564">
        <w:t xml:space="preserve">een </w:t>
      </w:r>
      <w:r w:rsidRPr="00314731" w:rsidR="00827773">
        <w:t>algemeen nuttige doelstellingen besteden.</w:t>
      </w:r>
      <w:r w:rsidR="003C7B46">
        <w:t xml:space="preserve"> </w:t>
      </w:r>
      <w:r w:rsidR="00305A5C">
        <w:t>Ik ben</w:t>
      </w:r>
      <w:r w:rsidRPr="00314731" w:rsidR="00305A5C">
        <w:t xml:space="preserve"> voornemens </w:t>
      </w:r>
      <w:r w:rsidR="00305A5C">
        <w:t>een dergelijke bestedingsverplichting</w:t>
      </w:r>
      <w:r w:rsidRPr="00314731" w:rsidR="00305A5C">
        <w:t xml:space="preserve"> met ingang van 1 januari 2029</w:t>
      </w:r>
      <w:r w:rsidR="00305A5C">
        <w:t xml:space="preserve"> </w:t>
      </w:r>
      <w:r w:rsidRPr="00314731" w:rsidR="00305A5C">
        <w:t xml:space="preserve">in de Uitvoeringsregeling AWR </w:t>
      </w:r>
      <w:r w:rsidR="00305A5C">
        <w:t>op te nemen.</w:t>
      </w:r>
    </w:p>
    <w:p w:rsidRPr="00314731" w:rsidR="00E7343C" w:rsidP="00314731" w:rsidRDefault="00E7343C" w14:paraId="6E9267E9" w14:textId="77777777">
      <w:pPr>
        <w:spacing w:line="276" w:lineRule="auto"/>
      </w:pPr>
    </w:p>
    <w:p w:rsidRPr="00314731" w:rsidR="006C2149" w:rsidP="00314731" w:rsidRDefault="00A10A29" w14:paraId="01A94E49" w14:textId="77777777">
      <w:pPr>
        <w:spacing w:line="276" w:lineRule="auto"/>
        <w:rPr>
          <w:b/>
          <w:bCs/>
        </w:rPr>
      </w:pPr>
      <w:r w:rsidRPr="00314731">
        <w:rPr>
          <w:b/>
          <w:bCs/>
        </w:rPr>
        <w:t xml:space="preserve">Conclusie </w:t>
      </w:r>
    </w:p>
    <w:p w:rsidRPr="00314731" w:rsidR="00571859" w:rsidP="00314731" w:rsidRDefault="00C15AC2" w14:paraId="572CE4B7" w14:textId="77777777">
      <w:pPr>
        <w:spacing w:line="276" w:lineRule="auto"/>
      </w:pPr>
      <w:r w:rsidRPr="00314731">
        <w:t xml:space="preserve">Met deze brief heb ik u geïnformeerd over de stand van zaken van de </w:t>
      </w:r>
      <w:r w:rsidRPr="00314731" w:rsidR="001F13FC">
        <w:t xml:space="preserve">aangekondigde </w:t>
      </w:r>
      <w:r w:rsidRPr="00314731">
        <w:t xml:space="preserve">maatregelen en onderzoeken </w:t>
      </w:r>
      <w:r w:rsidRPr="00314731" w:rsidR="001F13FC">
        <w:t>na</w:t>
      </w:r>
      <w:r w:rsidRPr="00314731" w:rsidR="006714CF">
        <w:t>ar</w:t>
      </w:r>
      <w:r w:rsidRPr="00314731" w:rsidR="001F13FC">
        <w:t xml:space="preserve"> aanleiding van de evaluatie </w:t>
      </w:r>
      <w:r w:rsidRPr="00314731" w:rsidR="006714CF">
        <w:t xml:space="preserve">van </w:t>
      </w:r>
      <w:r w:rsidRPr="00314731" w:rsidR="001F13FC">
        <w:t>de ANBI-regeling</w:t>
      </w:r>
      <w:r w:rsidRPr="00314731">
        <w:t xml:space="preserve">. </w:t>
      </w:r>
      <w:r w:rsidR="003D2C9D">
        <w:t>Samenvattend</w:t>
      </w:r>
      <w:r w:rsidRPr="00314731" w:rsidR="003D2C9D">
        <w:t xml:space="preserve"> </w:t>
      </w:r>
      <w:r w:rsidR="003D2C9D">
        <w:t>doe ik naar aanleiding hiervan</w:t>
      </w:r>
      <w:r w:rsidRPr="00314731" w:rsidR="003D2C9D">
        <w:t xml:space="preserve"> </w:t>
      </w:r>
      <w:r w:rsidRPr="00314731" w:rsidR="006714CF">
        <w:t xml:space="preserve">de volgende </w:t>
      </w:r>
      <w:r w:rsidRPr="00314731" w:rsidR="00571859">
        <w:t>toezeggingen:</w:t>
      </w:r>
    </w:p>
    <w:p w:rsidRPr="00314731" w:rsidR="00571859" w:rsidP="00314731" w:rsidRDefault="00212767" w14:paraId="704F2209" w14:textId="77777777">
      <w:pPr>
        <w:pStyle w:val="Lijstalinea"/>
        <w:numPr>
          <w:ilvl w:val="0"/>
          <w:numId w:val="37"/>
        </w:numPr>
        <w:spacing w:line="276" w:lineRule="auto"/>
      </w:pPr>
      <w:r>
        <w:lastRenderedPageBreak/>
        <w:t>Ik kom voor de zomer met een reactie op h</w:t>
      </w:r>
      <w:r w:rsidRPr="00314731" w:rsidR="006714CF">
        <w:t xml:space="preserve">et advies Beter Geven III van de commissie </w:t>
      </w:r>
      <w:proofErr w:type="spellStart"/>
      <w:r w:rsidRPr="00314731" w:rsidR="006714CF">
        <w:t>Rinnooy</w:t>
      </w:r>
      <w:proofErr w:type="spellEnd"/>
      <w:r w:rsidRPr="00314731" w:rsidR="006714CF">
        <w:t xml:space="preserve"> Kan waarin wordt gepleit voor een alternatief voor de regeling ‘geven uit de vennootschap</w:t>
      </w:r>
      <w:r w:rsidR="00ED77FF">
        <w:t>’</w:t>
      </w:r>
      <w:r>
        <w:t xml:space="preserve">. </w:t>
      </w:r>
    </w:p>
    <w:p w:rsidRPr="00314731" w:rsidR="00571859" w:rsidP="00314731" w:rsidRDefault="00571859" w14:paraId="26D9AB9B" w14:textId="77777777">
      <w:pPr>
        <w:pStyle w:val="Lijstalinea"/>
        <w:numPr>
          <w:ilvl w:val="0"/>
          <w:numId w:val="37"/>
        </w:numPr>
        <w:spacing w:line="276" w:lineRule="auto"/>
      </w:pPr>
      <w:r w:rsidRPr="00314731">
        <w:rPr>
          <w:rFonts w:cs="Arial"/>
        </w:rPr>
        <w:t xml:space="preserve">Het kabinet vindt het belangrijk om giften fiscaal aantrekkelijk te houden en </w:t>
      </w:r>
      <w:r w:rsidR="003D2C9D">
        <w:rPr>
          <w:rFonts w:cs="Arial"/>
        </w:rPr>
        <w:t>is dan ook niet</w:t>
      </w:r>
      <w:r w:rsidRPr="00314731" w:rsidR="006714CF">
        <w:rPr>
          <w:rFonts w:cs="Arial"/>
        </w:rPr>
        <w:t xml:space="preserve"> </w:t>
      </w:r>
      <w:r w:rsidRPr="00314731">
        <w:rPr>
          <w:rFonts w:cs="Arial"/>
        </w:rPr>
        <w:t xml:space="preserve">voornemens om een geefsubsidie als alternatief voor de giftenaftrek verder te verkennen. </w:t>
      </w:r>
    </w:p>
    <w:p w:rsidRPr="00314731" w:rsidR="00571859" w:rsidP="00314731" w:rsidRDefault="00812A59" w14:paraId="0799285D" w14:textId="77777777">
      <w:pPr>
        <w:pStyle w:val="Lijstalinea"/>
        <w:numPr>
          <w:ilvl w:val="0"/>
          <w:numId w:val="37"/>
        </w:numPr>
        <w:spacing w:line="276" w:lineRule="auto"/>
      </w:pPr>
      <w:r>
        <w:t>H</w:t>
      </w:r>
      <w:r w:rsidRPr="00314731" w:rsidR="00571859">
        <w:t>et toezicht door de Belastingdienst</w:t>
      </w:r>
      <w:r>
        <w:t xml:space="preserve"> wordt versterkt en verbeterd</w:t>
      </w:r>
      <w:r w:rsidRPr="00314731" w:rsidR="00571859">
        <w:t>.</w:t>
      </w:r>
    </w:p>
    <w:p w:rsidR="00004DEF" w:rsidP="00004DEF" w:rsidRDefault="00043F4C" w14:paraId="19AE1D1A" w14:textId="77777777">
      <w:pPr>
        <w:pStyle w:val="Lijstalinea"/>
        <w:numPr>
          <w:ilvl w:val="0"/>
          <w:numId w:val="37"/>
        </w:numPr>
        <w:spacing w:line="276" w:lineRule="auto"/>
      </w:pPr>
      <w:r w:rsidRPr="00314731">
        <w:t xml:space="preserve">De Belastingdienst zal de mogelijkheid tot het indienen van een verzoek tot een groepsbeschikking </w:t>
      </w:r>
      <w:r w:rsidR="00DA2212">
        <w:t xml:space="preserve">meer aandacht geven </w:t>
      </w:r>
      <w:r w:rsidRPr="00314731">
        <w:t xml:space="preserve">in de communicatie-uitingen. </w:t>
      </w:r>
    </w:p>
    <w:p w:rsidRPr="00314731" w:rsidR="00004DEF" w:rsidP="00004DEF" w:rsidRDefault="00004DEF" w14:paraId="479F3374" w14:textId="77777777">
      <w:pPr>
        <w:pStyle w:val="Lijstalinea"/>
        <w:numPr>
          <w:ilvl w:val="0"/>
          <w:numId w:val="37"/>
        </w:numPr>
        <w:spacing w:line="276" w:lineRule="auto"/>
      </w:pPr>
      <w:r>
        <w:t xml:space="preserve">De Belastingdienst zal met betrekking tot internationaal werkende </w:t>
      </w:r>
      <w:proofErr w:type="spellStart"/>
      <w:r>
        <w:t>ANBI’s</w:t>
      </w:r>
      <w:proofErr w:type="spellEnd"/>
      <w:r>
        <w:t xml:space="preserve"> bezien of het wenselijk en mogelijk is om de praktijk handvatten te bieden door enkele omstandigheden aan te geven die van belang (kunnen) zijn bij de beoordeling. </w:t>
      </w:r>
    </w:p>
    <w:p w:rsidR="00043F4C" w:rsidP="00314731" w:rsidRDefault="00043F4C" w14:paraId="4185CE25" w14:textId="77777777">
      <w:pPr>
        <w:pStyle w:val="Lijstalinea"/>
        <w:numPr>
          <w:ilvl w:val="0"/>
          <w:numId w:val="37"/>
        </w:numPr>
        <w:spacing w:line="276" w:lineRule="auto"/>
      </w:pPr>
      <w:r w:rsidRPr="00314731">
        <w:rPr>
          <w:rFonts w:cs="Arial"/>
        </w:rPr>
        <w:t xml:space="preserve">Ik verwacht dat de </w:t>
      </w:r>
      <w:r w:rsidR="00842150">
        <w:rPr>
          <w:rFonts w:cs="Arial"/>
        </w:rPr>
        <w:t xml:space="preserve">eerste </w:t>
      </w:r>
      <w:r w:rsidRPr="00314731">
        <w:rPr>
          <w:rFonts w:cs="Arial"/>
        </w:rPr>
        <w:t xml:space="preserve">resultaten van het diepgaandere onderzoek naar de situatie van NSW-landgoederen in een ANBI </w:t>
      </w:r>
      <w:r w:rsidRPr="00314731">
        <w:t>in de tweede helft van 2026 bekend zullen zijn en zal u dan daarover informeren.</w:t>
      </w:r>
    </w:p>
    <w:p w:rsidR="00A6199C" w:rsidP="00314731" w:rsidRDefault="00C15AC2" w14:paraId="45423596" w14:textId="77777777">
      <w:pPr>
        <w:pStyle w:val="Lijstalinea"/>
        <w:numPr>
          <w:ilvl w:val="0"/>
          <w:numId w:val="37"/>
        </w:numPr>
        <w:spacing w:line="276" w:lineRule="auto"/>
      </w:pPr>
      <w:r w:rsidRPr="00314731">
        <w:t>O</w:t>
      </w:r>
      <w:r w:rsidRPr="00314731" w:rsidR="00320CC3">
        <w:t xml:space="preserve">p basis van de verkenning </w:t>
      </w:r>
      <w:r w:rsidRPr="00314731">
        <w:t xml:space="preserve">met betrekking tot de verplichtingen voor voormalige ANBI’s kom ik </w:t>
      </w:r>
      <w:r w:rsidRPr="00314731" w:rsidR="00320CC3">
        <w:t xml:space="preserve">tot de conclusie dat het wenselijk is om </w:t>
      </w:r>
      <w:r w:rsidRPr="00314731">
        <w:t xml:space="preserve">een </w:t>
      </w:r>
      <w:r w:rsidR="00E7205E">
        <w:t>bestedingsverplichting (</w:t>
      </w:r>
      <w:r w:rsidRPr="00314731">
        <w:t>uitkerings</w:t>
      </w:r>
      <w:r w:rsidRPr="00314731" w:rsidR="00320CC3">
        <w:t>verplicht</w:t>
      </w:r>
      <w:r w:rsidRPr="00314731">
        <w:t>ing</w:t>
      </w:r>
      <w:r w:rsidR="00E7205E">
        <w:t>)</w:t>
      </w:r>
      <w:r w:rsidRPr="00314731">
        <w:t xml:space="preserve"> voor voormalige ANBI’s in te voeren </w:t>
      </w:r>
      <w:proofErr w:type="gramStart"/>
      <w:r w:rsidRPr="00314731">
        <w:t>teneinde</w:t>
      </w:r>
      <w:proofErr w:type="gramEnd"/>
      <w:r w:rsidRPr="00314731">
        <w:t xml:space="preserve"> zeker</w:t>
      </w:r>
      <w:r w:rsidRPr="00314731" w:rsidR="00320CC3">
        <w:t xml:space="preserve"> te stellen dat het ANBI-vermogen binnen een </w:t>
      </w:r>
      <w:r w:rsidRPr="00314731">
        <w:t>periode van twee jaar</w:t>
      </w:r>
      <w:r w:rsidRPr="00314731" w:rsidR="00320CC3">
        <w:t xml:space="preserve"> na verlies van de ANBI-status aan een algemeen nuttige doelstelling word</w:t>
      </w:r>
      <w:r w:rsidRPr="00314731">
        <w:t>t</w:t>
      </w:r>
      <w:r w:rsidRPr="00314731" w:rsidR="00320CC3">
        <w:t xml:space="preserve"> besteed. </w:t>
      </w:r>
      <w:r w:rsidRPr="00314731" w:rsidR="00A85582">
        <w:t>Daarom ben ik voornemens</w:t>
      </w:r>
      <w:r w:rsidRPr="00314731">
        <w:t xml:space="preserve"> </w:t>
      </w:r>
      <w:r w:rsidRPr="00314731" w:rsidR="002366DE">
        <w:t xml:space="preserve">deze verplichting op te nemen </w:t>
      </w:r>
      <w:r w:rsidRPr="00314731">
        <w:t>in de Uitvoeringsregeling AWR</w:t>
      </w:r>
      <w:r w:rsidRPr="00314731" w:rsidR="00315FD1">
        <w:t xml:space="preserve"> met ingang van 1 januari 202</w:t>
      </w:r>
      <w:r w:rsidRPr="00314731" w:rsidR="009566A3">
        <w:t>9</w:t>
      </w:r>
      <w:r w:rsidR="001C5448">
        <w:t>.</w:t>
      </w:r>
    </w:p>
    <w:p w:rsidRPr="00314731" w:rsidR="002566F6" w:rsidP="00314731" w:rsidRDefault="00DD057C" w14:paraId="180E94A9" w14:textId="77777777">
      <w:pPr>
        <w:pStyle w:val="StandaardSlotzin"/>
        <w:spacing w:line="276" w:lineRule="auto"/>
      </w:pPr>
      <w:r w:rsidRPr="00314731">
        <w:t>Hoogachtend,</w:t>
      </w:r>
    </w:p>
    <w:p w:rsidRPr="00314731" w:rsidR="002566F6" w:rsidP="00314731" w:rsidRDefault="002566F6" w14:paraId="0269D0B8" w14:textId="77777777">
      <w:pPr>
        <w:spacing w:line="276" w:lineRule="auto"/>
      </w:pPr>
    </w:p>
    <w:tbl>
      <w:tblPr>
        <w:tblStyle w:val="Tabelzonderranden"/>
        <w:tblW w:w="7484" w:type="dxa"/>
        <w:tblInd w:w="0" w:type="dxa"/>
        <w:tblLayout w:type="fixed"/>
        <w:tblLook w:val="07E0" w:firstRow="1" w:lastRow="1" w:firstColumn="1" w:lastColumn="1" w:noHBand="1" w:noVBand="1"/>
      </w:tblPr>
      <w:tblGrid>
        <w:gridCol w:w="3592"/>
        <w:gridCol w:w="3892"/>
      </w:tblGrid>
      <w:tr w:rsidRPr="00314731" w:rsidR="002566F6" w14:paraId="38ED67EF" w14:textId="77777777">
        <w:tc>
          <w:tcPr>
            <w:tcW w:w="3592" w:type="dxa"/>
          </w:tcPr>
          <w:p w:rsidRPr="00314731" w:rsidR="009566A3" w:rsidP="00314731" w:rsidRDefault="00DD057C" w14:paraId="3078D499" w14:textId="77777777">
            <w:pPr>
              <w:spacing w:line="276" w:lineRule="auto"/>
            </w:pPr>
            <w:proofErr w:type="gramStart"/>
            <w:r w:rsidRPr="00314731">
              <w:t>de</w:t>
            </w:r>
            <w:proofErr w:type="gramEnd"/>
            <w:r w:rsidRPr="00314731">
              <w:t xml:space="preserve"> staatssecretaris van Financiën</w:t>
            </w:r>
            <w:r w:rsidRPr="00314731" w:rsidR="009566A3">
              <w:t>,</w:t>
            </w:r>
          </w:p>
          <w:p w:rsidRPr="00314731" w:rsidR="009566A3" w:rsidP="00314731" w:rsidRDefault="009566A3" w14:paraId="2680BC71" w14:textId="77777777">
            <w:pPr>
              <w:spacing w:line="276" w:lineRule="auto"/>
            </w:pPr>
          </w:p>
          <w:p w:rsidRPr="00314731" w:rsidR="009566A3" w:rsidP="00314731" w:rsidRDefault="009566A3" w14:paraId="33C9F0C7" w14:textId="77777777">
            <w:pPr>
              <w:spacing w:line="276" w:lineRule="auto"/>
            </w:pPr>
          </w:p>
          <w:p w:rsidR="009566A3" w:rsidP="00314731" w:rsidRDefault="009566A3" w14:paraId="6526BED5" w14:textId="77777777">
            <w:pPr>
              <w:spacing w:line="276" w:lineRule="auto"/>
            </w:pPr>
          </w:p>
          <w:p w:rsidR="00ED77FF" w:rsidP="00314731" w:rsidRDefault="00ED77FF" w14:paraId="1A73E898" w14:textId="77777777">
            <w:pPr>
              <w:spacing w:line="276" w:lineRule="auto"/>
            </w:pPr>
          </w:p>
          <w:p w:rsidRPr="00314731" w:rsidR="00ED77FF" w:rsidP="00314731" w:rsidRDefault="00ED77FF" w14:paraId="6BAEC251" w14:textId="77777777">
            <w:pPr>
              <w:spacing w:line="276" w:lineRule="auto"/>
            </w:pPr>
          </w:p>
          <w:p w:rsidRPr="00314731" w:rsidR="002566F6" w:rsidP="00514F7D" w:rsidRDefault="009566A3" w14:paraId="2A6198FC" w14:textId="77777777">
            <w:pPr>
              <w:spacing w:line="276" w:lineRule="auto"/>
            </w:pPr>
            <w:r w:rsidRPr="00314731">
              <w:t xml:space="preserve">Eelco </w:t>
            </w:r>
            <w:proofErr w:type="spellStart"/>
            <w:r w:rsidRPr="00314731">
              <w:t>Eerenberg</w:t>
            </w:r>
            <w:proofErr w:type="spellEnd"/>
            <w:r w:rsidRPr="00314731" w:rsidR="00DD057C">
              <w:t xml:space="preserve"> </w:t>
            </w:r>
          </w:p>
        </w:tc>
        <w:tc>
          <w:tcPr>
            <w:tcW w:w="3892" w:type="dxa"/>
          </w:tcPr>
          <w:p w:rsidRPr="00314731" w:rsidR="002566F6" w:rsidP="00314731" w:rsidRDefault="002566F6" w14:paraId="7D36C340" w14:textId="77777777">
            <w:pPr>
              <w:spacing w:line="276" w:lineRule="auto"/>
            </w:pPr>
          </w:p>
        </w:tc>
      </w:tr>
      <w:tr w:rsidRPr="00314731" w:rsidR="002566F6" w14:paraId="4BC7C23A" w14:textId="77777777">
        <w:tc>
          <w:tcPr>
            <w:tcW w:w="3592" w:type="dxa"/>
          </w:tcPr>
          <w:p w:rsidRPr="00314731" w:rsidR="002566F6" w:rsidP="00314731" w:rsidRDefault="002566F6" w14:paraId="06B91511" w14:textId="77777777">
            <w:pPr>
              <w:spacing w:line="276" w:lineRule="auto"/>
            </w:pPr>
          </w:p>
        </w:tc>
        <w:tc>
          <w:tcPr>
            <w:tcW w:w="3892" w:type="dxa"/>
          </w:tcPr>
          <w:p w:rsidRPr="00314731" w:rsidR="002566F6" w:rsidP="00314731" w:rsidRDefault="002566F6" w14:paraId="0569ED78" w14:textId="77777777">
            <w:pPr>
              <w:spacing w:line="276" w:lineRule="auto"/>
            </w:pPr>
          </w:p>
        </w:tc>
      </w:tr>
      <w:tr w:rsidRPr="00314731" w:rsidR="002566F6" w14:paraId="22F7C423" w14:textId="77777777">
        <w:tc>
          <w:tcPr>
            <w:tcW w:w="3592" w:type="dxa"/>
          </w:tcPr>
          <w:p w:rsidRPr="00314731" w:rsidR="002566F6" w:rsidP="00314731" w:rsidRDefault="002566F6" w14:paraId="4972F64C" w14:textId="77777777">
            <w:pPr>
              <w:spacing w:line="276" w:lineRule="auto"/>
            </w:pPr>
          </w:p>
        </w:tc>
        <w:tc>
          <w:tcPr>
            <w:tcW w:w="3892" w:type="dxa"/>
          </w:tcPr>
          <w:p w:rsidRPr="00314731" w:rsidR="002566F6" w:rsidP="00314731" w:rsidRDefault="002566F6" w14:paraId="5A5FA989" w14:textId="77777777">
            <w:pPr>
              <w:spacing w:line="276" w:lineRule="auto"/>
            </w:pPr>
          </w:p>
        </w:tc>
      </w:tr>
      <w:tr w:rsidRPr="00314731" w:rsidR="002566F6" w:rsidTr="00514F7D" w14:paraId="2DEBA5F5" w14:textId="77777777">
        <w:trPr>
          <w:trHeight w:val="80"/>
        </w:trPr>
        <w:tc>
          <w:tcPr>
            <w:tcW w:w="3592" w:type="dxa"/>
          </w:tcPr>
          <w:p w:rsidRPr="00314731" w:rsidR="002566F6" w:rsidP="00314731" w:rsidRDefault="002566F6" w14:paraId="162C449D" w14:textId="77777777">
            <w:pPr>
              <w:spacing w:line="276" w:lineRule="auto"/>
            </w:pPr>
          </w:p>
        </w:tc>
        <w:tc>
          <w:tcPr>
            <w:tcW w:w="3892" w:type="dxa"/>
          </w:tcPr>
          <w:p w:rsidRPr="00314731" w:rsidR="002566F6" w:rsidP="00314731" w:rsidRDefault="002566F6" w14:paraId="3B5102F8" w14:textId="77777777">
            <w:pPr>
              <w:spacing w:line="276" w:lineRule="auto"/>
            </w:pPr>
          </w:p>
        </w:tc>
      </w:tr>
    </w:tbl>
    <w:p w:rsidRPr="00314731" w:rsidR="002566F6" w:rsidP="00314731" w:rsidRDefault="002566F6" w14:paraId="444A74E1" w14:textId="77777777">
      <w:pPr>
        <w:pStyle w:val="Verdana7"/>
        <w:spacing w:line="276" w:lineRule="auto"/>
        <w:rPr>
          <w:sz w:val="18"/>
          <w:szCs w:val="18"/>
        </w:rPr>
      </w:pPr>
    </w:p>
    <w:sectPr w:rsidRPr="00314731" w:rsidR="002566F6">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84B3" w14:textId="77777777" w:rsidR="00125F75" w:rsidRDefault="00125F75">
      <w:pPr>
        <w:spacing w:line="240" w:lineRule="auto"/>
      </w:pPr>
      <w:r>
        <w:separator/>
      </w:r>
    </w:p>
  </w:endnote>
  <w:endnote w:type="continuationSeparator" w:id="0">
    <w:p w14:paraId="180599DF" w14:textId="77777777" w:rsidR="00125F75" w:rsidRDefault="00125F75">
      <w:pPr>
        <w:spacing w:line="240" w:lineRule="auto"/>
      </w:pPr>
      <w:r>
        <w:continuationSeparator/>
      </w:r>
    </w:p>
  </w:endnote>
  <w:endnote w:type="continuationNotice" w:id="1">
    <w:p w14:paraId="7AB9BC8B" w14:textId="77777777" w:rsidR="00125F75" w:rsidRDefault="00125F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erif">
    <w:altName w:val="Cambria"/>
    <w:charset w:val="00"/>
    <w:family w:val="roman"/>
    <w:pitch w:val="variable"/>
    <w:sig w:usb0="E4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isUPC">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043D" w14:textId="77777777" w:rsidR="00125F75" w:rsidRDefault="00125F75">
      <w:pPr>
        <w:spacing w:line="240" w:lineRule="auto"/>
      </w:pPr>
      <w:r>
        <w:separator/>
      </w:r>
    </w:p>
  </w:footnote>
  <w:footnote w:type="continuationSeparator" w:id="0">
    <w:p w14:paraId="18BB75BA" w14:textId="77777777" w:rsidR="00125F75" w:rsidRDefault="00125F75">
      <w:pPr>
        <w:spacing w:line="240" w:lineRule="auto"/>
      </w:pPr>
      <w:r>
        <w:continuationSeparator/>
      </w:r>
    </w:p>
  </w:footnote>
  <w:footnote w:type="continuationNotice" w:id="1">
    <w:p w14:paraId="1A72DEEE" w14:textId="77777777" w:rsidR="00125F75" w:rsidRDefault="00125F75">
      <w:pPr>
        <w:spacing w:line="240" w:lineRule="auto"/>
      </w:pPr>
    </w:p>
  </w:footnote>
  <w:footnote w:id="2">
    <w:p w14:paraId="78DEE64F" w14:textId="77777777" w:rsidR="006006B3" w:rsidRPr="0075127D" w:rsidRDefault="006006B3" w:rsidP="0075127D">
      <w:pPr>
        <w:pStyle w:val="Voetnoottekst"/>
        <w:contextualSpacing/>
        <w:rPr>
          <w:sz w:val="13"/>
          <w:szCs w:val="13"/>
        </w:rPr>
      </w:pPr>
      <w:r w:rsidRPr="0075127D">
        <w:rPr>
          <w:rStyle w:val="Voetnootmarkering"/>
          <w:sz w:val="13"/>
          <w:szCs w:val="13"/>
        </w:rPr>
        <w:footnoteRef/>
      </w:r>
      <w:r w:rsidRPr="0075127D">
        <w:rPr>
          <w:sz w:val="13"/>
          <w:szCs w:val="13"/>
        </w:rPr>
        <w:t xml:space="preserve"> Kamerstukken II 2024/25, 36600</w:t>
      </w:r>
      <w:r w:rsidR="00D23487" w:rsidRPr="0075127D">
        <w:rPr>
          <w:sz w:val="13"/>
          <w:szCs w:val="13"/>
        </w:rPr>
        <w:t>-</w:t>
      </w:r>
      <w:r w:rsidR="00B516A4" w:rsidRPr="0075127D">
        <w:rPr>
          <w:sz w:val="13"/>
          <w:szCs w:val="13"/>
        </w:rPr>
        <w:t>IX</w:t>
      </w:r>
      <w:r w:rsidRPr="0075127D">
        <w:rPr>
          <w:sz w:val="13"/>
          <w:szCs w:val="13"/>
        </w:rPr>
        <w:t>, nr. 42.</w:t>
      </w:r>
      <w:r w:rsidR="00083156" w:rsidRPr="0075127D">
        <w:rPr>
          <w:sz w:val="13"/>
          <w:szCs w:val="13"/>
        </w:rPr>
        <w:t xml:space="preserve"> </w:t>
      </w:r>
    </w:p>
  </w:footnote>
  <w:footnote w:id="3">
    <w:p w14:paraId="1A364B21" w14:textId="77777777" w:rsidR="006006B3" w:rsidRPr="0075127D" w:rsidRDefault="006006B3" w:rsidP="0075127D">
      <w:pPr>
        <w:pStyle w:val="Voetnoottekst"/>
        <w:contextualSpacing/>
        <w:rPr>
          <w:sz w:val="13"/>
          <w:szCs w:val="13"/>
        </w:rPr>
      </w:pPr>
      <w:r w:rsidRPr="0075127D">
        <w:rPr>
          <w:sz w:val="13"/>
          <w:szCs w:val="13"/>
          <w:vertAlign w:val="superscript"/>
        </w:rPr>
        <w:footnoteRef/>
      </w:r>
      <w:r w:rsidRPr="0075127D">
        <w:rPr>
          <w:sz w:val="13"/>
          <w:szCs w:val="13"/>
          <w:vertAlign w:val="superscript"/>
        </w:rPr>
        <w:t xml:space="preserve"> </w:t>
      </w:r>
      <w:r w:rsidRPr="0075127D">
        <w:rPr>
          <w:sz w:val="13"/>
          <w:szCs w:val="13"/>
        </w:rPr>
        <w:t>Kamerstukken II 2024/25, 36600</w:t>
      </w:r>
      <w:r w:rsidR="00D23487" w:rsidRPr="0075127D">
        <w:rPr>
          <w:sz w:val="13"/>
          <w:szCs w:val="13"/>
        </w:rPr>
        <w:t>-</w:t>
      </w:r>
      <w:r w:rsidR="00B516A4" w:rsidRPr="0075127D">
        <w:rPr>
          <w:sz w:val="13"/>
          <w:szCs w:val="13"/>
        </w:rPr>
        <w:t>IX</w:t>
      </w:r>
      <w:r w:rsidRPr="0075127D">
        <w:rPr>
          <w:sz w:val="13"/>
          <w:szCs w:val="13"/>
        </w:rPr>
        <w:t>, nr. 46.</w:t>
      </w:r>
      <w:r w:rsidR="00B516A4" w:rsidRPr="0075127D">
        <w:rPr>
          <w:sz w:val="13"/>
          <w:szCs w:val="13"/>
        </w:rPr>
        <w:t xml:space="preserve"> Daarin is </w:t>
      </w:r>
      <w:proofErr w:type="gramStart"/>
      <w:r w:rsidR="00B516A4" w:rsidRPr="0075127D">
        <w:rPr>
          <w:sz w:val="13"/>
          <w:szCs w:val="13"/>
        </w:rPr>
        <w:t>tevens</w:t>
      </w:r>
      <w:proofErr w:type="gramEnd"/>
      <w:r w:rsidR="00B516A4" w:rsidRPr="0075127D">
        <w:rPr>
          <w:sz w:val="13"/>
          <w:szCs w:val="13"/>
        </w:rPr>
        <w:t xml:space="preserve"> ingegaan op het rapport ‘Fiscaal onderzoek naar het vermogen in familiestichtingen’ voor zover dat betrekking heeft op algemeen nut beogende instellingen (ANBI’s).</w:t>
      </w:r>
    </w:p>
  </w:footnote>
  <w:footnote w:id="4">
    <w:p w14:paraId="2FECF027" w14:textId="77777777" w:rsidR="00352260" w:rsidRPr="0075127D" w:rsidRDefault="00352260" w:rsidP="0075127D">
      <w:pPr>
        <w:pStyle w:val="Voetnoottekst"/>
        <w:contextualSpacing/>
        <w:rPr>
          <w:sz w:val="13"/>
          <w:szCs w:val="13"/>
        </w:rPr>
      </w:pPr>
      <w:r w:rsidRPr="0075127D">
        <w:rPr>
          <w:rStyle w:val="Voetnootmarkering"/>
          <w:sz w:val="13"/>
          <w:szCs w:val="13"/>
        </w:rPr>
        <w:footnoteRef/>
      </w:r>
      <w:r w:rsidRPr="0075127D">
        <w:rPr>
          <w:sz w:val="13"/>
          <w:szCs w:val="13"/>
        </w:rPr>
        <w:t xml:space="preserve"> </w:t>
      </w:r>
      <w:r w:rsidR="007765DC" w:rsidRPr="0075127D">
        <w:rPr>
          <w:rFonts w:cs="Arial"/>
          <w:sz w:val="13"/>
          <w:szCs w:val="13"/>
        </w:rPr>
        <w:t>Kamerstukken I 2024/25, 36602, N.</w:t>
      </w:r>
    </w:p>
  </w:footnote>
  <w:footnote w:id="5">
    <w:p w14:paraId="2FC5E6BB" w14:textId="77777777" w:rsidR="00352260" w:rsidRPr="0075127D" w:rsidRDefault="00352260" w:rsidP="0075127D">
      <w:pPr>
        <w:pStyle w:val="Voetnoottekst"/>
        <w:contextualSpacing/>
        <w:rPr>
          <w:sz w:val="13"/>
          <w:szCs w:val="13"/>
        </w:rPr>
      </w:pPr>
      <w:r w:rsidRPr="0075127D">
        <w:rPr>
          <w:rStyle w:val="Voetnootmarkering"/>
          <w:sz w:val="13"/>
          <w:szCs w:val="13"/>
        </w:rPr>
        <w:footnoteRef/>
      </w:r>
      <w:r w:rsidRPr="0075127D">
        <w:rPr>
          <w:sz w:val="13"/>
          <w:szCs w:val="13"/>
        </w:rPr>
        <w:t xml:space="preserve"> Kamerstukken II 2025/26, 30950, nr. 472.</w:t>
      </w:r>
    </w:p>
  </w:footnote>
  <w:footnote w:id="6">
    <w:p w14:paraId="56315040" w14:textId="77777777" w:rsidR="00352260" w:rsidRPr="0075127D" w:rsidRDefault="00352260" w:rsidP="0075127D">
      <w:pPr>
        <w:pStyle w:val="Voetnoottekst"/>
        <w:contextualSpacing/>
        <w:rPr>
          <w:sz w:val="13"/>
          <w:szCs w:val="13"/>
        </w:rPr>
      </w:pPr>
      <w:r w:rsidRPr="0075127D">
        <w:rPr>
          <w:rStyle w:val="Voetnootmarkering"/>
          <w:sz w:val="13"/>
          <w:szCs w:val="13"/>
        </w:rPr>
        <w:footnoteRef/>
      </w:r>
      <w:r w:rsidRPr="0075127D">
        <w:rPr>
          <w:sz w:val="13"/>
          <w:szCs w:val="13"/>
        </w:rPr>
        <w:t xml:space="preserve"> Kamerstukken II 2024/25, 31066, nr. 1490</w:t>
      </w:r>
      <w:r w:rsidR="001F13FC" w:rsidRPr="0075127D">
        <w:rPr>
          <w:sz w:val="13"/>
          <w:szCs w:val="13"/>
        </w:rPr>
        <w:t>.</w:t>
      </w:r>
    </w:p>
  </w:footnote>
  <w:footnote w:id="7">
    <w:p w14:paraId="3CE0898E" w14:textId="77777777" w:rsidR="00484F52" w:rsidRPr="0075127D" w:rsidRDefault="00484F52" w:rsidP="0075127D">
      <w:pPr>
        <w:spacing w:line="240" w:lineRule="auto"/>
        <w:contextualSpacing/>
        <w:rPr>
          <w:rFonts w:cs="Arial"/>
          <w:sz w:val="13"/>
          <w:szCs w:val="13"/>
        </w:rPr>
      </w:pPr>
      <w:r w:rsidRPr="0075127D">
        <w:rPr>
          <w:rStyle w:val="Voetnootmarkering"/>
          <w:sz w:val="13"/>
          <w:szCs w:val="13"/>
        </w:rPr>
        <w:footnoteRef/>
      </w:r>
      <w:r w:rsidRPr="0075127D">
        <w:rPr>
          <w:sz w:val="13"/>
          <w:szCs w:val="13"/>
        </w:rPr>
        <w:t xml:space="preserve"> Kamerstukken II 2024/25, </w:t>
      </w:r>
      <w:r w:rsidRPr="0075127D">
        <w:rPr>
          <w:rFonts w:cs="Arial"/>
          <w:sz w:val="13"/>
          <w:szCs w:val="13"/>
        </w:rPr>
        <w:t>36602, nr. 89.</w:t>
      </w:r>
    </w:p>
  </w:footnote>
  <w:footnote w:id="8">
    <w:p w14:paraId="0D09F26B" w14:textId="77777777" w:rsidR="00C3106E" w:rsidRPr="0075127D" w:rsidRDefault="00C3106E" w:rsidP="0075127D">
      <w:pPr>
        <w:pStyle w:val="Voetnoottekst"/>
        <w:contextualSpacing/>
        <w:rPr>
          <w:sz w:val="13"/>
          <w:szCs w:val="13"/>
        </w:rPr>
      </w:pPr>
      <w:r w:rsidRPr="0075127D">
        <w:rPr>
          <w:sz w:val="13"/>
          <w:szCs w:val="13"/>
          <w:vertAlign w:val="superscript"/>
        </w:rPr>
        <w:footnoteRef/>
      </w:r>
      <w:r w:rsidRPr="0075127D">
        <w:rPr>
          <w:sz w:val="13"/>
          <w:szCs w:val="13"/>
          <w:vertAlign w:val="superscript"/>
        </w:rPr>
        <w:t xml:space="preserve"> </w:t>
      </w:r>
      <w:r w:rsidRPr="0075127D">
        <w:rPr>
          <w:sz w:val="13"/>
          <w:szCs w:val="13"/>
        </w:rPr>
        <w:t xml:space="preserve">Kamerstukken I 2024/25, 36602, N. </w:t>
      </w:r>
    </w:p>
  </w:footnote>
  <w:footnote w:id="9">
    <w:p w14:paraId="51A5A094" w14:textId="77777777" w:rsidR="005455AF" w:rsidRPr="00DF10C6" w:rsidRDefault="005455AF" w:rsidP="0075127D">
      <w:pPr>
        <w:pStyle w:val="Voetnoottekst"/>
        <w:rPr>
          <w:sz w:val="13"/>
          <w:szCs w:val="13"/>
        </w:rPr>
      </w:pPr>
      <w:r w:rsidRPr="00DF10C6">
        <w:rPr>
          <w:rStyle w:val="Voetnootmarkering"/>
          <w:sz w:val="13"/>
          <w:szCs w:val="13"/>
        </w:rPr>
        <w:footnoteRef/>
      </w:r>
      <w:r w:rsidRPr="00DF10C6">
        <w:rPr>
          <w:sz w:val="13"/>
          <w:szCs w:val="13"/>
        </w:rPr>
        <w:t xml:space="preserve"> </w:t>
      </w:r>
      <w:r w:rsidR="00DB61C6">
        <w:rPr>
          <w:sz w:val="13"/>
          <w:szCs w:val="13"/>
        </w:rPr>
        <w:t xml:space="preserve">Kamerstukken II 2025/26, 36812, 123. </w:t>
      </w:r>
    </w:p>
  </w:footnote>
  <w:footnote w:id="10">
    <w:p w14:paraId="5A0E1FF6" w14:textId="77777777" w:rsidR="00F97C85" w:rsidRPr="0075127D" w:rsidRDefault="00F97C85" w:rsidP="0075127D">
      <w:pPr>
        <w:spacing w:line="240" w:lineRule="auto"/>
        <w:contextualSpacing/>
        <w:rPr>
          <w:rFonts w:cs="Arial"/>
          <w:sz w:val="13"/>
          <w:szCs w:val="13"/>
        </w:rPr>
      </w:pPr>
      <w:r w:rsidRPr="0075127D">
        <w:rPr>
          <w:rStyle w:val="Voetnootmarkering"/>
          <w:sz w:val="13"/>
          <w:szCs w:val="13"/>
        </w:rPr>
        <w:footnoteRef/>
      </w:r>
      <w:r w:rsidRPr="0075127D">
        <w:rPr>
          <w:sz w:val="13"/>
          <w:szCs w:val="13"/>
        </w:rPr>
        <w:t xml:space="preserve"> </w:t>
      </w:r>
      <w:r w:rsidRPr="0075127D">
        <w:rPr>
          <w:rFonts w:cs="Arial"/>
          <w:sz w:val="13"/>
          <w:szCs w:val="13"/>
        </w:rPr>
        <w:t>Kamerstukken II 2024/25, 32140, nr. 266, bijlage</w:t>
      </w:r>
      <w:r w:rsidR="00857703" w:rsidRPr="0075127D">
        <w:rPr>
          <w:rFonts w:cs="Arial"/>
          <w:sz w:val="13"/>
          <w:szCs w:val="13"/>
        </w:rPr>
        <w:t xml:space="preserve"> p. 119-121</w:t>
      </w:r>
      <w:r w:rsidRPr="0075127D">
        <w:rPr>
          <w:rFonts w:cs="Arial"/>
          <w:sz w:val="13"/>
          <w:szCs w:val="13"/>
        </w:rPr>
        <w:t>.</w:t>
      </w:r>
      <w:r w:rsidR="00857703" w:rsidRPr="0075127D">
        <w:rPr>
          <w:rFonts w:cs="Arial"/>
          <w:sz w:val="13"/>
          <w:szCs w:val="13"/>
        </w:rPr>
        <w:t xml:space="preserve"> Giftenaftrek (2): omvorming tot geefsubsidie</w:t>
      </w:r>
      <w:r w:rsidR="00F67626">
        <w:rPr>
          <w:rFonts w:cs="Arial"/>
          <w:sz w:val="13"/>
          <w:szCs w:val="13"/>
        </w:rPr>
        <w:t>.</w:t>
      </w:r>
    </w:p>
  </w:footnote>
  <w:footnote w:id="11">
    <w:p w14:paraId="6AED042B" w14:textId="77777777" w:rsidR="000B6739" w:rsidRPr="0075127D" w:rsidRDefault="000B6739" w:rsidP="00DF10C6">
      <w:pPr>
        <w:spacing w:line="240" w:lineRule="auto"/>
        <w:rPr>
          <w:sz w:val="13"/>
          <w:szCs w:val="13"/>
        </w:rPr>
      </w:pPr>
      <w:r w:rsidRPr="0075127D">
        <w:rPr>
          <w:rStyle w:val="Voetnootmarkering"/>
          <w:sz w:val="13"/>
          <w:szCs w:val="13"/>
        </w:rPr>
        <w:footnoteRef/>
      </w:r>
      <w:r w:rsidRPr="0075127D">
        <w:rPr>
          <w:sz w:val="13"/>
          <w:szCs w:val="13"/>
        </w:rPr>
        <w:t xml:space="preserve"> Coalitieakkoord 2026-2030 D66, VVD en CDA. Kamerstukken II 2025/26, 36848, nr. 31, bijlagen.</w:t>
      </w:r>
    </w:p>
  </w:footnote>
  <w:footnote w:id="12">
    <w:p w14:paraId="21C5E3BA" w14:textId="77777777" w:rsidR="00F6075E" w:rsidRPr="0075127D" w:rsidRDefault="00F6075E" w:rsidP="0075127D">
      <w:pPr>
        <w:pStyle w:val="Voetnoottekst"/>
        <w:contextualSpacing/>
        <w:rPr>
          <w:sz w:val="13"/>
          <w:szCs w:val="13"/>
        </w:rPr>
      </w:pPr>
      <w:r w:rsidRPr="0075127D">
        <w:rPr>
          <w:rStyle w:val="Voetnootmarkering"/>
          <w:sz w:val="13"/>
          <w:szCs w:val="13"/>
        </w:rPr>
        <w:footnoteRef/>
      </w:r>
      <w:r w:rsidRPr="0075127D">
        <w:rPr>
          <w:sz w:val="13"/>
          <w:szCs w:val="13"/>
        </w:rPr>
        <w:t xml:space="preserve"> Kamerstukken II 2025/26, 30950, nr. 472.</w:t>
      </w:r>
    </w:p>
  </w:footnote>
  <w:footnote w:id="13">
    <w:p w14:paraId="3FBE2505" w14:textId="77777777" w:rsidR="001907C1" w:rsidRPr="0075127D" w:rsidRDefault="001907C1" w:rsidP="0075127D">
      <w:pPr>
        <w:pStyle w:val="Voetnoottekst"/>
        <w:contextualSpacing/>
        <w:rPr>
          <w:sz w:val="13"/>
          <w:szCs w:val="13"/>
        </w:rPr>
      </w:pPr>
      <w:r w:rsidRPr="0075127D">
        <w:rPr>
          <w:rStyle w:val="Voetnootmarkering"/>
          <w:sz w:val="13"/>
          <w:szCs w:val="13"/>
        </w:rPr>
        <w:footnoteRef/>
      </w:r>
      <w:r w:rsidR="00A265BA" w:rsidRPr="0075127D">
        <w:rPr>
          <w:sz w:val="13"/>
          <w:szCs w:val="13"/>
        </w:rPr>
        <w:t xml:space="preserve"> Kamerstukken II 2023/24, 30950, nr. 387. ‘</w:t>
      </w:r>
      <w:r w:rsidR="00A265BA" w:rsidRPr="0075127D">
        <w:rPr>
          <w:i/>
          <w:iCs/>
          <w:sz w:val="13"/>
          <w:szCs w:val="13"/>
        </w:rPr>
        <w:t xml:space="preserve">Constaterende dat een instelling alleen een </w:t>
      </w:r>
      <w:proofErr w:type="spellStart"/>
      <w:r w:rsidR="00A265BA" w:rsidRPr="0075127D">
        <w:rPr>
          <w:i/>
          <w:iCs/>
          <w:sz w:val="13"/>
          <w:szCs w:val="13"/>
        </w:rPr>
        <w:t>anbi</w:t>
      </w:r>
      <w:proofErr w:type="spellEnd"/>
      <w:r w:rsidR="00A265BA" w:rsidRPr="0075127D">
        <w:rPr>
          <w:i/>
          <w:iCs/>
          <w:sz w:val="13"/>
          <w:szCs w:val="13"/>
        </w:rPr>
        <w:t xml:space="preserve"> kan zijn als ze zich nagenoeg geheel inzet voor het algemeen belang; overwegende dat organisaties die terreur verheerlijken en haatpredikers uitnodigen afbreuk doen aan het algemeen belang; verzoekt de regering zich met de Belastingdienst in te spannen om de </w:t>
      </w:r>
      <w:proofErr w:type="spellStart"/>
      <w:r w:rsidR="00A265BA" w:rsidRPr="0075127D">
        <w:rPr>
          <w:i/>
          <w:iCs/>
          <w:sz w:val="13"/>
          <w:szCs w:val="13"/>
        </w:rPr>
        <w:t>anbistatus</w:t>
      </w:r>
      <w:proofErr w:type="spellEnd"/>
      <w:r w:rsidR="00A265BA" w:rsidRPr="0075127D">
        <w:rPr>
          <w:i/>
          <w:iCs/>
          <w:sz w:val="13"/>
          <w:szCs w:val="13"/>
        </w:rPr>
        <w:t xml:space="preserve"> in te trekken van organisaties die zich antisemitisch uitlaten, terreur verheerlijken of sprekers uitnodigen die een gevaar vormen voor de nationale veiligheid.’</w:t>
      </w:r>
    </w:p>
  </w:footnote>
  <w:footnote w:id="14">
    <w:p w14:paraId="7C9F1178" w14:textId="77777777" w:rsidR="001907C1" w:rsidRPr="0075127D" w:rsidRDefault="001907C1" w:rsidP="0075127D">
      <w:pPr>
        <w:pStyle w:val="Voetnoottekst"/>
        <w:contextualSpacing/>
        <w:rPr>
          <w:i/>
          <w:sz w:val="13"/>
          <w:szCs w:val="13"/>
        </w:rPr>
      </w:pPr>
      <w:r w:rsidRPr="0075127D">
        <w:rPr>
          <w:rStyle w:val="Voetnootmarkering"/>
          <w:sz w:val="13"/>
          <w:szCs w:val="13"/>
        </w:rPr>
        <w:footnoteRef/>
      </w:r>
      <w:r w:rsidR="00A265BA" w:rsidRPr="0075127D">
        <w:rPr>
          <w:sz w:val="13"/>
          <w:szCs w:val="13"/>
        </w:rPr>
        <w:t xml:space="preserve"> Kamerstukken II 2023/24, 30950, nr. 398.</w:t>
      </w:r>
    </w:p>
  </w:footnote>
  <w:footnote w:id="15">
    <w:p w14:paraId="7D6E34EE" w14:textId="77777777" w:rsidR="00A436C5" w:rsidRPr="0075127D" w:rsidRDefault="00A436C5" w:rsidP="00A436C5">
      <w:pPr>
        <w:pStyle w:val="Voetnoottekst"/>
        <w:contextualSpacing/>
        <w:rPr>
          <w:sz w:val="13"/>
          <w:szCs w:val="13"/>
        </w:rPr>
      </w:pPr>
      <w:r w:rsidRPr="0075127D">
        <w:rPr>
          <w:rStyle w:val="Voetnootmarkering"/>
          <w:sz w:val="13"/>
          <w:szCs w:val="13"/>
        </w:rPr>
        <w:footnoteRef/>
      </w:r>
      <w:r w:rsidRPr="0075127D">
        <w:rPr>
          <w:sz w:val="13"/>
          <w:szCs w:val="13"/>
        </w:rPr>
        <w:t xml:space="preserve"> Artikel 5b, achtste lid, van de Algemene wet </w:t>
      </w:r>
      <w:proofErr w:type="gramStart"/>
      <w:r w:rsidRPr="0075127D">
        <w:rPr>
          <w:sz w:val="13"/>
          <w:szCs w:val="13"/>
        </w:rPr>
        <w:t>inzake</w:t>
      </w:r>
      <w:proofErr w:type="gramEnd"/>
      <w:r w:rsidRPr="0075127D">
        <w:rPr>
          <w:sz w:val="13"/>
          <w:szCs w:val="13"/>
        </w:rPr>
        <w:t xml:space="preserve"> rijksbelastingen.</w:t>
      </w:r>
    </w:p>
  </w:footnote>
  <w:footnote w:id="16">
    <w:p w14:paraId="07F196E9" w14:textId="77777777" w:rsidR="004A1D5D" w:rsidRPr="00DF10C6" w:rsidRDefault="004A1D5D">
      <w:pPr>
        <w:pStyle w:val="Voetnoottekst"/>
        <w:rPr>
          <w:sz w:val="13"/>
          <w:szCs w:val="13"/>
        </w:rPr>
      </w:pPr>
      <w:r w:rsidRPr="00DF10C6">
        <w:rPr>
          <w:rStyle w:val="Voetnootmarkering"/>
          <w:sz w:val="13"/>
          <w:szCs w:val="13"/>
        </w:rPr>
        <w:footnoteRef/>
      </w:r>
      <w:r w:rsidRPr="00DF10C6">
        <w:rPr>
          <w:sz w:val="13"/>
          <w:szCs w:val="13"/>
        </w:rPr>
        <w:t xml:space="preserve"> Kamerstukken II 2019/20, 35437, nr. 7.</w:t>
      </w:r>
    </w:p>
  </w:footnote>
  <w:footnote w:id="17">
    <w:p w14:paraId="5A371347" w14:textId="77777777" w:rsidR="00952BD3" w:rsidRPr="0075127D" w:rsidRDefault="00952BD3" w:rsidP="0075127D">
      <w:pPr>
        <w:spacing w:line="240" w:lineRule="auto"/>
        <w:contextualSpacing/>
        <w:rPr>
          <w:sz w:val="13"/>
          <w:szCs w:val="13"/>
        </w:rPr>
      </w:pPr>
      <w:r w:rsidRPr="0075127D">
        <w:rPr>
          <w:rStyle w:val="Voetnootmarkering"/>
          <w:sz w:val="13"/>
          <w:szCs w:val="13"/>
        </w:rPr>
        <w:footnoteRef/>
      </w:r>
      <w:r w:rsidRPr="0075127D">
        <w:rPr>
          <w:sz w:val="13"/>
          <w:szCs w:val="13"/>
        </w:rPr>
        <w:t xml:space="preserve"> </w:t>
      </w:r>
      <w:r w:rsidR="00D57D07" w:rsidRPr="0075127D">
        <w:rPr>
          <w:rFonts w:eastAsia="Times New Roman"/>
          <w:sz w:val="13"/>
          <w:szCs w:val="13"/>
        </w:rPr>
        <w:t xml:space="preserve">Wet van 4 december 2025 tot wijziging van enkele belastingwetten en enige andere wetten (Fiscale verzamelwet 2026). </w:t>
      </w:r>
      <w:r w:rsidR="00D57D07" w:rsidRPr="0075127D">
        <w:rPr>
          <w:sz w:val="13"/>
          <w:szCs w:val="13"/>
        </w:rPr>
        <w:t>Stb 2025, 431.</w:t>
      </w:r>
    </w:p>
  </w:footnote>
  <w:footnote w:id="18">
    <w:p w14:paraId="0DEB7233" w14:textId="77777777" w:rsidR="003F2970" w:rsidRPr="0075127D" w:rsidRDefault="003F2970" w:rsidP="0075127D">
      <w:pPr>
        <w:pStyle w:val="Voetnoottekst"/>
        <w:contextualSpacing/>
        <w:rPr>
          <w:sz w:val="13"/>
          <w:szCs w:val="13"/>
        </w:rPr>
      </w:pPr>
      <w:r w:rsidRPr="0075127D">
        <w:rPr>
          <w:rStyle w:val="Voetnootmarkering"/>
          <w:sz w:val="13"/>
          <w:szCs w:val="13"/>
        </w:rPr>
        <w:footnoteRef/>
      </w:r>
      <w:hyperlink r:id="rId1" w:history="1">
        <w:r w:rsidR="00F67626" w:rsidRPr="00F32D23">
          <w:rPr>
            <w:rStyle w:val="Hyperlink"/>
            <w:sz w:val="13"/>
            <w:szCs w:val="13"/>
          </w:rPr>
          <w:t>https://www.belastingdienst.nl/wps/wcm/connect/bldcontentnl/themaoverstijgend/brochures_en_publicaties/convenant-belastingdienst-erkenningsregeling-goede-doelen</w:t>
        </w:r>
      </w:hyperlink>
    </w:p>
  </w:footnote>
  <w:footnote w:id="19">
    <w:p w14:paraId="1C88B51E" w14:textId="77777777" w:rsidR="001C2C9D" w:rsidRPr="0075127D" w:rsidRDefault="001C2C9D" w:rsidP="0075127D">
      <w:pPr>
        <w:spacing w:line="240" w:lineRule="auto"/>
        <w:rPr>
          <w:sz w:val="13"/>
          <w:szCs w:val="13"/>
        </w:rPr>
      </w:pPr>
      <w:r w:rsidRPr="0075127D">
        <w:rPr>
          <w:rStyle w:val="Voetnootmarkering"/>
          <w:sz w:val="13"/>
          <w:szCs w:val="13"/>
        </w:rPr>
        <w:footnoteRef/>
      </w:r>
      <w:r w:rsidRPr="0075127D">
        <w:rPr>
          <w:sz w:val="13"/>
          <w:szCs w:val="13"/>
        </w:rPr>
        <w:t xml:space="preserve"> Kamerstukken II 2022/23, 29515, nr. 485. Eindrapport onderzoek regeldruk bij vrijwilligersorganisaties en filantropische instellingen uitgevoerd door </w:t>
      </w:r>
      <w:proofErr w:type="spellStart"/>
      <w:r w:rsidRPr="0075127D">
        <w:rPr>
          <w:sz w:val="13"/>
          <w:szCs w:val="13"/>
        </w:rPr>
        <w:t>Sira</w:t>
      </w:r>
      <w:proofErr w:type="spellEnd"/>
      <w:r w:rsidRPr="0075127D">
        <w:rPr>
          <w:sz w:val="13"/>
          <w:szCs w:val="13"/>
        </w:rPr>
        <w:t xml:space="preserve"> Consulting.</w:t>
      </w:r>
    </w:p>
  </w:footnote>
  <w:footnote w:id="20">
    <w:p w14:paraId="43990847" w14:textId="77777777" w:rsidR="001C2C9D" w:rsidRPr="0075127D" w:rsidRDefault="001C2C9D" w:rsidP="0075127D">
      <w:pPr>
        <w:spacing w:line="240" w:lineRule="auto"/>
        <w:rPr>
          <w:sz w:val="13"/>
          <w:szCs w:val="13"/>
        </w:rPr>
      </w:pPr>
      <w:r w:rsidRPr="0075127D">
        <w:rPr>
          <w:rStyle w:val="Voetnootmarkering"/>
          <w:sz w:val="13"/>
          <w:szCs w:val="13"/>
        </w:rPr>
        <w:footnoteRef/>
      </w:r>
      <w:r w:rsidR="003C7B46">
        <w:rPr>
          <w:sz w:val="13"/>
          <w:szCs w:val="13"/>
        </w:rPr>
        <w:t xml:space="preserve"> </w:t>
      </w:r>
      <w:r w:rsidRPr="0075127D">
        <w:rPr>
          <w:sz w:val="13"/>
          <w:szCs w:val="13"/>
        </w:rPr>
        <w:t xml:space="preserve">Kamerstukken 2024/2025 29 515, nr. 494. Staatssecretaris </w:t>
      </w:r>
      <w:proofErr w:type="spellStart"/>
      <w:r w:rsidRPr="0075127D">
        <w:rPr>
          <w:sz w:val="13"/>
          <w:szCs w:val="13"/>
        </w:rPr>
        <w:t>Maeijer</w:t>
      </w:r>
      <w:proofErr w:type="spellEnd"/>
      <w:r w:rsidRPr="0075127D">
        <w:rPr>
          <w:sz w:val="13"/>
          <w:szCs w:val="13"/>
        </w:rPr>
        <w:t xml:space="preserve"> (Langdurige en Maatschappelijke Zorg) en staatssecretaris </w:t>
      </w:r>
      <w:proofErr w:type="spellStart"/>
      <w:r w:rsidRPr="0075127D">
        <w:rPr>
          <w:sz w:val="13"/>
          <w:szCs w:val="13"/>
        </w:rPr>
        <w:t>Struycken</w:t>
      </w:r>
      <w:proofErr w:type="spellEnd"/>
      <w:r w:rsidRPr="0075127D">
        <w:rPr>
          <w:sz w:val="13"/>
          <w:szCs w:val="13"/>
        </w:rPr>
        <w:t xml:space="preserve"> (Rechtsbescherming) informeren de Tweede Kamer over een concrete aanpak van regeldruk bij vrijwilligersorganisaties en filantropische instellingen. </w:t>
      </w:r>
    </w:p>
  </w:footnote>
  <w:footnote w:id="21">
    <w:p w14:paraId="60DF7777" w14:textId="77777777" w:rsidR="001C2C9D" w:rsidRPr="0075127D" w:rsidRDefault="001C2C9D" w:rsidP="0075127D">
      <w:pPr>
        <w:pStyle w:val="Voetnoottekst"/>
        <w:rPr>
          <w:sz w:val="13"/>
          <w:szCs w:val="13"/>
        </w:rPr>
      </w:pPr>
      <w:r w:rsidRPr="0075127D">
        <w:rPr>
          <w:rStyle w:val="Voetnootmarkering"/>
          <w:sz w:val="13"/>
          <w:szCs w:val="13"/>
        </w:rPr>
        <w:footnoteRef/>
      </w:r>
      <w:r w:rsidRPr="0075127D">
        <w:rPr>
          <w:sz w:val="13"/>
          <w:szCs w:val="13"/>
        </w:rPr>
        <w:t xml:space="preserve"> </w:t>
      </w:r>
      <w:r w:rsidR="0040127A" w:rsidRPr="0075127D">
        <w:rPr>
          <w:sz w:val="13"/>
          <w:szCs w:val="13"/>
        </w:rPr>
        <w:t xml:space="preserve">Kamerstukken II 2024/25, 36600 IX, nr. 42, par. </w:t>
      </w:r>
      <w:r w:rsidRPr="0075127D">
        <w:rPr>
          <w:sz w:val="13"/>
          <w:szCs w:val="13"/>
        </w:rPr>
        <w:t xml:space="preserve">4.3.3. </w:t>
      </w:r>
      <w:proofErr w:type="gramStart"/>
      <w:r w:rsidRPr="0075127D">
        <w:rPr>
          <w:sz w:val="13"/>
          <w:szCs w:val="13"/>
        </w:rPr>
        <w:t>en</w:t>
      </w:r>
      <w:proofErr w:type="gramEnd"/>
      <w:r w:rsidRPr="0075127D">
        <w:rPr>
          <w:sz w:val="13"/>
          <w:szCs w:val="13"/>
        </w:rPr>
        <w:t xml:space="preserve"> p. 75</w:t>
      </w:r>
      <w:r w:rsidR="0040127A" w:rsidRPr="0075127D">
        <w:rPr>
          <w:sz w:val="13"/>
          <w:szCs w:val="13"/>
        </w:rPr>
        <w:t>.</w:t>
      </w:r>
    </w:p>
  </w:footnote>
  <w:footnote w:id="22">
    <w:p w14:paraId="77F6EABE" w14:textId="77777777" w:rsidR="003C7B46" w:rsidRDefault="003C7B46">
      <w:pPr>
        <w:pStyle w:val="Voetnoottekst"/>
      </w:pPr>
      <w:r w:rsidRPr="00B53181">
        <w:rPr>
          <w:rStyle w:val="Voetnootmarkering"/>
          <w:sz w:val="13"/>
          <w:szCs w:val="13"/>
        </w:rPr>
        <w:footnoteRef/>
      </w:r>
      <w:r>
        <w:t xml:space="preserve"> </w:t>
      </w:r>
      <w:r w:rsidRPr="0075127D">
        <w:rPr>
          <w:sz w:val="13"/>
          <w:szCs w:val="13"/>
        </w:rPr>
        <w:t>Kamerstukken II 2024/25, 36600-IX, nr. 46.</w:t>
      </w:r>
    </w:p>
  </w:footnote>
  <w:footnote w:id="23">
    <w:p w14:paraId="5698650C" w14:textId="77777777" w:rsidR="00FE4F79" w:rsidRPr="0075127D" w:rsidRDefault="00FE4F79" w:rsidP="0075127D">
      <w:pPr>
        <w:pStyle w:val="Voetnoottekst"/>
        <w:contextualSpacing/>
        <w:rPr>
          <w:sz w:val="13"/>
          <w:szCs w:val="13"/>
        </w:rPr>
      </w:pPr>
      <w:r w:rsidRPr="0075127D">
        <w:rPr>
          <w:sz w:val="13"/>
          <w:szCs w:val="13"/>
          <w:vertAlign w:val="superscript"/>
        </w:rPr>
        <w:footnoteRef/>
      </w:r>
      <w:r w:rsidRPr="0075127D">
        <w:rPr>
          <w:sz w:val="13"/>
          <w:szCs w:val="13"/>
          <w:vertAlign w:val="superscript"/>
        </w:rPr>
        <w:t xml:space="preserve"> </w:t>
      </w:r>
      <w:r w:rsidRPr="0075127D">
        <w:rPr>
          <w:sz w:val="13"/>
          <w:szCs w:val="13"/>
        </w:rPr>
        <w:t xml:space="preserve">Kamerstukken II 2024/25, 36602, nr. 38. </w:t>
      </w:r>
      <w:r w:rsidR="00A23E82" w:rsidRPr="0075127D">
        <w:rPr>
          <w:sz w:val="13"/>
          <w:szCs w:val="13"/>
        </w:rPr>
        <w:t>K</w:t>
      </w:r>
      <w:r w:rsidRPr="0075127D">
        <w:rPr>
          <w:sz w:val="13"/>
          <w:szCs w:val="13"/>
        </w:rPr>
        <w:t>abinetsreactie op een onderzoek naar het vermogen in familiestichtingen.</w:t>
      </w:r>
    </w:p>
  </w:footnote>
  <w:footnote w:id="24">
    <w:p w14:paraId="2F695819" w14:textId="77777777" w:rsidR="00437F6C" w:rsidRPr="0075127D" w:rsidRDefault="00437F6C" w:rsidP="0075127D">
      <w:pPr>
        <w:pStyle w:val="Voetnoottekst"/>
        <w:contextualSpacing/>
        <w:rPr>
          <w:sz w:val="13"/>
          <w:szCs w:val="13"/>
        </w:rPr>
      </w:pPr>
      <w:r w:rsidRPr="0075127D">
        <w:rPr>
          <w:rStyle w:val="Voetnootmarkering"/>
          <w:sz w:val="13"/>
          <w:szCs w:val="13"/>
        </w:rPr>
        <w:footnoteRef/>
      </w:r>
      <w:r w:rsidRPr="0075127D">
        <w:rPr>
          <w:sz w:val="13"/>
          <w:szCs w:val="13"/>
        </w:rPr>
        <w:t xml:space="preserve"> Artikel 5b Algemene wet </w:t>
      </w:r>
      <w:proofErr w:type="gramStart"/>
      <w:r w:rsidRPr="0075127D">
        <w:rPr>
          <w:sz w:val="13"/>
          <w:szCs w:val="13"/>
        </w:rPr>
        <w:t>inzake</w:t>
      </w:r>
      <w:proofErr w:type="gramEnd"/>
      <w:r w:rsidRPr="0075127D">
        <w:rPr>
          <w:sz w:val="13"/>
          <w:szCs w:val="13"/>
        </w:rPr>
        <w:t xml:space="preserve"> rijksbelastingen (AWR).</w:t>
      </w:r>
    </w:p>
  </w:footnote>
  <w:footnote w:id="25">
    <w:p w14:paraId="77658FA5" w14:textId="77777777" w:rsidR="00437F6C" w:rsidRPr="0075127D" w:rsidRDefault="00437F6C" w:rsidP="0075127D">
      <w:pPr>
        <w:pStyle w:val="Voetnoottekst"/>
        <w:contextualSpacing/>
        <w:rPr>
          <w:sz w:val="13"/>
          <w:szCs w:val="13"/>
        </w:rPr>
      </w:pPr>
      <w:r w:rsidRPr="0075127D">
        <w:rPr>
          <w:rStyle w:val="Voetnootmarkering"/>
          <w:sz w:val="13"/>
          <w:szCs w:val="13"/>
        </w:rPr>
        <w:footnoteRef/>
      </w:r>
      <w:r w:rsidRPr="0075127D">
        <w:rPr>
          <w:sz w:val="13"/>
          <w:szCs w:val="13"/>
        </w:rPr>
        <w:t xml:space="preserve"> Op grond van artikel 1a, eerste lid, onderdeel c, van de Uitvoeringsregeling Algemene wet </w:t>
      </w:r>
      <w:proofErr w:type="gramStart"/>
      <w:r w:rsidRPr="0075127D">
        <w:rPr>
          <w:sz w:val="13"/>
          <w:szCs w:val="13"/>
        </w:rPr>
        <w:t>inzake</w:t>
      </w:r>
      <w:proofErr w:type="gramEnd"/>
      <w:r w:rsidRPr="0075127D">
        <w:rPr>
          <w:sz w:val="13"/>
          <w:szCs w:val="13"/>
        </w:rPr>
        <w:t xml:space="preserve"> rijksbelastingen 1994 (URAWR).</w:t>
      </w:r>
    </w:p>
  </w:footnote>
  <w:footnote w:id="26">
    <w:p w14:paraId="0E44A19C" w14:textId="77777777" w:rsidR="001F13FC" w:rsidRPr="0075127D" w:rsidRDefault="001F13FC" w:rsidP="0075127D">
      <w:pPr>
        <w:pStyle w:val="Voetnoottekst"/>
        <w:contextualSpacing/>
        <w:rPr>
          <w:sz w:val="13"/>
          <w:szCs w:val="13"/>
        </w:rPr>
      </w:pPr>
      <w:r w:rsidRPr="0075127D">
        <w:rPr>
          <w:rStyle w:val="Voetnootmarkering"/>
          <w:sz w:val="13"/>
          <w:szCs w:val="13"/>
        </w:rPr>
        <w:footnoteRef/>
      </w:r>
      <w:r w:rsidRPr="0075127D">
        <w:rPr>
          <w:sz w:val="13"/>
          <w:szCs w:val="13"/>
          <w:vertAlign w:val="superscript"/>
        </w:rPr>
        <w:t xml:space="preserve"> </w:t>
      </w:r>
      <w:r w:rsidRPr="0075127D">
        <w:rPr>
          <w:sz w:val="13"/>
          <w:szCs w:val="13"/>
        </w:rPr>
        <w:t>Kamerstukken II 2024/25, 31066, nr. 1490.</w:t>
      </w:r>
    </w:p>
  </w:footnote>
  <w:footnote w:id="27">
    <w:p w14:paraId="79F88A1A" w14:textId="77777777" w:rsidR="00973344" w:rsidRPr="0075127D" w:rsidRDefault="00973344" w:rsidP="0075127D">
      <w:pPr>
        <w:pStyle w:val="Voetnoottekst"/>
        <w:contextualSpacing/>
        <w:rPr>
          <w:sz w:val="13"/>
          <w:szCs w:val="13"/>
        </w:rPr>
      </w:pPr>
      <w:r w:rsidRPr="0075127D">
        <w:rPr>
          <w:rStyle w:val="Voetnootmarkering"/>
          <w:sz w:val="13"/>
          <w:szCs w:val="13"/>
        </w:rPr>
        <w:footnoteRef/>
      </w:r>
      <w:r w:rsidRPr="0075127D">
        <w:rPr>
          <w:sz w:val="13"/>
          <w:szCs w:val="13"/>
        </w:rPr>
        <w:t xml:space="preserve"> Een ANBI mag niet meer vermogen aanhouden dan redelijkerwijs nodig is voor de continuïteit van de algemeen nuttige werkzaamheden van de instelling (bestedingscriterium), ook wel de anti-oppoteis genoemd.</w:t>
      </w:r>
    </w:p>
  </w:footnote>
  <w:footnote w:id="28">
    <w:p w14:paraId="4ED6FCA2" w14:textId="77777777" w:rsidR="00760318" w:rsidRPr="0075127D" w:rsidRDefault="00760318" w:rsidP="0075127D">
      <w:pPr>
        <w:pStyle w:val="Voetnoottekst"/>
        <w:contextualSpacing/>
        <w:rPr>
          <w:sz w:val="13"/>
          <w:szCs w:val="13"/>
        </w:rPr>
      </w:pPr>
      <w:r w:rsidRPr="0075127D">
        <w:rPr>
          <w:rStyle w:val="Voetnootmarkering"/>
          <w:sz w:val="13"/>
          <w:szCs w:val="13"/>
        </w:rPr>
        <w:footnoteRef/>
      </w:r>
      <w:r w:rsidRPr="0075127D">
        <w:rPr>
          <w:sz w:val="13"/>
          <w:szCs w:val="13"/>
        </w:rPr>
        <w:t xml:space="preserve"> </w:t>
      </w:r>
      <w:proofErr w:type="gramStart"/>
      <w:r w:rsidRPr="0075127D">
        <w:rPr>
          <w:i/>
          <w:iCs/>
          <w:sz w:val="13"/>
          <w:szCs w:val="13"/>
        </w:rPr>
        <w:t>https://download.belastingdienst.nl/belastingdienst/docs/opg-vermog-schenk-anbi-ib0741z41fol.pdf</w:t>
      </w:r>
      <w:proofErr w:type="gramEnd"/>
      <w:r w:rsidRPr="0075127D">
        <w:rPr>
          <w:i/>
          <w:iCs/>
          <w:sz w:val="13"/>
          <w:szCs w:val="13"/>
        </w:rPr>
        <w:t>.</w:t>
      </w:r>
    </w:p>
  </w:footnote>
  <w:footnote w:id="29">
    <w:p w14:paraId="28A6AFFD" w14:textId="77777777" w:rsidR="000306EB" w:rsidRPr="0075127D" w:rsidRDefault="000306EB" w:rsidP="0075127D">
      <w:pPr>
        <w:pStyle w:val="Voetnoottekst"/>
        <w:contextualSpacing/>
        <w:rPr>
          <w:sz w:val="13"/>
          <w:szCs w:val="13"/>
        </w:rPr>
      </w:pPr>
      <w:r w:rsidRPr="0075127D">
        <w:rPr>
          <w:rStyle w:val="Voetnootmarkering"/>
          <w:sz w:val="13"/>
          <w:szCs w:val="13"/>
        </w:rPr>
        <w:footnoteRef/>
      </w:r>
      <w:r w:rsidRPr="0075127D">
        <w:rPr>
          <w:sz w:val="13"/>
          <w:szCs w:val="13"/>
        </w:rPr>
        <w:t xml:space="preserve"> Zie artikel 75 van de Successiewet 1956 en artikel 10e van het Uitvoeringsbesluit Successiewet 1956.</w:t>
      </w:r>
    </w:p>
  </w:footnote>
  <w:footnote w:id="30">
    <w:p w14:paraId="1DBA4E49" w14:textId="77777777" w:rsidR="00B120C2" w:rsidRPr="00045DB0" w:rsidRDefault="00B120C2" w:rsidP="0075127D">
      <w:pPr>
        <w:pStyle w:val="Voetnoottekst"/>
        <w:rPr>
          <w:sz w:val="13"/>
          <w:szCs w:val="13"/>
        </w:rPr>
      </w:pPr>
      <w:r w:rsidRPr="00B53181">
        <w:rPr>
          <w:sz w:val="13"/>
          <w:szCs w:val="13"/>
          <w:vertAlign w:val="superscript"/>
        </w:rPr>
        <w:footnoteRef/>
      </w:r>
      <w:r w:rsidR="003C7B46" w:rsidRPr="00045DB0">
        <w:rPr>
          <w:sz w:val="13"/>
          <w:szCs w:val="13"/>
        </w:rPr>
        <w:t xml:space="preserve"> </w:t>
      </w:r>
      <w:r w:rsidRPr="00045DB0">
        <w:rPr>
          <w:sz w:val="13"/>
          <w:szCs w:val="13"/>
        </w:rPr>
        <w:t>Artikel 10e, zevende lid, Uitvoeringsbesluit Successiewet</w:t>
      </w:r>
      <w:r w:rsidR="0075127D" w:rsidRPr="00045DB0">
        <w:rPr>
          <w:sz w:val="13"/>
          <w:szCs w:val="13"/>
        </w:rPr>
        <w:t xml:space="preserve"> 1956</w:t>
      </w:r>
      <w:r w:rsidR="00327527" w:rsidRPr="00045DB0">
        <w:rPr>
          <w:sz w:val="13"/>
          <w:szCs w:val="13"/>
        </w:rPr>
        <w:t>.</w:t>
      </w:r>
    </w:p>
  </w:footnote>
  <w:footnote w:id="31">
    <w:p w14:paraId="0F5A040A" w14:textId="77777777" w:rsidR="00540C72" w:rsidRPr="0075127D" w:rsidRDefault="00540C72" w:rsidP="0075127D">
      <w:pPr>
        <w:pStyle w:val="Voetnoottekst"/>
        <w:contextualSpacing/>
        <w:rPr>
          <w:sz w:val="13"/>
          <w:szCs w:val="13"/>
        </w:rPr>
      </w:pPr>
      <w:r w:rsidRPr="00B53181">
        <w:rPr>
          <w:sz w:val="13"/>
          <w:szCs w:val="13"/>
          <w:vertAlign w:val="superscript"/>
        </w:rPr>
        <w:footnoteRef/>
      </w:r>
      <w:r w:rsidRPr="00045DB0">
        <w:rPr>
          <w:sz w:val="13"/>
          <w:szCs w:val="13"/>
          <w:vertAlign w:val="superscript"/>
        </w:rPr>
        <w:t xml:space="preserve"> </w:t>
      </w:r>
      <w:r w:rsidR="00227D45" w:rsidRPr="00045DB0">
        <w:rPr>
          <w:sz w:val="13"/>
          <w:szCs w:val="13"/>
        </w:rPr>
        <w:t xml:space="preserve">Bij </w:t>
      </w:r>
      <w:r w:rsidR="00227D45" w:rsidRPr="00DF10C6">
        <w:rPr>
          <w:sz w:val="13"/>
          <w:szCs w:val="13"/>
        </w:rPr>
        <w:t xml:space="preserve">niet (of te laat) nakomen van de informatieverplichting kan jaarlijks op grond van artikel 10e, lid 7 UBSW een vergrijpboete opgelegd worden van maximaal € 27.500. Bij grove schuld bedraagt de boete in beginsel € 6.875 (25%) en bij opzet bedraagt de boete in beginsel € 13.750 (50%). </w:t>
      </w:r>
    </w:p>
  </w:footnote>
  <w:footnote w:id="32">
    <w:p w14:paraId="0B59ABFC" w14:textId="77777777" w:rsidR="00A16849" w:rsidRPr="0075127D" w:rsidRDefault="00A16849" w:rsidP="0075127D">
      <w:pPr>
        <w:pStyle w:val="Voetnoottekst"/>
        <w:contextualSpacing/>
        <w:rPr>
          <w:sz w:val="13"/>
          <w:szCs w:val="13"/>
        </w:rPr>
      </w:pPr>
      <w:r w:rsidRPr="0075127D">
        <w:rPr>
          <w:rStyle w:val="Voetnootmarkering"/>
          <w:sz w:val="13"/>
          <w:szCs w:val="13"/>
        </w:rPr>
        <w:footnoteRef/>
      </w:r>
      <w:r w:rsidRPr="0075127D">
        <w:rPr>
          <w:sz w:val="13"/>
          <w:szCs w:val="13"/>
        </w:rPr>
        <w:t xml:space="preserve"> Zie Besluit van 20 november 2014 tot wijziging van het </w:t>
      </w:r>
      <w:hyperlink r:id="rId2" w:history="1">
        <w:r w:rsidRPr="0075127D">
          <w:rPr>
            <w:rStyle w:val="Hyperlink"/>
            <w:sz w:val="13"/>
            <w:szCs w:val="13"/>
          </w:rPr>
          <w:t>Uitvoeringsbesluit SW 1956</w:t>
        </w:r>
      </w:hyperlink>
      <w:r w:rsidRPr="0075127D">
        <w:rPr>
          <w:sz w:val="13"/>
          <w:szCs w:val="13"/>
        </w:rPr>
        <w:t xml:space="preserve"> in verband met de vastlegging van de informatieplicht voor bepaalde financiële ondernemingen </w:t>
      </w:r>
      <w:proofErr w:type="gramStart"/>
      <w:r w:rsidRPr="0075127D">
        <w:rPr>
          <w:sz w:val="13"/>
          <w:szCs w:val="13"/>
        </w:rPr>
        <w:t>alsmede</w:t>
      </w:r>
      <w:proofErr w:type="gramEnd"/>
      <w:r w:rsidRPr="0075127D">
        <w:rPr>
          <w:sz w:val="13"/>
          <w:szCs w:val="13"/>
        </w:rPr>
        <w:t xml:space="preserve"> invoering van een informatieplicht voor voormalige algemeen nut beogende instellingen (</w:t>
      </w:r>
      <w:r w:rsidRPr="0075127D">
        <w:rPr>
          <w:i/>
          <w:iCs/>
          <w:sz w:val="13"/>
          <w:szCs w:val="13"/>
        </w:rPr>
        <w:t>Stb.</w:t>
      </w:r>
      <w:r w:rsidRPr="0075127D">
        <w:rPr>
          <w:sz w:val="13"/>
          <w:szCs w:val="13"/>
        </w:rPr>
        <w:t> 2014, 464).</w:t>
      </w:r>
    </w:p>
  </w:footnote>
  <w:footnote w:id="33">
    <w:p w14:paraId="0A278671" w14:textId="77777777" w:rsidR="00BA5434" w:rsidRPr="0075127D" w:rsidRDefault="00BA5434" w:rsidP="0075127D">
      <w:pPr>
        <w:spacing w:line="240" w:lineRule="auto"/>
        <w:contextualSpacing/>
        <w:rPr>
          <w:sz w:val="13"/>
          <w:szCs w:val="13"/>
        </w:rPr>
      </w:pPr>
      <w:r w:rsidRPr="0075127D">
        <w:rPr>
          <w:rStyle w:val="Voetnootmarkering"/>
          <w:sz w:val="13"/>
          <w:szCs w:val="13"/>
        </w:rPr>
        <w:footnoteRef/>
      </w:r>
      <w:r w:rsidR="00540C72" w:rsidRPr="0075127D">
        <w:rPr>
          <w:sz w:val="13"/>
          <w:szCs w:val="13"/>
        </w:rPr>
        <w:t xml:space="preserve"> </w:t>
      </w:r>
      <w:hyperlink r:id="rId3" w:tgtFrame="_blank" w:history="1">
        <w:r w:rsidRPr="0075127D">
          <w:rPr>
            <w:rStyle w:val="Hyperlink"/>
            <w:sz w:val="13"/>
            <w:szCs w:val="13"/>
          </w:rPr>
          <w:t>Kamerstukken II 2013/14, 33 753, nr. 5</w:t>
        </w:r>
      </w:hyperlink>
      <w:r w:rsidRPr="0075127D">
        <w:rPr>
          <w:sz w:val="13"/>
          <w:szCs w:val="13"/>
        </w:rPr>
        <w:t>, p. 2-5 artikelsgewijze toelichting artikel 75 van de Successiewet 1956.</w:t>
      </w:r>
      <w:r w:rsidR="0070713C" w:rsidRPr="0075127D">
        <w:rPr>
          <w:sz w:val="13"/>
          <w:szCs w:val="13"/>
        </w:rPr>
        <w:t xml:space="preserve"> Schenkingen door deze voormalige ANBI’s zijn niet langer vrijgesteld en d</w:t>
      </w:r>
      <w:r w:rsidR="00227D45" w:rsidRPr="0075127D">
        <w:rPr>
          <w:sz w:val="13"/>
          <w:szCs w:val="13"/>
        </w:rPr>
        <w:t>us</w:t>
      </w:r>
      <w:r w:rsidR="0070713C" w:rsidRPr="0075127D">
        <w:rPr>
          <w:sz w:val="13"/>
          <w:szCs w:val="13"/>
        </w:rPr>
        <w:t xml:space="preserve"> bij de begiftigde in beginsel belast met schenkbelasting, mits de voormalige ANBI in Nederland gevestigd is en de begiftigde niet zelf een ANBI is.</w:t>
      </w:r>
    </w:p>
  </w:footnote>
  <w:footnote w:id="34">
    <w:p w14:paraId="295D50C1" w14:textId="77777777" w:rsidR="00BF7009" w:rsidRPr="0075127D" w:rsidRDefault="00BF7009" w:rsidP="0075127D">
      <w:pPr>
        <w:spacing w:line="240" w:lineRule="auto"/>
        <w:contextualSpacing/>
        <w:rPr>
          <w:sz w:val="13"/>
          <w:szCs w:val="13"/>
        </w:rPr>
      </w:pPr>
      <w:r w:rsidRPr="0075127D">
        <w:rPr>
          <w:rStyle w:val="Voetnootmarkering"/>
          <w:sz w:val="13"/>
          <w:szCs w:val="13"/>
        </w:rPr>
        <w:footnoteRef/>
      </w:r>
      <w:r w:rsidRPr="0075127D">
        <w:rPr>
          <w:sz w:val="13"/>
          <w:szCs w:val="13"/>
        </w:rPr>
        <w:t xml:space="preserve"> </w:t>
      </w:r>
      <w:proofErr w:type="spellStart"/>
      <w:r w:rsidRPr="0075127D">
        <w:rPr>
          <w:sz w:val="13"/>
          <w:szCs w:val="13"/>
        </w:rPr>
        <w:t>NvW</w:t>
      </w:r>
      <w:proofErr w:type="spellEnd"/>
      <w:r w:rsidRPr="0075127D">
        <w:rPr>
          <w:sz w:val="13"/>
          <w:szCs w:val="13"/>
        </w:rPr>
        <w:t>, </w:t>
      </w:r>
      <w:hyperlink r:id="rId4" w:tgtFrame="_blank" w:history="1">
        <w:r w:rsidRPr="0075127D">
          <w:rPr>
            <w:rStyle w:val="Hyperlink"/>
            <w:i/>
            <w:iCs/>
            <w:sz w:val="13"/>
            <w:szCs w:val="13"/>
          </w:rPr>
          <w:t>Kamerstukken II</w:t>
        </w:r>
        <w:r w:rsidRPr="0075127D">
          <w:rPr>
            <w:rStyle w:val="Hyperlink"/>
            <w:sz w:val="13"/>
            <w:szCs w:val="13"/>
          </w:rPr>
          <w:t> 2013/14, 33 753, nr. 5</w:t>
        </w:r>
      </w:hyperlink>
      <w:r w:rsidRPr="0075127D">
        <w:rPr>
          <w:sz w:val="13"/>
          <w:szCs w:val="13"/>
        </w:rPr>
        <w:t xml:space="preserve">, p. 2-5; toelichting artikel 75 SW 1956. </w:t>
      </w:r>
      <w:r w:rsidR="00C575E7" w:rsidRPr="0075127D">
        <w:rPr>
          <w:sz w:val="13"/>
          <w:szCs w:val="13"/>
        </w:rPr>
        <w:t>“</w:t>
      </w:r>
      <w:r w:rsidRPr="0075127D">
        <w:rPr>
          <w:sz w:val="13"/>
          <w:szCs w:val="13"/>
        </w:rPr>
        <w:t xml:space="preserve">Schenkingen door deze voormalige ANBI’s zijn niet langer vrijgesteld en </w:t>
      </w:r>
      <w:proofErr w:type="gramStart"/>
      <w:r w:rsidRPr="0075127D">
        <w:rPr>
          <w:sz w:val="13"/>
          <w:szCs w:val="13"/>
        </w:rPr>
        <w:t>derhalve</w:t>
      </w:r>
      <w:proofErr w:type="gramEnd"/>
      <w:r w:rsidRPr="0075127D">
        <w:rPr>
          <w:sz w:val="13"/>
          <w:szCs w:val="13"/>
        </w:rPr>
        <w:t xml:space="preserve"> bij de begiftigde in beginsel belast met schenkbelasting, mits de voormalige ANBI in Nederland gevestigd is en de begiftigde niet zelf een ANBI is.</w:t>
      </w:r>
      <w:r w:rsidR="00C575E7" w:rsidRPr="0075127D">
        <w:rPr>
          <w:sz w:val="13"/>
          <w:szCs w:val="13"/>
        </w:rPr>
        <w:t>”</w:t>
      </w:r>
    </w:p>
  </w:footnote>
  <w:footnote w:id="35">
    <w:p w14:paraId="7BEFBC53" w14:textId="77777777" w:rsidR="003300A3" w:rsidRPr="0075127D" w:rsidRDefault="003300A3" w:rsidP="0075127D">
      <w:pPr>
        <w:pStyle w:val="Voetnoottekst"/>
        <w:contextualSpacing/>
        <w:rPr>
          <w:sz w:val="13"/>
          <w:szCs w:val="13"/>
        </w:rPr>
      </w:pPr>
      <w:r w:rsidRPr="0075127D">
        <w:rPr>
          <w:rStyle w:val="Voetnootmarkering"/>
          <w:sz w:val="13"/>
          <w:szCs w:val="13"/>
        </w:rPr>
        <w:footnoteRef/>
      </w:r>
      <w:r w:rsidRPr="0075127D">
        <w:rPr>
          <w:sz w:val="13"/>
          <w:szCs w:val="13"/>
        </w:rPr>
        <w:t xml:space="preserve"> Ministerie van Financiën (2025)</w:t>
      </w:r>
      <w:r w:rsidR="00BE5160" w:rsidRPr="0075127D">
        <w:rPr>
          <w:sz w:val="13"/>
          <w:szCs w:val="13"/>
        </w:rPr>
        <w:t>,</w:t>
      </w:r>
      <w:r w:rsidRPr="0075127D">
        <w:rPr>
          <w:sz w:val="13"/>
          <w:szCs w:val="13"/>
        </w:rPr>
        <w:t xml:space="preserve"> ‘Fiscaal onderzoek naar het vermogen in familiestichtingen’, p. 24.</w:t>
      </w:r>
    </w:p>
  </w:footnote>
  <w:footnote w:id="36">
    <w:p w14:paraId="3718AF8B" w14:textId="77777777" w:rsidR="008129F5" w:rsidRPr="0075127D" w:rsidRDefault="008129F5" w:rsidP="0075127D">
      <w:pPr>
        <w:pStyle w:val="Voetnoottekst"/>
        <w:rPr>
          <w:sz w:val="13"/>
          <w:szCs w:val="13"/>
        </w:rPr>
      </w:pPr>
      <w:r w:rsidRPr="0075127D">
        <w:rPr>
          <w:rStyle w:val="Voetnootmarkering"/>
          <w:sz w:val="13"/>
          <w:szCs w:val="13"/>
        </w:rPr>
        <w:footnoteRef/>
      </w:r>
      <w:r w:rsidRPr="0075127D">
        <w:rPr>
          <w:sz w:val="13"/>
          <w:szCs w:val="13"/>
        </w:rPr>
        <w:t xml:space="preserve"> Volgens de evaluatie verloren in de periode 2020-2023 jaarlijks in totaal 800 tot 2.300 instellingen de ANBI-status. In de evaluatieperiode ligt het aantal voormalige </w:t>
      </w:r>
      <w:proofErr w:type="spellStart"/>
      <w:r w:rsidRPr="0075127D">
        <w:rPr>
          <w:sz w:val="13"/>
          <w:szCs w:val="13"/>
        </w:rPr>
        <w:t>ANBI’s</w:t>
      </w:r>
      <w:proofErr w:type="spellEnd"/>
      <w:r w:rsidRPr="0075127D">
        <w:rPr>
          <w:sz w:val="13"/>
          <w:szCs w:val="13"/>
        </w:rPr>
        <w:t xml:space="preserve"> dat </w:t>
      </w:r>
      <w:proofErr w:type="spellStart"/>
      <w:r w:rsidRPr="0075127D">
        <w:rPr>
          <w:sz w:val="13"/>
          <w:szCs w:val="13"/>
        </w:rPr>
        <w:t>informatieplichtig</w:t>
      </w:r>
      <w:proofErr w:type="spellEnd"/>
      <w:r w:rsidRPr="0075127D">
        <w:rPr>
          <w:sz w:val="13"/>
          <w:szCs w:val="13"/>
        </w:rPr>
        <w:t xml:space="preserve"> is in de meeste jaren rond de 1.300. Deze verschillen met de recente, nadere analyse door de Belastingdienst vallen enerzijds te verklaren doordat in het evaluatierapport is uitgegaan van de intrekkingsdatum terwijl voor de infoplicht ex-ANBI het jaar van einddatum van belang is (in verband met terugwerkende kracht intrekkingen) en anderzijds omdat de aantallen in het gebruikte publicatiebestand (op internet) niet een getrouw beeld gaven naarmate het oudere jaren betreft (i</w:t>
      </w:r>
      <w:r w:rsidR="003F5302" w:rsidRPr="0075127D">
        <w:rPr>
          <w:sz w:val="13"/>
          <w:szCs w:val="13"/>
        </w:rPr>
        <w:t xml:space="preserve">n </w:t>
      </w:r>
      <w:proofErr w:type="spellStart"/>
      <w:r w:rsidR="003F5302" w:rsidRPr="0075127D">
        <w:rPr>
          <w:sz w:val="13"/>
          <w:szCs w:val="13"/>
        </w:rPr>
        <w:t>concreto</w:t>
      </w:r>
      <w:proofErr w:type="spellEnd"/>
      <w:r w:rsidRPr="0075127D">
        <w:rPr>
          <w:sz w:val="13"/>
          <w:szCs w:val="13"/>
        </w:rPr>
        <w:t xml:space="preserve"> 2020).</w:t>
      </w:r>
    </w:p>
  </w:footnote>
  <w:footnote w:id="37">
    <w:p w14:paraId="491336D8" w14:textId="77777777" w:rsidR="000D1AF4" w:rsidRPr="0075127D" w:rsidRDefault="000D1AF4" w:rsidP="0075127D">
      <w:pPr>
        <w:pStyle w:val="Voetnoottekst"/>
        <w:contextualSpacing/>
        <w:rPr>
          <w:sz w:val="13"/>
          <w:szCs w:val="13"/>
        </w:rPr>
      </w:pPr>
      <w:r w:rsidRPr="0075127D">
        <w:rPr>
          <w:rStyle w:val="Voetnootmarkering"/>
          <w:sz w:val="13"/>
          <w:szCs w:val="13"/>
        </w:rPr>
        <w:footnoteRef/>
      </w:r>
      <w:r w:rsidRPr="0075127D">
        <w:rPr>
          <w:sz w:val="13"/>
          <w:szCs w:val="13"/>
        </w:rPr>
        <w:t xml:space="preserve"> Indien de status als gevolg van toezicht door de Belastingdienst wordt ingetrokken, kan dat met terugwerkende kracht vanaf het moment dat een instelling niet meer aan de voorwaarden voor de ANBI-regeling voldoet.</w:t>
      </w:r>
    </w:p>
  </w:footnote>
  <w:footnote w:id="38">
    <w:p w14:paraId="012BE406" w14:textId="77777777" w:rsidR="007B18C1" w:rsidRPr="0075127D" w:rsidRDefault="007B18C1" w:rsidP="0075127D">
      <w:pPr>
        <w:pStyle w:val="Voetnoottekst"/>
        <w:contextualSpacing/>
        <w:rPr>
          <w:sz w:val="13"/>
          <w:szCs w:val="13"/>
        </w:rPr>
      </w:pPr>
      <w:r w:rsidRPr="0075127D">
        <w:rPr>
          <w:rStyle w:val="Voetnootmarkering"/>
          <w:sz w:val="13"/>
          <w:szCs w:val="13"/>
        </w:rPr>
        <w:footnoteRef/>
      </w:r>
      <w:r w:rsidRPr="0075127D">
        <w:rPr>
          <w:sz w:val="13"/>
          <w:szCs w:val="13"/>
        </w:rPr>
        <w:t xml:space="preserve"> Artikel 1a, eerste lid, onderdeel h, URAWR. </w:t>
      </w:r>
      <w:bookmarkStart w:id="7" w:name="_Hlk219900743"/>
      <w:r w:rsidRPr="0075127D">
        <w:rPr>
          <w:sz w:val="13"/>
          <w:szCs w:val="13"/>
        </w:rPr>
        <w:t>Indien en zolang uit de regelgeving van de instelling blijkt dat bij opheffing van de instelling een batig liquidatiesaldo wordt besteed ten behoeve van een algemeen nut beogende instelling of van een buitenlandse instelling die uitsluitend of nagenoeg uitsluitend het algemeen nut beoogt maar indien het een culturele instelling als bedoeld in </w:t>
      </w:r>
      <w:hyperlink r:id="rId5" w:anchor="Hoofdstuk1a_Artikel1d" w:history="1">
        <w:r w:rsidRPr="0075127D">
          <w:rPr>
            <w:rStyle w:val="Hyperlink"/>
            <w:sz w:val="13"/>
            <w:szCs w:val="13"/>
          </w:rPr>
          <w:t>artikel 1d</w:t>
        </w:r>
      </w:hyperlink>
      <w:r w:rsidRPr="0075127D">
        <w:rPr>
          <w:sz w:val="13"/>
          <w:szCs w:val="13"/>
        </w:rPr>
        <w:t> betreft, ten behoeve van een algemeen nut beogende instelling met een soortgelijke doelstelling of van een buitenlandse instelling die uitsluitend of nagenoeg uitsluitend het algemeen nut beoogt en die een soortgelijke doelstelling heeft</w:t>
      </w:r>
      <w:bookmarkEnd w:id="7"/>
      <w:r w:rsidR="000D1AF4" w:rsidRPr="0075127D">
        <w:rPr>
          <w:sz w:val="13"/>
          <w:szCs w:val="13"/>
        </w:rPr>
        <w:t>.</w:t>
      </w:r>
    </w:p>
  </w:footnote>
  <w:footnote w:id="39">
    <w:p w14:paraId="0BD76EB5" w14:textId="77777777" w:rsidR="008310BE" w:rsidRDefault="008310BE" w:rsidP="00DF10C6">
      <w:pPr>
        <w:spacing w:line="276" w:lineRule="auto"/>
      </w:pPr>
      <w:r w:rsidRPr="00DF10C6">
        <w:rPr>
          <w:rStyle w:val="Voetnootmarkering"/>
          <w:sz w:val="13"/>
          <w:szCs w:val="13"/>
        </w:rPr>
        <w:footnoteRef/>
      </w:r>
      <w:r w:rsidRPr="00DF10C6">
        <w:rPr>
          <w:sz w:val="13"/>
          <w:szCs w:val="13"/>
        </w:rPr>
        <w:t xml:space="preserve"> Een ander doel zou kunnen zijn om met deze heffing de eerder verleende fiscale voordelen gerelateerd aan de ANBI-regeling terug te halen voor zover deze nog niet tot besteding </w:t>
      </w:r>
      <w:proofErr w:type="gramStart"/>
      <w:r w:rsidRPr="00DF10C6">
        <w:rPr>
          <w:sz w:val="13"/>
          <w:szCs w:val="13"/>
        </w:rPr>
        <w:t>conform</w:t>
      </w:r>
      <w:proofErr w:type="gramEnd"/>
      <w:r w:rsidRPr="00DF10C6">
        <w:rPr>
          <w:sz w:val="13"/>
          <w:szCs w:val="13"/>
        </w:rPr>
        <w:t xml:space="preserve"> de ANBI</w:t>
      </w:r>
      <w:r w:rsidRPr="00DF10C6">
        <w:rPr>
          <w:sz w:val="13"/>
          <w:szCs w:val="13"/>
        </w:rPr>
        <w:noBreakHyphen/>
        <w:t xml:space="preserve">regelgeving hebben geleid. Dit is voorstelbaar in het geval de ANBI-status op verzoek van de instelling wordt ingetrokken kort nadat van fiscale voordelen gebruik is gemaakt. De praktijk is echter zeer uiteenlopend. Zo kan er ook sprake zijn van voormalige ANBI’s die al decennia als ANBI hebben bestaan en er geen gegevens zijn over de omvang van de ooit verleende fiscale faciliteiten aan die ANBI’s. </w:t>
      </w:r>
      <w:r w:rsidR="008746DA" w:rsidRPr="00DF10C6">
        <w:rPr>
          <w:sz w:val="13"/>
          <w:szCs w:val="13"/>
        </w:rPr>
        <w:t xml:space="preserve">Het bepalen van een tarief dat ook dient ter compensatie voor de gemiste inkomsten- en vennootschapsbelasting vanwege onder andere de giftenaftrek is ondoenlijk. </w:t>
      </w:r>
    </w:p>
  </w:footnote>
  <w:footnote w:id="40">
    <w:p w14:paraId="62BED5E4" w14:textId="77777777" w:rsidR="00333A82" w:rsidRPr="0075127D" w:rsidRDefault="00333A82" w:rsidP="0075127D">
      <w:pPr>
        <w:pStyle w:val="Voetnoottekst"/>
        <w:contextualSpacing/>
        <w:rPr>
          <w:sz w:val="13"/>
          <w:szCs w:val="13"/>
        </w:rPr>
      </w:pPr>
      <w:r w:rsidRPr="0075127D">
        <w:rPr>
          <w:rStyle w:val="Voetnootmarkering"/>
          <w:sz w:val="13"/>
          <w:szCs w:val="13"/>
        </w:rPr>
        <w:footnoteRef/>
      </w:r>
      <w:r w:rsidRPr="0075127D">
        <w:rPr>
          <w:sz w:val="13"/>
          <w:szCs w:val="13"/>
        </w:rPr>
        <w:t xml:space="preserve"> </w:t>
      </w:r>
      <w:hyperlink r:id="rId6" w:history="1">
        <w:r w:rsidRPr="0075127D">
          <w:rPr>
            <w:rStyle w:val="Hyperlink"/>
            <w:color w:val="auto"/>
            <w:sz w:val="13"/>
            <w:szCs w:val="13"/>
            <w:u w:val="none"/>
          </w:rPr>
          <w:t>https://www.canada.ca/en/revenue-agency/services/charities-giving/charities/revoking-registered-status/revocation-tax-t2046-tax-return.html</w:t>
        </w:r>
      </w:hyperlink>
      <w:r w:rsidRPr="0075127D">
        <w:rPr>
          <w:color w:val="auto"/>
          <w:sz w:val="13"/>
          <w:szCs w:val="13"/>
        </w:rPr>
        <w:t xml:space="preserve">, geraadpleegd op 1 oktober 2025. </w:t>
      </w:r>
    </w:p>
  </w:footnote>
  <w:footnote w:id="41">
    <w:p w14:paraId="4E2083C0" w14:textId="77777777" w:rsidR="002922C2" w:rsidRPr="0075127D" w:rsidRDefault="002922C2" w:rsidP="0075127D">
      <w:pPr>
        <w:pStyle w:val="Voetnoottekst"/>
        <w:contextualSpacing/>
        <w:rPr>
          <w:rStyle w:val="Hyperlink"/>
          <w:color w:val="auto"/>
          <w:sz w:val="13"/>
          <w:szCs w:val="13"/>
          <w:u w:val="none"/>
          <w:lang w:val="en-US"/>
        </w:rPr>
      </w:pPr>
      <w:r w:rsidRPr="0075127D">
        <w:rPr>
          <w:rStyle w:val="Hyperlink"/>
          <w:color w:val="auto"/>
          <w:sz w:val="13"/>
          <w:szCs w:val="13"/>
          <w:u w:val="none"/>
          <w:vertAlign w:val="superscript"/>
        </w:rPr>
        <w:footnoteRef/>
      </w:r>
      <w:r w:rsidRPr="0075127D">
        <w:rPr>
          <w:rStyle w:val="Hyperlink"/>
          <w:color w:val="auto"/>
          <w:sz w:val="13"/>
          <w:szCs w:val="13"/>
          <w:u w:val="none"/>
          <w:vertAlign w:val="superscript"/>
        </w:rPr>
        <w:t xml:space="preserve"> </w:t>
      </w:r>
      <w:r w:rsidRPr="0075127D">
        <w:rPr>
          <w:rStyle w:val="Hyperlink"/>
          <w:color w:val="auto"/>
          <w:sz w:val="13"/>
          <w:szCs w:val="13"/>
          <w:u w:val="none"/>
        </w:rPr>
        <w:t>Zie artikel 61, derde lid van de Duitse belastingwet (</w:t>
      </w:r>
      <w:proofErr w:type="spellStart"/>
      <w:r w:rsidRPr="0075127D">
        <w:rPr>
          <w:rStyle w:val="Hyperlink"/>
          <w:color w:val="auto"/>
          <w:sz w:val="13"/>
          <w:szCs w:val="13"/>
          <w:u w:val="none"/>
        </w:rPr>
        <w:t>Abgabenordnung</w:t>
      </w:r>
      <w:proofErr w:type="spellEnd"/>
      <w:r w:rsidRPr="0075127D">
        <w:rPr>
          <w:rStyle w:val="Hyperlink"/>
          <w:color w:val="auto"/>
          <w:sz w:val="13"/>
          <w:szCs w:val="13"/>
          <w:u w:val="none"/>
        </w:rPr>
        <w:t xml:space="preserve"> of AO). Voor de vertaling uit het Duits is op 12 november 2025 gebruikgemaakt van de officiële vertaling van het ministerie van Justitie op </w:t>
      </w:r>
      <w:hyperlink r:id="rId7" w:anchor="p0480" w:history="1">
        <w:r w:rsidRPr="0075127D">
          <w:rPr>
            <w:rStyle w:val="Hyperlink"/>
            <w:sz w:val="13"/>
            <w:szCs w:val="13"/>
          </w:rPr>
          <w:t>https://www.gesetze-im-internet.de/englisch_ao/englisch_ao.html#p0480</w:t>
        </w:r>
      </w:hyperlink>
      <w:r w:rsidRPr="0075127D">
        <w:rPr>
          <w:rStyle w:val="Hyperlink"/>
          <w:color w:val="auto"/>
          <w:sz w:val="13"/>
          <w:szCs w:val="13"/>
          <w:u w:val="none"/>
        </w:rPr>
        <w:t xml:space="preserve">. </w:t>
      </w:r>
      <w:r w:rsidRPr="0075127D">
        <w:rPr>
          <w:rStyle w:val="Hyperlink"/>
          <w:color w:val="auto"/>
          <w:sz w:val="13"/>
          <w:szCs w:val="13"/>
          <w:u w:val="none"/>
          <w:lang w:val="en-US"/>
        </w:rPr>
        <w:t xml:space="preserve">Artikel 61, </w:t>
      </w:r>
      <w:proofErr w:type="spellStart"/>
      <w:r w:rsidRPr="0075127D">
        <w:rPr>
          <w:rStyle w:val="Hyperlink"/>
          <w:color w:val="auto"/>
          <w:sz w:val="13"/>
          <w:szCs w:val="13"/>
          <w:u w:val="none"/>
          <w:lang w:val="en-US"/>
        </w:rPr>
        <w:t>derde</w:t>
      </w:r>
      <w:proofErr w:type="spellEnd"/>
      <w:r w:rsidRPr="0075127D">
        <w:rPr>
          <w:rStyle w:val="Hyperlink"/>
          <w:color w:val="auto"/>
          <w:sz w:val="13"/>
          <w:szCs w:val="13"/>
          <w:u w:val="none"/>
          <w:lang w:val="en-US"/>
        </w:rPr>
        <w:t xml:space="preserve"> lid AO </w:t>
      </w:r>
      <w:proofErr w:type="spellStart"/>
      <w:r w:rsidRPr="0075127D">
        <w:rPr>
          <w:rStyle w:val="Hyperlink"/>
          <w:color w:val="auto"/>
          <w:sz w:val="13"/>
          <w:szCs w:val="13"/>
          <w:u w:val="none"/>
          <w:lang w:val="en-US"/>
        </w:rPr>
        <w:t>luidt</w:t>
      </w:r>
      <w:proofErr w:type="spellEnd"/>
      <w:r w:rsidRPr="0075127D">
        <w:rPr>
          <w:rStyle w:val="Hyperlink"/>
          <w:color w:val="auto"/>
          <w:sz w:val="13"/>
          <w:szCs w:val="13"/>
          <w:u w:val="none"/>
          <w:lang w:val="en-US"/>
        </w:rPr>
        <w:t xml:space="preserve">: </w:t>
      </w:r>
    </w:p>
    <w:p w14:paraId="506B3EE8" w14:textId="77777777" w:rsidR="002922C2" w:rsidRPr="0075127D" w:rsidRDefault="002922C2" w:rsidP="0075127D">
      <w:pPr>
        <w:pStyle w:val="Voetnoottekst"/>
        <w:contextualSpacing/>
        <w:rPr>
          <w:i/>
          <w:iCs/>
          <w:sz w:val="13"/>
          <w:szCs w:val="13"/>
          <w:lang w:val="en-US"/>
        </w:rPr>
      </w:pPr>
      <w:r w:rsidRPr="0075127D">
        <w:rPr>
          <w:i/>
          <w:iCs/>
          <w:sz w:val="13"/>
          <w:szCs w:val="13"/>
          <w:lang w:val="en-US"/>
        </w:rPr>
        <w:t xml:space="preserve">‘If the provision on the dedication of assets is subsequently amended so that it no longer conforms to the requirements of section 55(1) number 4 it shall be deemed from the outset to have been insufficient for tax purposes. Section 175(1), first sentence, number 2 shall apply with the proviso that tax assessment notices may be issued, cancelled or amended insofar as they relate to taxes which have arisen within the ten calendar years preceding the amendment of the provision on the dedication of </w:t>
      </w:r>
      <w:proofErr w:type="gramStart"/>
      <w:r w:rsidRPr="0075127D">
        <w:rPr>
          <w:i/>
          <w:iCs/>
          <w:sz w:val="13"/>
          <w:szCs w:val="13"/>
          <w:lang w:val="en-US"/>
        </w:rPr>
        <w:t>assets’</w:t>
      </w:r>
      <w:proofErr w:type="gramEnd"/>
      <w:r w:rsidRPr="0075127D">
        <w:rPr>
          <w:i/>
          <w:iCs/>
          <w:sz w:val="13"/>
          <w:szCs w:val="13"/>
          <w:lang w:val="en-US"/>
        </w:rPr>
        <w:t>.</w:t>
      </w:r>
    </w:p>
    <w:p w14:paraId="3D59222C" w14:textId="77777777" w:rsidR="002922C2" w:rsidRPr="0075127D" w:rsidRDefault="002922C2" w:rsidP="0075127D">
      <w:pPr>
        <w:pStyle w:val="Voetnoottekst"/>
        <w:contextualSpacing/>
        <w:rPr>
          <w:sz w:val="13"/>
          <w:szCs w:val="13"/>
          <w:lang w:val="en-US"/>
        </w:rPr>
      </w:pPr>
    </w:p>
  </w:footnote>
  <w:footnote w:id="42">
    <w:p w14:paraId="1F80CE4C" w14:textId="77777777" w:rsidR="00CF359C" w:rsidRPr="0075127D" w:rsidRDefault="00CF359C" w:rsidP="0075127D">
      <w:pPr>
        <w:pStyle w:val="Voetnoottekst"/>
        <w:contextualSpacing/>
        <w:rPr>
          <w:sz w:val="13"/>
          <w:szCs w:val="13"/>
        </w:rPr>
      </w:pPr>
      <w:r w:rsidRPr="0075127D">
        <w:rPr>
          <w:rStyle w:val="Voetnootmarkering"/>
          <w:sz w:val="13"/>
          <w:szCs w:val="13"/>
        </w:rPr>
        <w:footnoteRef/>
      </w:r>
      <w:r w:rsidRPr="0075127D">
        <w:rPr>
          <w:sz w:val="13"/>
          <w:szCs w:val="13"/>
        </w:rPr>
        <w:t xml:space="preserve"> </w:t>
      </w:r>
      <w:r w:rsidR="005F32EC" w:rsidRPr="0075127D">
        <w:rPr>
          <w:sz w:val="13"/>
          <w:szCs w:val="13"/>
        </w:rPr>
        <w:t>Zie a</w:t>
      </w:r>
      <w:r w:rsidRPr="0075127D">
        <w:rPr>
          <w:sz w:val="13"/>
          <w:szCs w:val="13"/>
        </w:rPr>
        <w:t>rtikel 10e,</w:t>
      </w:r>
      <w:r w:rsidR="005F32EC" w:rsidRPr="0075127D">
        <w:rPr>
          <w:sz w:val="13"/>
          <w:szCs w:val="13"/>
        </w:rPr>
        <w:t xml:space="preserve"> </w:t>
      </w:r>
      <w:r w:rsidRPr="0075127D">
        <w:rPr>
          <w:sz w:val="13"/>
          <w:szCs w:val="13"/>
        </w:rPr>
        <w:t>vierde lid, Uitvoeringsbesluit Successiewet 1956</w:t>
      </w:r>
      <w:r w:rsidR="005F32EC" w:rsidRPr="0075127D">
        <w:rPr>
          <w:sz w:val="13"/>
          <w:szCs w:val="13"/>
        </w:rPr>
        <w:t>.</w:t>
      </w:r>
    </w:p>
  </w:footnote>
  <w:footnote w:id="43">
    <w:p w14:paraId="2B770B0F" w14:textId="77777777" w:rsidR="007C2375" w:rsidRPr="0075127D" w:rsidRDefault="007C2375" w:rsidP="0075127D">
      <w:pPr>
        <w:spacing w:line="240" w:lineRule="auto"/>
        <w:contextualSpacing/>
        <w:rPr>
          <w:sz w:val="13"/>
          <w:szCs w:val="13"/>
        </w:rPr>
      </w:pPr>
      <w:r w:rsidRPr="0075127D">
        <w:rPr>
          <w:rStyle w:val="Voetnootmarkering"/>
          <w:sz w:val="13"/>
          <w:szCs w:val="13"/>
        </w:rPr>
        <w:footnoteRef/>
      </w:r>
      <w:r w:rsidRPr="0075127D">
        <w:rPr>
          <w:sz w:val="13"/>
          <w:szCs w:val="13"/>
        </w:rPr>
        <w:t xml:space="preserve"> Om het eigen vermogen te kunnen bepalen moeten de bezittingen en schulden worden gewaardeerd naar de waarde in het economisch verkeer op het tijdstip van de heffing. Voor onroerende zaken kan worden aangesloten bij de waarde op de WOZ-beschikking. </w:t>
      </w:r>
    </w:p>
  </w:footnote>
  <w:footnote w:id="44">
    <w:p w14:paraId="10F002F0" w14:textId="77777777" w:rsidR="00200AB9" w:rsidRPr="0075127D" w:rsidRDefault="00200AB9" w:rsidP="0075127D">
      <w:pPr>
        <w:pStyle w:val="Voetnoottekst"/>
        <w:contextualSpacing/>
        <w:rPr>
          <w:sz w:val="13"/>
          <w:szCs w:val="13"/>
        </w:rPr>
      </w:pPr>
      <w:r w:rsidRPr="0075127D">
        <w:rPr>
          <w:rStyle w:val="Voetnootmarkering"/>
          <w:sz w:val="13"/>
          <w:szCs w:val="13"/>
        </w:rPr>
        <w:footnoteRef/>
      </w:r>
      <w:r w:rsidRPr="0075127D">
        <w:rPr>
          <w:sz w:val="13"/>
          <w:szCs w:val="13"/>
        </w:rPr>
        <w:t xml:space="preserve"> </w:t>
      </w:r>
      <w:r w:rsidR="005F32EC" w:rsidRPr="0075127D">
        <w:rPr>
          <w:sz w:val="13"/>
          <w:szCs w:val="13"/>
        </w:rPr>
        <w:t>Zie a</w:t>
      </w:r>
      <w:r w:rsidRPr="0075127D">
        <w:rPr>
          <w:sz w:val="13"/>
          <w:szCs w:val="13"/>
        </w:rPr>
        <w:t>rtikel 24, eerste lid, Successiewet 1956.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BA1C" w14:textId="77777777" w:rsidR="002566F6" w:rsidRDefault="00DD057C">
    <w:r>
      <w:rPr>
        <w:noProof/>
      </w:rPr>
      <mc:AlternateContent>
        <mc:Choice Requires="wps">
          <w:drawing>
            <wp:anchor distT="0" distB="0" distL="0" distR="0" simplePos="0" relativeHeight="251652096" behindDoc="0" locked="1" layoutInCell="1" allowOverlap="1" wp14:anchorId="1274B939" wp14:editId="22F27F6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185E23" w14:textId="77777777" w:rsidR="002566F6" w:rsidRDefault="00DD057C">
                          <w:pPr>
                            <w:pStyle w:val="StandaardReferentiegegevensKop"/>
                          </w:pPr>
                          <w:r>
                            <w:t>Ons kenmerk</w:t>
                          </w:r>
                        </w:p>
                        <w:p w14:paraId="0EE03B43" w14:textId="58A5ADB6" w:rsidR="002566F6" w:rsidRDefault="004D6F02">
                          <w:pPr>
                            <w:pStyle w:val="StandaardReferentiegegevens"/>
                          </w:pPr>
                          <w:fldSimple w:instr=" DOCPROPERTY  &quot;Kenmerk&quot;  \* MERGEFORMAT ">
                            <w:r w:rsidR="00A474E7">
                              <w:t>2026-0000138567</w:t>
                            </w:r>
                          </w:fldSimple>
                        </w:p>
                      </w:txbxContent>
                    </wps:txbx>
                    <wps:bodyPr vert="horz" wrap="square" lIns="0" tIns="0" rIns="0" bIns="0" anchor="t" anchorCtr="0"/>
                  </wps:wsp>
                </a:graphicData>
              </a:graphic>
            </wp:anchor>
          </w:drawing>
        </mc:Choice>
        <mc:Fallback>
          <w:pict>
            <v:shapetype w14:anchorId="1274B93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1185E23" w14:textId="77777777" w:rsidR="002566F6" w:rsidRDefault="00DD057C">
                    <w:pPr>
                      <w:pStyle w:val="StandaardReferentiegegevensKop"/>
                    </w:pPr>
                    <w:r>
                      <w:t>Ons kenmerk</w:t>
                    </w:r>
                  </w:p>
                  <w:p w14:paraId="0EE03B43" w14:textId="58A5ADB6" w:rsidR="002566F6" w:rsidRDefault="004D6F02">
                    <w:pPr>
                      <w:pStyle w:val="StandaardReferentiegegevens"/>
                    </w:pPr>
                    <w:fldSimple w:instr=" DOCPROPERTY  &quot;Kenmerk&quot;  \* MERGEFORMAT ">
                      <w:r w:rsidR="00A474E7">
                        <w:t>2026-0000138567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C0E2EAA" wp14:editId="57211BF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EC4D2E" w14:textId="77777777" w:rsidR="00ED1568" w:rsidRDefault="00A474E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C0E2EA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EC4D2E" w14:textId="77777777" w:rsidR="00ED1568" w:rsidRDefault="00A474E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C3A4492" wp14:editId="5265623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3AD7E64" w14:textId="6F7C6F03" w:rsidR="00ED1568" w:rsidRDefault="00A474E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C3A449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3AD7E64" w14:textId="6F7C6F03" w:rsidR="00ED1568" w:rsidRDefault="00A474E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F9D3" w14:textId="77777777" w:rsidR="002566F6" w:rsidRDefault="00DD057C">
    <w:pPr>
      <w:spacing w:after="7029" w:line="14" w:lineRule="exact"/>
    </w:pPr>
    <w:r>
      <w:rPr>
        <w:noProof/>
      </w:rPr>
      <mc:AlternateContent>
        <mc:Choice Requires="wps">
          <w:drawing>
            <wp:anchor distT="0" distB="0" distL="0" distR="0" simplePos="0" relativeHeight="251655168" behindDoc="0" locked="1" layoutInCell="1" allowOverlap="1" wp14:anchorId="1675B545" wp14:editId="3CB7D10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2C45D30" w14:textId="77777777" w:rsidR="002566F6" w:rsidRDefault="00DD057C">
                          <w:pPr>
                            <w:spacing w:line="240" w:lineRule="auto"/>
                          </w:pPr>
                          <w:r>
                            <w:rPr>
                              <w:noProof/>
                            </w:rPr>
                            <w:drawing>
                              <wp:inline distT="0" distB="0" distL="0" distR="0" wp14:anchorId="1035095A" wp14:editId="5DB48E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75B54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2C45D30" w14:textId="77777777" w:rsidR="002566F6" w:rsidRDefault="00DD057C">
                    <w:pPr>
                      <w:spacing w:line="240" w:lineRule="auto"/>
                    </w:pPr>
                    <w:r>
                      <w:rPr>
                        <w:noProof/>
                      </w:rPr>
                      <w:drawing>
                        <wp:inline distT="0" distB="0" distL="0" distR="0" wp14:anchorId="1035095A" wp14:editId="5DB48E32">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2DA3BB9" wp14:editId="39322E0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2927C92" w14:textId="77777777" w:rsidR="00940EE3" w:rsidRDefault="00940EE3"/>
                      </w:txbxContent>
                    </wps:txbx>
                    <wps:bodyPr vert="horz" wrap="square" lIns="0" tIns="0" rIns="0" bIns="0" anchor="t" anchorCtr="0"/>
                  </wps:wsp>
                </a:graphicData>
              </a:graphic>
            </wp:anchor>
          </w:drawing>
        </mc:Choice>
        <mc:Fallback>
          <w:pict>
            <v:shape w14:anchorId="72DA3BB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2927C92" w14:textId="77777777" w:rsidR="00940EE3" w:rsidRDefault="00940EE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51CAC44" wp14:editId="480991D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A795420" w14:textId="77777777" w:rsidR="003540E9" w:rsidRPr="003540E9" w:rsidRDefault="003540E9">
                          <w:pPr>
                            <w:pStyle w:val="StandaardReferentiegegevens"/>
                            <w:rPr>
                              <w:b/>
                              <w:bCs/>
                            </w:rPr>
                          </w:pPr>
                          <w:r w:rsidRPr="003540E9">
                            <w:rPr>
                              <w:b/>
                              <w:bCs/>
                            </w:rPr>
                            <w:t>Directie Directe Belastingen &amp; Toeslagen</w:t>
                          </w:r>
                        </w:p>
                        <w:p w14:paraId="6B9CFCCE" w14:textId="77777777" w:rsidR="003540E9" w:rsidRPr="003540E9" w:rsidRDefault="003540E9" w:rsidP="003540E9">
                          <w:pPr>
                            <w:pStyle w:val="WitregelW1"/>
                          </w:pPr>
                        </w:p>
                        <w:p w14:paraId="009B58FC" w14:textId="77777777" w:rsidR="002566F6" w:rsidRDefault="00DD057C">
                          <w:pPr>
                            <w:pStyle w:val="StandaardReferentiegegevens"/>
                          </w:pPr>
                          <w:r>
                            <w:t>Korte Voorhout 7</w:t>
                          </w:r>
                        </w:p>
                        <w:p w14:paraId="62B16F9F" w14:textId="77777777" w:rsidR="002566F6" w:rsidRDefault="00DD057C">
                          <w:pPr>
                            <w:pStyle w:val="StandaardReferentiegegevens"/>
                          </w:pPr>
                          <w:r>
                            <w:t>2511 CW</w:t>
                          </w:r>
                          <w:r w:rsidR="003C7B46">
                            <w:t xml:space="preserve"> </w:t>
                          </w:r>
                          <w:r>
                            <w:t>'S-GRAVENHAGE</w:t>
                          </w:r>
                        </w:p>
                        <w:p w14:paraId="4C1409D1" w14:textId="77777777" w:rsidR="002566F6" w:rsidRDefault="00DD057C">
                          <w:pPr>
                            <w:pStyle w:val="StandaardReferentiegegevens"/>
                          </w:pPr>
                          <w:r>
                            <w:t>POSTBUS 20201</w:t>
                          </w:r>
                        </w:p>
                        <w:p w14:paraId="37C9812D" w14:textId="77777777" w:rsidR="002566F6" w:rsidRPr="004B4B5F" w:rsidRDefault="00DD057C">
                          <w:pPr>
                            <w:pStyle w:val="StandaardReferentiegegevens"/>
                          </w:pPr>
                          <w:r w:rsidRPr="004B4B5F">
                            <w:t>2500 EE</w:t>
                          </w:r>
                          <w:r w:rsidR="003C7B46">
                            <w:t xml:space="preserve"> </w:t>
                          </w:r>
                          <w:r w:rsidRPr="004B4B5F">
                            <w:t>'S-GRAVENHAGE</w:t>
                          </w:r>
                        </w:p>
                        <w:p w14:paraId="486D648D" w14:textId="77777777" w:rsidR="002566F6" w:rsidRPr="004B4B5F" w:rsidRDefault="00DD057C">
                          <w:pPr>
                            <w:pStyle w:val="StandaardReferentiegegevens"/>
                          </w:pPr>
                          <w:proofErr w:type="gramStart"/>
                          <w:r w:rsidRPr="004B4B5F">
                            <w:t>www.rijksoverheid.nl/fin</w:t>
                          </w:r>
                          <w:proofErr w:type="gramEnd"/>
                        </w:p>
                        <w:p w14:paraId="27B760D2" w14:textId="77777777" w:rsidR="002566F6" w:rsidRPr="004B4B5F" w:rsidRDefault="002566F6">
                          <w:pPr>
                            <w:pStyle w:val="WitregelW2"/>
                          </w:pPr>
                        </w:p>
                        <w:p w14:paraId="410A2BD6" w14:textId="77777777" w:rsidR="002566F6" w:rsidRDefault="00DD057C">
                          <w:pPr>
                            <w:pStyle w:val="StandaardReferentiegegevensKop"/>
                          </w:pPr>
                          <w:r>
                            <w:t>Ons kenmerk</w:t>
                          </w:r>
                        </w:p>
                        <w:p w14:paraId="3E407886" w14:textId="2431CE53" w:rsidR="002566F6" w:rsidRDefault="004D6F02">
                          <w:pPr>
                            <w:pStyle w:val="StandaardReferentiegegevens"/>
                          </w:pPr>
                          <w:fldSimple w:instr=" DOCPROPERTY  &quot;Kenmerk&quot;  \* MERGEFORMAT ">
                            <w:r w:rsidR="00A474E7">
                              <w:t>2026-0000138567</w:t>
                            </w:r>
                          </w:fldSimple>
                        </w:p>
                        <w:p w14:paraId="4A5C86F8" w14:textId="77777777" w:rsidR="002566F6" w:rsidRDefault="002566F6">
                          <w:pPr>
                            <w:pStyle w:val="WitregelW1"/>
                          </w:pPr>
                        </w:p>
                        <w:p w14:paraId="5AB2AD36" w14:textId="77777777" w:rsidR="002566F6" w:rsidRDefault="00DD057C">
                          <w:pPr>
                            <w:pStyle w:val="StandaardReferentiegegevensKop"/>
                          </w:pPr>
                          <w:r>
                            <w:t>Uw brief (kenmerk)</w:t>
                          </w:r>
                        </w:p>
                        <w:p w14:paraId="13ABD7A6" w14:textId="13E821CA" w:rsidR="00ED1568" w:rsidRDefault="00A474E7">
                          <w:pPr>
                            <w:pStyle w:val="StandaardReferentiegegevens"/>
                          </w:pPr>
                          <w:r>
                            <w:fldChar w:fldCharType="begin"/>
                          </w:r>
                          <w:r>
                            <w:instrText xml:space="preserve"> DOCPROPERTY  "UwKenmerk"  \* MERGEFORMAT </w:instrText>
                          </w:r>
                          <w:r>
                            <w:fldChar w:fldCharType="end"/>
                          </w:r>
                        </w:p>
                        <w:p w14:paraId="427CA56A" w14:textId="77777777" w:rsidR="002566F6" w:rsidRDefault="002566F6">
                          <w:pPr>
                            <w:pStyle w:val="WitregelW1"/>
                          </w:pPr>
                        </w:p>
                        <w:p w14:paraId="42E2B07E" w14:textId="77777777" w:rsidR="002566F6" w:rsidRDefault="00DD057C">
                          <w:pPr>
                            <w:pStyle w:val="StandaardReferentiegegevensKop"/>
                          </w:pPr>
                          <w:r>
                            <w:t>Bijlagen</w:t>
                          </w:r>
                        </w:p>
                        <w:p w14:paraId="0D99BB93" w14:textId="77777777" w:rsidR="002566F6" w:rsidRDefault="00DD057C">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51CAC4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A795420" w14:textId="77777777" w:rsidR="003540E9" w:rsidRPr="003540E9" w:rsidRDefault="003540E9">
                    <w:pPr>
                      <w:pStyle w:val="StandaardReferentiegegevens"/>
                      <w:rPr>
                        <w:b/>
                        <w:bCs/>
                      </w:rPr>
                    </w:pPr>
                    <w:r w:rsidRPr="003540E9">
                      <w:rPr>
                        <w:b/>
                        <w:bCs/>
                      </w:rPr>
                      <w:t>Directie Directe Belastingen &amp; Toeslagen</w:t>
                    </w:r>
                  </w:p>
                  <w:p w14:paraId="6B9CFCCE" w14:textId="77777777" w:rsidR="003540E9" w:rsidRPr="003540E9" w:rsidRDefault="003540E9" w:rsidP="003540E9">
                    <w:pPr>
                      <w:pStyle w:val="WitregelW1"/>
                    </w:pPr>
                  </w:p>
                  <w:p w14:paraId="009B58FC" w14:textId="77777777" w:rsidR="002566F6" w:rsidRDefault="00DD057C">
                    <w:pPr>
                      <w:pStyle w:val="StandaardReferentiegegevens"/>
                    </w:pPr>
                    <w:r>
                      <w:t>Korte Voorhout 7</w:t>
                    </w:r>
                  </w:p>
                  <w:p w14:paraId="62B16F9F" w14:textId="77777777" w:rsidR="002566F6" w:rsidRDefault="00DD057C">
                    <w:pPr>
                      <w:pStyle w:val="StandaardReferentiegegevens"/>
                    </w:pPr>
                    <w:r>
                      <w:t>2511 CW</w:t>
                    </w:r>
                    <w:r w:rsidR="003C7B46">
                      <w:t xml:space="preserve"> </w:t>
                    </w:r>
                    <w:r>
                      <w:t>'S-GRAVENHAGE</w:t>
                    </w:r>
                  </w:p>
                  <w:p w14:paraId="4C1409D1" w14:textId="77777777" w:rsidR="002566F6" w:rsidRDefault="00DD057C">
                    <w:pPr>
                      <w:pStyle w:val="StandaardReferentiegegevens"/>
                    </w:pPr>
                    <w:r>
                      <w:t>POSTBUS 20201</w:t>
                    </w:r>
                  </w:p>
                  <w:p w14:paraId="37C9812D" w14:textId="77777777" w:rsidR="002566F6" w:rsidRPr="004B4B5F" w:rsidRDefault="00DD057C">
                    <w:pPr>
                      <w:pStyle w:val="StandaardReferentiegegevens"/>
                    </w:pPr>
                    <w:r w:rsidRPr="004B4B5F">
                      <w:t>2500 EE</w:t>
                    </w:r>
                    <w:r w:rsidR="003C7B46">
                      <w:t xml:space="preserve"> </w:t>
                    </w:r>
                    <w:r w:rsidRPr="004B4B5F">
                      <w:t>'S-GRAVENHAGE</w:t>
                    </w:r>
                  </w:p>
                  <w:p w14:paraId="486D648D" w14:textId="77777777" w:rsidR="002566F6" w:rsidRPr="004B4B5F" w:rsidRDefault="00DD057C">
                    <w:pPr>
                      <w:pStyle w:val="StandaardReferentiegegevens"/>
                    </w:pPr>
                    <w:proofErr w:type="gramStart"/>
                    <w:r w:rsidRPr="004B4B5F">
                      <w:t>www.rijksoverheid.nl/fin</w:t>
                    </w:r>
                    <w:proofErr w:type="gramEnd"/>
                  </w:p>
                  <w:p w14:paraId="27B760D2" w14:textId="77777777" w:rsidR="002566F6" w:rsidRPr="004B4B5F" w:rsidRDefault="002566F6">
                    <w:pPr>
                      <w:pStyle w:val="WitregelW2"/>
                    </w:pPr>
                  </w:p>
                  <w:p w14:paraId="410A2BD6" w14:textId="77777777" w:rsidR="002566F6" w:rsidRDefault="00DD057C">
                    <w:pPr>
                      <w:pStyle w:val="StandaardReferentiegegevensKop"/>
                    </w:pPr>
                    <w:r>
                      <w:t>Ons kenmerk</w:t>
                    </w:r>
                  </w:p>
                  <w:p w14:paraId="3E407886" w14:textId="2431CE53" w:rsidR="002566F6" w:rsidRDefault="004D6F02">
                    <w:pPr>
                      <w:pStyle w:val="StandaardReferentiegegevens"/>
                    </w:pPr>
                    <w:fldSimple w:instr=" DOCPROPERTY  &quot;Kenmerk&quot;  \* MERGEFORMAT ">
                      <w:r w:rsidR="00A474E7">
                        <w:t>2026-0000138567</w:t>
                      </w:r>
                    </w:fldSimple>
                  </w:p>
                  <w:p w14:paraId="4A5C86F8" w14:textId="77777777" w:rsidR="002566F6" w:rsidRDefault="002566F6">
                    <w:pPr>
                      <w:pStyle w:val="WitregelW1"/>
                    </w:pPr>
                  </w:p>
                  <w:p w14:paraId="5AB2AD36" w14:textId="77777777" w:rsidR="002566F6" w:rsidRDefault="00DD057C">
                    <w:pPr>
                      <w:pStyle w:val="StandaardReferentiegegevensKop"/>
                    </w:pPr>
                    <w:r>
                      <w:t>Uw brief (kenmerk)</w:t>
                    </w:r>
                  </w:p>
                  <w:p w14:paraId="13ABD7A6" w14:textId="13E821CA" w:rsidR="00ED1568" w:rsidRDefault="00A474E7">
                    <w:pPr>
                      <w:pStyle w:val="StandaardReferentiegegevens"/>
                    </w:pPr>
                    <w:r>
                      <w:fldChar w:fldCharType="begin"/>
                    </w:r>
                    <w:r>
                      <w:instrText xml:space="preserve"> DOCPROPERTY  "UwKenmerk"  \* MERGEFORMAT </w:instrText>
                    </w:r>
                    <w:r>
                      <w:fldChar w:fldCharType="end"/>
                    </w:r>
                  </w:p>
                  <w:p w14:paraId="427CA56A" w14:textId="77777777" w:rsidR="002566F6" w:rsidRDefault="002566F6">
                    <w:pPr>
                      <w:pStyle w:val="WitregelW1"/>
                    </w:pPr>
                  </w:p>
                  <w:p w14:paraId="42E2B07E" w14:textId="77777777" w:rsidR="002566F6" w:rsidRDefault="00DD057C">
                    <w:pPr>
                      <w:pStyle w:val="StandaardReferentiegegevensKop"/>
                    </w:pPr>
                    <w:r>
                      <w:t>Bijlagen</w:t>
                    </w:r>
                  </w:p>
                  <w:p w14:paraId="0D99BB93" w14:textId="77777777" w:rsidR="002566F6" w:rsidRDefault="00DD057C">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22D60A4" wp14:editId="11E1448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2E84EDB" w14:textId="77777777" w:rsidR="002566F6" w:rsidRDefault="00DD057C">
                          <w:pPr>
                            <w:pStyle w:val="StandaardReferentiegegevens"/>
                          </w:pPr>
                          <w:r>
                            <w:t>&gt; Retouradres POSTBUS 20201 2500 EE</w:t>
                          </w:r>
                          <w:r w:rsidR="003C7B46">
                            <w:t xml:space="preserve"> </w:t>
                          </w:r>
                          <w:r>
                            <w:t xml:space="preserve">'S-GRAVENHAGE </w:t>
                          </w:r>
                        </w:p>
                      </w:txbxContent>
                    </wps:txbx>
                    <wps:bodyPr vert="horz" wrap="square" lIns="0" tIns="0" rIns="0" bIns="0" anchor="t" anchorCtr="0"/>
                  </wps:wsp>
                </a:graphicData>
              </a:graphic>
            </wp:anchor>
          </w:drawing>
        </mc:Choice>
        <mc:Fallback>
          <w:pict>
            <v:shape w14:anchorId="322D60A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2E84EDB" w14:textId="77777777" w:rsidR="002566F6" w:rsidRDefault="00DD057C">
                    <w:pPr>
                      <w:pStyle w:val="StandaardReferentiegegevens"/>
                    </w:pPr>
                    <w:r>
                      <w:t>&gt; Retouradres POSTBUS 20201 2500 EE</w:t>
                    </w:r>
                    <w:r w:rsidR="003C7B46">
                      <w:t xml:space="preserve"> </w:t>
                    </w:r>
                    <w:r>
                      <w:t xml:space="preserve">'S-GRAVENHAGE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A0DC2F0" wp14:editId="4CFC1BE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CC8C679" w14:textId="7AE56E57" w:rsidR="00ED1568" w:rsidRDefault="00A474E7">
                          <w:pPr>
                            <w:pStyle w:val="Rubricering"/>
                          </w:pPr>
                          <w:r>
                            <w:fldChar w:fldCharType="begin"/>
                          </w:r>
                          <w:r>
                            <w:instrText xml:space="preserve"> DOCPROPERTY  "Rubricering"  \* MERGEFORMAT </w:instrText>
                          </w:r>
                          <w:r>
                            <w:fldChar w:fldCharType="end"/>
                          </w:r>
                        </w:p>
                        <w:p w14:paraId="43E8D304" w14:textId="77777777" w:rsidR="00A474E7" w:rsidRDefault="00DD057C">
                          <w:r>
                            <w:fldChar w:fldCharType="begin"/>
                          </w:r>
                          <w:r>
                            <w:instrText xml:space="preserve"> DOCPROPERTY  "Aan"  \* MERGEFORMAT </w:instrText>
                          </w:r>
                          <w:r>
                            <w:fldChar w:fldCharType="separate"/>
                          </w:r>
                          <w:r w:rsidR="00A474E7">
                            <w:t>Voorzitter van de Tweede Kamer der Staten-Generaal</w:t>
                          </w:r>
                        </w:p>
                        <w:p w14:paraId="12538D65" w14:textId="77777777" w:rsidR="00A474E7" w:rsidRDefault="00A474E7">
                          <w:r>
                            <w:t>Postbus 20018</w:t>
                          </w:r>
                        </w:p>
                        <w:p w14:paraId="5A50A5AE" w14:textId="77777777" w:rsidR="00A474E7" w:rsidRDefault="00A474E7">
                          <w:r>
                            <w:t>2500 EA  DEN HAAG</w:t>
                          </w:r>
                        </w:p>
                        <w:p w14:paraId="51F2D74F" w14:textId="77777777" w:rsidR="00A474E7" w:rsidRDefault="00A474E7"/>
                        <w:p w14:paraId="706C7999" w14:textId="77777777" w:rsidR="002566F6" w:rsidRDefault="00DD057C">
                          <w:r>
                            <w:fldChar w:fldCharType="end"/>
                          </w:r>
                        </w:p>
                      </w:txbxContent>
                    </wps:txbx>
                    <wps:bodyPr vert="horz" wrap="square" lIns="0" tIns="0" rIns="0" bIns="0" anchor="t" anchorCtr="0"/>
                  </wps:wsp>
                </a:graphicData>
              </a:graphic>
            </wp:anchor>
          </w:drawing>
        </mc:Choice>
        <mc:Fallback>
          <w:pict>
            <v:shape w14:anchorId="0A0DC2F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CC8C679" w14:textId="7AE56E57" w:rsidR="00ED1568" w:rsidRDefault="00A474E7">
                    <w:pPr>
                      <w:pStyle w:val="Rubricering"/>
                    </w:pPr>
                    <w:r>
                      <w:fldChar w:fldCharType="begin"/>
                    </w:r>
                    <w:r>
                      <w:instrText xml:space="preserve"> DOCPROPERTY  "Rubricering"  \* MERGEFORMAT </w:instrText>
                    </w:r>
                    <w:r>
                      <w:fldChar w:fldCharType="end"/>
                    </w:r>
                  </w:p>
                  <w:p w14:paraId="43E8D304" w14:textId="77777777" w:rsidR="00A474E7" w:rsidRDefault="00DD057C">
                    <w:r>
                      <w:fldChar w:fldCharType="begin"/>
                    </w:r>
                    <w:r>
                      <w:instrText xml:space="preserve"> DOCPROPERTY  "Aan"  \* MERGEFORMAT </w:instrText>
                    </w:r>
                    <w:r>
                      <w:fldChar w:fldCharType="separate"/>
                    </w:r>
                    <w:r w:rsidR="00A474E7">
                      <w:t>Voorzitter van de Tweede Kamer der Staten-Generaal</w:t>
                    </w:r>
                  </w:p>
                  <w:p w14:paraId="12538D65" w14:textId="77777777" w:rsidR="00A474E7" w:rsidRDefault="00A474E7">
                    <w:r>
                      <w:t>Postbus 20018</w:t>
                    </w:r>
                  </w:p>
                  <w:p w14:paraId="5A50A5AE" w14:textId="77777777" w:rsidR="00A474E7" w:rsidRDefault="00A474E7">
                    <w:r>
                      <w:t>2500 EA  DEN HAAG</w:t>
                    </w:r>
                  </w:p>
                  <w:p w14:paraId="51F2D74F" w14:textId="77777777" w:rsidR="00A474E7" w:rsidRDefault="00A474E7"/>
                  <w:p w14:paraId="706C7999" w14:textId="77777777" w:rsidR="002566F6" w:rsidRDefault="00DD057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EC70E8F" wp14:editId="3586732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3760C5" w14:textId="77777777" w:rsidR="00ED1568" w:rsidRDefault="00A474E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EC70E8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3760C5" w14:textId="77777777" w:rsidR="00ED1568" w:rsidRDefault="00A474E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1FC1B33" wp14:editId="3FAC355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2566F6" w14:paraId="207337D7" w14:textId="77777777" w:rsidTr="003540E9">
                            <w:trPr>
                              <w:trHeight w:val="200"/>
                            </w:trPr>
                            <w:tc>
                              <w:tcPr>
                                <w:tcW w:w="1140" w:type="dxa"/>
                              </w:tcPr>
                              <w:p w14:paraId="62CCE0C0" w14:textId="77777777" w:rsidR="002566F6" w:rsidRDefault="002566F6"/>
                            </w:tc>
                            <w:tc>
                              <w:tcPr>
                                <w:tcW w:w="5400" w:type="dxa"/>
                              </w:tcPr>
                              <w:p w14:paraId="68D72354" w14:textId="77777777" w:rsidR="002566F6" w:rsidRDefault="002566F6"/>
                            </w:tc>
                          </w:tr>
                          <w:tr w:rsidR="002566F6" w14:paraId="78C2050F" w14:textId="77777777" w:rsidTr="003540E9">
                            <w:trPr>
                              <w:trHeight w:val="240"/>
                            </w:trPr>
                            <w:tc>
                              <w:tcPr>
                                <w:tcW w:w="1140" w:type="dxa"/>
                              </w:tcPr>
                              <w:p w14:paraId="7F320346" w14:textId="77777777" w:rsidR="002566F6" w:rsidRDefault="00DD057C">
                                <w:r>
                                  <w:t>Datum</w:t>
                                </w:r>
                              </w:p>
                            </w:tc>
                            <w:tc>
                              <w:tcPr>
                                <w:tcW w:w="5400" w:type="dxa"/>
                              </w:tcPr>
                              <w:p w14:paraId="3CB4A245" w14:textId="11E2970C" w:rsidR="002566F6" w:rsidRDefault="00A474E7">
                                <w:r>
                                  <w:t>1 juni 2026</w:t>
                                </w:r>
                              </w:p>
                            </w:tc>
                          </w:tr>
                          <w:tr w:rsidR="002566F6" w14:paraId="26744251" w14:textId="77777777" w:rsidTr="003540E9">
                            <w:trPr>
                              <w:trHeight w:val="200"/>
                            </w:trPr>
                            <w:tc>
                              <w:tcPr>
                                <w:tcW w:w="1140" w:type="dxa"/>
                              </w:tcPr>
                              <w:p w14:paraId="4649020A" w14:textId="77777777" w:rsidR="002566F6" w:rsidRDefault="003540E9">
                                <w:r>
                                  <w:t>Betreft</w:t>
                                </w:r>
                              </w:p>
                            </w:tc>
                            <w:tc>
                              <w:tcPr>
                                <w:tcW w:w="5400" w:type="dxa"/>
                              </w:tcPr>
                              <w:p w14:paraId="79E0218E" w14:textId="77777777" w:rsidR="002566F6" w:rsidRDefault="00883443">
                                <w:r>
                                  <w:t xml:space="preserve">Stand van zaken </w:t>
                                </w:r>
                                <w:r w:rsidR="006D75E7">
                                  <w:t xml:space="preserve">vervolgonderzoek </w:t>
                                </w:r>
                                <w:r>
                                  <w:t>v</w:t>
                                </w:r>
                                <w:r w:rsidR="003540E9">
                                  <w:t>erbetermogelijkheden ANBI-regeling</w:t>
                                </w:r>
                              </w:p>
                            </w:tc>
                          </w:tr>
                        </w:tbl>
                        <w:p w14:paraId="5520EF79" w14:textId="77777777" w:rsidR="00940EE3" w:rsidRDefault="00940EE3"/>
                      </w:txbxContent>
                    </wps:txbx>
                    <wps:bodyPr vert="horz" wrap="square" lIns="0" tIns="0" rIns="0" bIns="0" anchor="t" anchorCtr="0"/>
                  </wps:wsp>
                </a:graphicData>
              </a:graphic>
            </wp:anchor>
          </w:drawing>
        </mc:Choice>
        <mc:Fallback>
          <w:pict>
            <v:shape w14:anchorId="01FC1B3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6540" w:type="dxa"/>
                      <w:tblLayout w:type="fixed"/>
                      <w:tblLook w:val="07E0" w:firstRow="1" w:lastRow="1" w:firstColumn="1" w:lastColumn="1" w:noHBand="1" w:noVBand="1"/>
                    </w:tblPr>
                    <w:tblGrid>
                      <w:gridCol w:w="1140"/>
                      <w:gridCol w:w="5400"/>
                    </w:tblGrid>
                    <w:tr w:rsidR="002566F6" w14:paraId="207337D7" w14:textId="77777777" w:rsidTr="003540E9">
                      <w:trPr>
                        <w:trHeight w:val="200"/>
                      </w:trPr>
                      <w:tc>
                        <w:tcPr>
                          <w:tcW w:w="1140" w:type="dxa"/>
                        </w:tcPr>
                        <w:p w14:paraId="62CCE0C0" w14:textId="77777777" w:rsidR="002566F6" w:rsidRDefault="002566F6"/>
                      </w:tc>
                      <w:tc>
                        <w:tcPr>
                          <w:tcW w:w="5400" w:type="dxa"/>
                        </w:tcPr>
                        <w:p w14:paraId="68D72354" w14:textId="77777777" w:rsidR="002566F6" w:rsidRDefault="002566F6"/>
                      </w:tc>
                    </w:tr>
                    <w:tr w:rsidR="002566F6" w14:paraId="78C2050F" w14:textId="77777777" w:rsidTr="003540E9">
                      <w:trPr>
                        <w:trHeight w:val="240"/>
                      </w:trPr>
                      <w:tc>
                        <w:tcPr>
                          <w:tcW w:w="1140" w:type="dxa"/>
                        </w:tcPr>
                        <w:p w14:paraId="7F320346" w14:textId="77777777" w:rsidR="002566F6" w:rsidRDefault="00DD057C">
                          <w:r>
                            <w:t>Datum</w:t>
                          </w:r>
                        </w:p>
                      </w:tc>
                      <w:tc>
                        <w:tcPr>
                          <w:tcW w:w="5400" w:type="dxa"/>
                        </w:tcPr>
                        <w:p w14:paraId="3CB4A245" w14:textId="11E2970C" w:rsidR="002566F6" w:rsidRDefault="00A474E7">
                          <w:r>
                            <w:t>1 juni 2026</w:t>
                          </w:r>
                        </w:p>
                      </w:tc>
                    </w:tr>
                    <w:tr w:rsidR="002566F6" w14:paraId="26744251" w14:textId="77777777" w:rsidTr="003540E9">
                      <w:trPr>
                        <w:trHeight w:val="200"/>
                      </w:trPr>
                      <w:tc>
                        <w:tcPr>
                          <w:tcW w:w="1140" w:type="dxa"/>
                        </w:tcPr>
                        <w:p w14:paraId="4649020A" w14:textId="77777777" w:rsidR="002566F6" w:rsidRDefault="003540E9">
                          <w:r>
                            <w:t>Betreft</w:t>
                          </w:r>
                        </w:p>
                      </w:tc>
                      <w:tc>
                        <w:tcPr>
                          <w:tcW w:w="5400" w:type="dxa"/>
                        </w:tcPr>
                        <w:p w14:paraId="79E0218E" w14:textId="77777777" w:rsidR="002566F6" w:rsidRDefault="00883443">
                          <w:r>
                            <w:t xml:space="preserve">Stand van zaken </w:t>
                          </w:r>
                          <w:r w:rsidR="006D75E7">
                            <w:t xml:space="preserve">vervolgonderzoek </w:t>
                          </w:r>
                          <w:r>
                            <w:t>v</w:t>
                          </w:r>
                          <w:r w:rsidR="003540E9">
                            <w:t>erbetermogelijkheden ANBI-regeling</w:t>
                          </w:r>
                        </w:p>
                      </w:tc>
                    </w:tr>
                  </w:tbl>
                  <w:p w14:paraId="5520EF79" w14:textId="77777777" w:rsidR="00940EE3" w:rsidRDefault="00940EE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C862A56" wp14:editId="521301C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664E0A4" w14:textId="29D279F3" w:rsidR="00ED1568" w:rsidRDefault="00A474E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C862A5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664E0A4" w14:textId="29D279F3" w:rsidR="00ED1568" w:rsidRDefault="00A474E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E3815A5" wp14:editId="08A3396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E5EAB6" w14:textId="77777777" w:rsidR="00940EE3" w:rsidRDefault="00940EE3"/>
                      </w:txbxContent>
                    </wps:txbx>
                    <wps:bodyPr vert="horz" wrap="square" lIns="0" tIns="0" rIns="0" bIns="0" anchor="t" anchorCtr="0"/>
                  </wps:wsp>
                </a:graphicData>
              </a:graphic>
            </wp:anchor>
          </w:drawing>
        </mc:Choice>
        <mc:Fallback>
          <w:pict>
            <v:shape w14:anchorId="3E3815A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E5EAB6" w14:textId="77777777" w:rsidR="00940EE3" w:rsidRDefault="00940EE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3355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95D233E6"/>
    <w:multiLevelType w:val="multilevel"/>
    <w:tmpl w:val="E06C3B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C89241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9CE51C92"/>
    <w:multiLevelType w:val="multilevel"/>
    <w:tmpl w:val="6405C1E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DA6513"/>
    <w:multiLevelType w:val="multilevel"/>
    <w:tmpl w:val="EA982D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8177E1"/>
    <w:multiLevelType w:val="multilevel"/>
    <w:tmpl w:val="EA73BD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AC8C4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83DD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3838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EEB42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C408EDB"/>
    <w:multiLevelType w:val="multilevel"/>
    <w:tmpl w:val="36EEA97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426F29"/>
    <w:multiLevelType w:val="multilevel"/>
    <w:tmpl w:val="C4BC87B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616C0A"/>
    <w:multiLevelType w:val="hybridMultilevel"/>
    <w:tmpl w:val="0094A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855ADD"/>
    <w:multiLevelType w:val="multilevel"/>
    <w:tmpl w:val="1BB67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C32D03"/>
    <w:multiLevelType w:val="hybridMultilevel"/>
    <w:tmpl w:val="F7F06EE8"/>
    <w:lvl w:ilvl="0" w:tplc="0413000F">
      <w:start w:val="5"/>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5DF406E"/>
    <w:multiLevelType w:val="hybridMultilevel"/>
    <w:tmpl w:val="79E025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EE73A29"/>
    <w:multiLevelType w:val="hybridMultilevel"/>
    <w:tmpl w:val="06D227E0"/>
    <w:lvl w:ilvl="0" w:tplc="19B0B79E">
      <w:start w:val="1"/>
      <w:numFmt w:val="decimal"/>
      <w:lvlText w:val="%1."/>
      <w:lvlJc w:val="left"/>
      <w:pPr>
        <w:ind w:left="1020" w:hanging="360"/>
      </w:pPr>
    </w:lvl>
    <w:lvl w:ilvl="1" w:tplc="B95A584E">
      <w:start w:val="1"/>
      <w:numFmt w:val="decimal"/>
      <w:lvlText w:val="%2."/>
      <w:lvlJc w:val="left"/>
      <w:pPr>
        <w:ind w:left="1020" w:hanging="360"/>
      </w:pPr>
    </w:lvl>
    <w:lvl w:ilvl="2" w:tplc="203619CE">
      <w:start w:val="1"/>
      <w:numFmt w:val="decimal"/>
      <w:lvlText w:val="%3."/>
      <w:lvlJc w:val="left"/>
      <w:pPr>
        <w:ind w:left="1020" w:hanging="360"/>
      </w:pPr>
    </w:lvl>
    <w:lvl w:ilvl="3" w:tplc="57501EC0">
      <w:start w:val="1"/>
      <w:numFmt w:val="decimal"/>
      <w:lvlText w:val="%4."/>
      <w:lvlJc w:val="left"/>
      <w:pPr>
        <w:ind w:left="1020" w:hanging="360"/>
      </w:pPr>
    </w:lvl>
    <w:lvl w:ilvl="4" w:tplc="35CA0F90">
      <w:start w:val="1"/>
      <w:numFmt w:val="decimal"/>
      <w:lvlText w:val="%5."/>
      <w:lvlJc w:val="left"/>
      <w:pPr>
        <w:ind w:left="1020" w:hanging="360"/>
      </w:pPr>
    </w:lvl>
    <w:lvl w:ilvl="5" w:tplc="528893A4">
      <w:start w:val="1"/>
      <w:numFmt w:val="decimal"/>
      <w:lvlText w:val="%6."/>
      <w:lvlJc w:val="left"/>
      <w:pPr>
        <w:ind w:left="1020" w:hanging="360"/>
      </w:pPr>
    </w:lvl>
    <w:lvl w:ilvl="6" w:tplc="A358DC16">
      <w:start w:val="1"/>
      <w:numFmt w:val="decimal"/>
      <w:lvlText w:val="%7."/>
      <w:lvlJc w:val="left"/>
      <w:pPr>
        <w:ind w:left="1020" w:hanging="360"/>
      </w:pPr>
    </w:lvl>
    <w:lvl w:ilvl="7" w:tplc="B22267FE">
      <w:start w:val="1"/>
      <w:numFmt w:val="decimal"/>
      <w:lvlText w:val="%8."/>
      <w:lvlJc w:val="left"/>
      <w:pPr>
        <w:ind w:left="1020" w:hanging="360"/>
      </w:pPr>
    </w:lvl>
    <w:lvl w:ilvl="8" w:tplc="13FE48F0">
      <w:start w:val="1"/>
      <w:numFmt w:val="decimal"/>
      <w:lvlText w:val="%9."/>
      <w:lvlJc w:val="left"/>
      <w:pPr>
        <w:ind w:left="1020" w:hanging="360"/>
      </w:pPr>
    </w:lvl>
  </w:abstractNum>
  <w:abstractNum w:abstractNumId="17" w15:restartNumberingAfterBreak="0">
    <w:nsid w:val="2A7747DB"/>
    <w:multiLevelType w:val="hybridMultilevel"/>
    <w:tmpl w:val="A25E6C72"/>
    <w:lvl w:ilvl="0" w:tplc="535679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1B54A3"/>
    <w:multiLevelType w:val="hybridMultilevel"/>
    <w:tmpl w:val="F2F66656"/>
    <w:lvl w:ilvl="0" w:tplc="9DDA2BC0">
      <w:start w:val="1"/>
      <w:numFmt w:val="decimal"/>
      <w:lvlText w:val="%1."/>
      <w:lvlJc w:val="left"/>
      <w:pPr>
        <w:ind w:left="720" w:hanging="360"/>
      </w:pPr>
      <w:rPr>
        <w:rFonts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3D3E9C"/>
    <w:multiLevelType w:val="hybridMultilevel"/>
    <w:tmpl w:val="465CB5B4"/>
    <w:lvl w:ilvl="0" w:tplc="6A68894E">
      <w:start w:val="1"/>
      <w:numFmt w:val="decimal"/>
      <w:lvlText w:val="%1."/>
      <w:lvlJc w:val="left"/>
      <w:pPr>
        <w:ind w:left="1020" w:hanging="360"/>
      </w:pPr>
    </w:lvl>
    <w:lvl w:ilvl="1" w:tplc="DAEE98BC">
      <w:start w:val="1"/>
      <w:numFmt w:val="decimal"/>
      <w:lvlText w:val="%2."/>
      <w:lvlJc w:val="left"/>
      <w:pPr>
        <w:ind w:left="1020" w:hanging="360"/>
      </w:pPr>
    </w:lvl>
    <w:lvl w:ilvl="2" w:tplc="0EEE2658">
      <w:start w:val="1"/>
      <w:numFmt w:val="decimal"/>
      <w:lvlText w:val="%3."/>
      <w:lvlJc w:val="left"/>
      <w:pPr>
        <w:ind w:left="1020" w:hanging="360"/>
      </w:pPr>
    </w:lvl>
    <w:lvl w:ilvl="3" w:tplc="6178BDA6">
      <w:start w:val="1"/>
      <w:numFmt w:val="decimal"/>
      <w:lvlText w:val="%4."/>
      <w:lvlJc w:val="left"/>
      <w:pPr>
        <w:ind w:left="1020" w:hanging="360"/>
      </w:pPr>
    </w:lvl>
    <w:lvl w:ilvl="4" w:tplc="FEEA0BBA">
      <w:start w:val="1"/>
      <w:numFmt w:val="decimal"/>
      <w:lvlText w:val="%5."/>
      <w:lvlJc w:val="left"/>
      <w:pPr>
        <w:ind w:left="1020" w:hanging="360"/>
      </w:pPr>
    </w:lvl>
    <w:lvl w:ilvl="5" w:tplc="466E3FBE">
      <w:start w:val="1"/>
      <w:numFmt w:val="decimal"/>
      <w:lvlText w:val="%6."/>
      <w:lvlJc w:val="left"/>
      <w:pPr>
        <w:ind w:left="1020" w:hanging="360"/>
      </w:pPr>
    </w:lvl>
    <w:lvl w:ilvl="6" w:tplc="E1983064">
      <w:start w:val="1"/>
      <w:numFmt w:val="decimal"/>
      <w:lvlText w:val="%7."/>
      <w:lvlJc w:val="left"/>
      <w:pPr>
        <w:ind w:left="1020" w:hanging="360"/>
      </w:pPr>
    </w:lvl>
    <w:lvl w:ilvl="7" w:tplc="E61EB5E8">
      <w:start w:val="1"/>
      <w:numFmt w:val="decimal"/>
      <w:lvlText w:val="%8."/>
      <w:lvlJc w:val="left"/>
      <w:pPr>
        <w:ind w:left="1020" w:hanging="360"/>
      </w:pPr>
    </w:lvl>
    <w:lvl w:ilvl="8" w:tplc="2ECEDA7E">
      <w:start w:val="1"/>
      <w:numFmt w:val="decimal"/>
      <w:lvlText w:val="%9."/>
      <w:lvlJc w:val="left"/>
      <w:pPr>
        <w:ind w:left="1020" w:hanging="360"/>
      </w:pPr>
    </w:lvl>
  </w:abstractNum>
  <w:abstractNum w:abstractNumId="20" w15:restartNumberingAfterBreak="0">
    <w:nsid w:val="31774EF6"/>
    <w:multiLevelType w:val="hybridMultilevel"/>
    <w:tmpl w:val="1DF4922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EB3A17"/>
    <w:multiLevelType w:val="hybridMultilevel"/>
    <w:tmpl w:val="884AE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6574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4A600EE"/>
    <w:multiLevelType w:val="hybridMultilevel"/>
    <w:tmpl w:val="3600F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407455"/>
    <w:multiLevelType w:val="hybridMultilevel"/>
    <w:tmpl w:val="7F44F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DE7C4F"/>
    <w:multiLevelType w:val="hybridMultilevel"/>
    <w:tmpl w:val="3600F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1E245AF"/>
    <w:multiLevelType w:val="hybridMultilevel"/>
    <w:tmpl w:val="2CE60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FE6996"/>
    <w:multiLevelType w:val="multilevel"/>
    <w:tmpl w:val="B93E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C804C6"/>
    <w:multiLevelType w:val="hybridMultilevel"/>
    <w:tmpl w:val="A054602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8D41EE0"/>
    <w:multiLevelType w:val="hybridMultilevel"/>
    <w:tmpl w:val="3600F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9D57EE"/>
    <w:multiLevelType w:val="hybridMultilevel"/>
    <w:tmpl w:val="F5CE75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5D7574"/>
    <w:multiLevelType w:val="hybridMultilevel"/>
    <w:tmpl w:val="E80EE52E"/>
    <w:lvl w:ilvl="0" w:tplc="0413000F">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6E55169"/>
    <w:multiLevelType w:val="hybridMultilevel"/>
    <w:tmpl w:val="4164091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E334AB"/>
    <w:multiLevelType w:val="hybridMultilevel"/>
    <w:tmpl w:val="7FCAE2DC"/>
    <w:lvl w:ilvl="0" w:tplc="7E36490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5F1A3263"/>
    <w:multiLevelType w:val="multilevel"/>
    <w:tmpl w:val="6D12B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A3A25"/>
    <w:multiLevelType w:val="multilevel"/>
    <w:tmpl w:val="953E15C8"/>
    <w:lvl w:ilvl="0">
      <w:start w:val="1"/>
      <w:numFmt w:val="decimal"/>
      <w:lvlText w:val="%1."/>
      <w:lvlJc w:val="left"/>
      <w:pPr>
        <w:ind w:left="360" w:hanging="360"/>
      </w:pPr>
      <w:rPr>
        <w:rFonts w:hint="default"/>
      </w:rPr>
    </w:lvl>
    <w:lvl w:ilvl="1">
      <w:start w:val="200"/>
      <w:numFmt w:val="decimal"/>
      <w:isLgl/>
      <w:lvlText w:val="%1.%2"/>
      <w:lvlJc w:val="left"/>
      <w:pPr>
        <w:ind w:left="1000" w:hanging="1000"/>
      </w:pPr>
      <w:rPr>
        <w:rFonts w:hint="default"/>
      </w:rPr>
    </w:lvl>
    <w:lvl w:ilvl="2">
      <w:numFmt w:val="decimalZero"/>
      <w:isLgl/>
      <w:lvlText w:val="%1.%2.%3"/>
      <w:lvlJc w:val="left"/>
      <w:pPr>
        <w:ind w:left="1000" w:hanging="100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1037B4F"/>
    <w:multiLevelType w:val="hybridMultilevel"/>
    <w:tmpl w:val="29700444"/>
    <w:lvl w:ilvl="0" w:tplc="535679E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ED30B7"/>
    <w:multiLevelType w:val="hybridMultilevel"/>
    <w:tmpl w:val="4C9A3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4C507B"/>
    <w:multiLevelType w:val="hybridMultilevel"/>
    <w:tmpl w:val="3600FD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A20748"/>
    <w:multiLevelType w:val="hybridMultilevel"/>
    <w:tmpl w:val="708635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69CB52B9"/>
    <w:multiLevelType w:val="multilevel"/>
    <w:tmpl w:val="893AECE6"/>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451878"/>
    <w:multiLevelType w:val="hybridMultilevel"/>
    <w:tmpl w:val="BA5E4722"/>
    <w:lvl w:ilvl="0" w:tplc="0B2E299C">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783812"/>
    <w:multiLevelType w:val="hybridMultilevel"/>
    <w:tmpl w:val="6EC0201A"/>
    <w:lvl w:ilvl="0" w:tplc="A8F4270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4660550">
    <w:abstractNumId w:val="3"/>
  </w:num>
  <w:num w:numId="2" w16cid:durableId="2037346257">
    <w:abstractNumId w:val="4"/>
  </w:num>
  <w:num w:numId="3" w16cid:durableId="122386917">
    <w:abstractNumId w:val="5"/>
  </w:num>
  <w:num w:numId="4" w16cid:durableId="1527447659">
    <w:abstractNumId w:val="1"/>
  </w:num>
  <w:num w:numId="5" w16cid:durableId="1142036898">
    <w:abstractNumId w:val="10"/>
  </w:num>
  <w:num w:numId="6" w16cid:durableId="725376945">
    <w:abstractNumId w:val="11"/>
  </w:num>
  <w:num w:numId="7" w16cid:durableId="171915545">
    <w:abstractNumId w:val="36"/>
  </w:num>
  <w:num w:numId="8" w16cid:durableId="2057704943">
    <w:abstractNumId w:val="9"/>
  </w:num>
  <w:num w:numId="9" w16cid:durableId="1303077675">
    <w:abstractNumId w:val="26"/>
  </w:num>
  <w:num w:numId="10" w16cid:durableId="1840149749">
    <w:abstractNumId w:val="32"/>
  </w:num>
  <w:num w:numId="11" w16cid:durableId="1450315074">
    <w:abstractNumId w:val="28"/>
  </w:num>
  <w:num w:numId="12" w16cid:durableId="28729174">
    <w:abstractNumId w:val="35"/>
  </w:num>
  <w:num w:numId="13" w16cid:durableId="506210472">
    <w:abstractNumId w:val="8"/>
  </w:num>
  <w:num w:numId="14" w16cid:durableId="438571570">
    <w:abstractNumId w:val="7"/>
  </w:num>
  <w:num w:numId="15" w16cid:durableId="1710111317">
    <w:abstractNumId w:val="6"/>
  </w:num>
  <w:num w:numId="16" w16cid:durableId="214124885">
    <w:abstractNumId w:val="22"/>
  </w:num>
  <w:num w:numId="17" w16cid:durableId="2001998570">
    <w:abstractNumId w:val="40"/>
  </w:num>
  <w:num w:numId="18" w16cid:durableId="2000193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2996270">
    <w:abstractNumId w:val="0"/>
  </w:num>
  <w:num w:numId="20" w16cid:durableId="634258839">
    <w:abstractNumId w:val="20"/>
  </w:num>
  <w:num w:numId="21" w16cid:durableId="2029795274">
    <w:abstractNumId w:val="41"/>
  </w:num>
  <w:num w:numId="22" w16cid:durableId="1221557791">
    <w:abstractNumId w:val="15"/>
  </w:num>
  <w:num w:numId="23" w16cid:durableId="805316445">
    <w:abstractNumId w:val="37"/>
  </w:num>
  <w:num w:numId="24" w16cid:durableId="502546101">
    <w:abstractNumId w:val="42"/>
  </w:num>
  <w:num w:numId="25" w16cid:durableId="1546024200">
    <w:abstractNumId w:val="14"/>
  </w:num>
  <w:num w:numId="26" w16cid:durableId="85656155">
    <w:abstractNumId w:val="25"/>
  </w:num>
  <w:num w:numId="27" w16cid:durableId="660693215">
    <w:abstractNumId w:val="29"/>
  </w:num>
  <w:num w:numId="28" w16cid:durableId="1345596634">
    <w:abstractNumId w:val="38"/>
  </w:num>
  <w:num w:numId="29" w16cid:durableId="1668289230">
    <w:abstractNumId w:val="23"/>
  </w:num>
  <w:num w:numId="30" w16cid:durableId="20936475">
    <w:abstractNumId w:val="27"/>
  </w:num>
  <w:num w:numId="31" w16cid:durableId="1309940251">
    <w:abstractNumId w:val="24"/>
  </w:num>
  <w:num w:numId="32" w16cid:durableId="1525826763">
    <w:abstractNumId w:val="19"/>
  </w:num>
  <w:num w:numId="33" w16cid:durableId="959267841">
    <w:abstractNumId w:val="16"/>
  </w:num>
  <w:num w:numId="34" w16cid:durableId="2102793629">
    <w:abstractNumId w:val="18"/>
  </w:num>
  <w:num w:numId="35" w16cid:durableId="955134050">
    <w:abstractNumId w:val="34"/>
  </w:num>
  <w:num w:numId="36" w16cid:durableId="467405867">
    <w:abstractNumId w:val="13"/>
  </w:num>
  <w:num w:numId="37" w16cid:durableId="2117021130">
    <w:abstractNumId w:val="12"/>
  </w:num>
  <w:num w:numId="38" w16cid:durableId="1390807719">
    <w:abstractNumId w:val="2"/>
    <w:lvlOverride w:ilvl="0">
      <w:startOverride w:val="1"/>
    </w:lvlOverride>
    <w:lvlOverride w:ilvl="1"/>
    <w:lvlOverride w:ilvl="2"/>
    <w:lvlOverride w:ilvl="3"/>
    <w:lvlOverride w:ilvl="4"/>
    <w:lvlOverride w:ilvl="5"/>
    <w:lvlOverride w:ilvl="6"/>
    <w:lvlOverride w:ilvl="7"/>
    <w:lvlOverride w:ilvl="8"/>
  </w:num>
  <w:num w:numId="39" w16cid:durableId="938636047">
    <w:abstractNumId w:val="33"/>
  </w:num>
  <w:num w:numId="40" w16cid:durableId="1819573105">
    <w:abstractNumId w:val="30"/>
  </w:num>
  <w:num w:numId="41" w16cid:durableId="1648589779">
    <w:abstractNumId w:val="21"/>
  </w:num>
  <w:num w:numId="42" w16cid:durableId="1851598143">
    <w:abstractNumId w:val="17"/>
  </w:num>
  <w:num w:numId="43" w16cid:durableId="1928107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F6"/>
    <w:rsid w:val="0000010C"/>
    <w:rsid w:val="00002548"/>
    <w:rsid w:val="00004DEF"/>
    <w:rsid w:val="000106D6"/>
    <w:rsid w:val="00013AFF"/>
    <w:rsid w:val="00017B8F"/>
    <w:rsid w:val="0002170D"/>
    <w:rsid w:val="000306EB"/>
    <w:rsid w:val="00030BBD"/>
    <w:rsid w:val="0003412A"/>
    <w:rsid w:val="000342D2"/>
    <w:rsid w:val="00040803"/>
    <w:rsid w:val="00043F4C"/>
    <w:rsid w:val="00045DB0"/>
    <w:rsid w:val="0005094B"/>
    <w:rsid w:val="0005712F"/>
    <w:rsid w:val="00057E21"/>
    <w:rsid w:val="00060198"/>
    <w:rsid w:val="000623E0"/>
    <w:rsid w:val="000632DB"/>
    <w:rsid w:val="00063F0E"/>
    <w:rsid w:val="00070E06"/>
    <w:rsid w:val="000828AC"/>
    <w:rsid w:val="00083156"/>
    <w:rsid w:val="000862B5"/>
    <w:rsid w:val="00087EE4"/>
    <w:rsid w:val="00093DBD"/>
    <w:rsid w:val="00097BD3"/>
    <w:rsid w:val="000A0FE7"/>
    <w:rsid w:val="000A55DB"/>
    <w:rsid w:val="000A5938"/>
    <w:rsid w:val="000A5F60"/>
    <w:rsid w:val="000A7ACF"/>
    <w:rsid w:val="000B0A55"/>
    <w:rsid w:val="000B5907"/>
    <w:rsid w:val="000B6739"/>
    <w:rsid w:val="000C4D6E"/>
    <w:rsid w:val="000D1AF4"/>
    <w:rsid w:val="000E182F"/>
    <w:rsid w:val="000E7591"/>
    <w:rsid w:val="000F2D7F"/>
    <w:rsid w:val="000F2F11"/>
    <w:rsid w:val="000F3B76"/>
    <w:rsid w:val="000F3DD3"/>
    <w:rsid w:val="00101D6F"/>
    <w:rsid w:val="001045F4"/>
    <w:rsid w:val="00105CD5"/>
    <w:rsid w:val="0010701B"/>
    <w:rsid w:val="00107944"/>
    <w:rsid w:val="001079EC"/>
    <w:rsid w:val="00111AFC"/>
    <w:rsid w:val="00117B68"/>
    <w:rsid w:val="00125F75"/>
    <w:rsid w:val="00130225"/>
    <w:rsid w:val="001372FA"/>
    <w:rsid w:val="00140ACD"/>
    <w:rsid w:val="00147987"/>
    <w:rsid w:val="00153A27"/>
    <w:rsid w:val="00160CEB"/>
    <w:rsid w:val="00160DA1"/>
    <w:rsid w:val="001620CB"/>
    <w:rsid w:val="001634F9"/>
    <w:rsid w:val="00173077"/>
    <w:rsid w:val="00175F00"/>
    <w:rsid w:val="001765FF"/>
    <w:rsid w:val="001851C8"/>
    <w:rsid w:val="00185A5A"/>
    <w:rsid w:val="00187350"/>
    <w:rsid w:val="001907C1"/>
    <w:rsid w:val="00196D63"/>
    <w:rsid w:val="001A0DB9"/>
    <w:rsid w:val="001A1C8E"/>
    <w:rsid w:val="001A5B2F"/>
    <w:rsid w:val="001A6562"/>
    <w:rsid w:val="001A7B2C"/>
    <w:rsid w:val="001A7D07"/>
    <w:rsid w:val="001B7A6B"/>
    <w:rsid w:val="001B7A9B"/>
    <w:rsid w:val="001C0E58"/>
    <w:rsid w:val="001C2C9D"/>
    <w:rsid w:val="001C5448"/>
    <w:rsid w:val="001C5ECD"/>
    <w:rsid w:val="001D37BA"/>
    <w:rsid w:val="001D4F81"/>
    <w:rsid w:val="001E6158"/>
    <w:rsid w:val="001E7E1F"/>
    <w:rsid w:val="001F13FC"/>
    <w:rsid w:val="001F3F3E"/>
    <w:rsid w:val="00200AB9"/>
    <w:rsid w:val="0020119A"/>
    <w:rsid w:val="00201A68"/>
    <w:rsid w:val="00212767"/>
    <w:rsid w:val="002208B2"/>
    <w:rsid w:val="00221BD7"/>
    <w:rsid w:val="00222F43"/>
    <w:rsid w:val="002277BB"/>
    <w:rsid w:val="00227D45"/>
    <w:rsid w:val="00235990"/>
    <w:rsid w:val="002366DE"/>
    <w:rsid w:val="0024276A"/>
    <w:rsid w:val="00245536"/>
    <w:rsid w:val="00245D43"/>
    <w:rsid w:val="00250028"/>
    <w:rsid w:val="00252248"/>
    <w:rsid w:val="002534DE"/>
    <w:rsid w:val="002566F6"/>
    <w:rsid w:val="0026088E"/>
    <w:rsid w:val="00270D47"/>
    <w:rsid w:val="002715EC"/>
    <w:rsid w:val="002748AF"/>
    <w:rsid w:val="00275A74"/>
    <w:rsid w:val="00277562"/>
    <w:rsid w:val="00277716"/>
    <w:rsid w:val="002800E0"/>
    <w:rsid w:val="00280E1C"/>
    <w:rsid w:val="0029088A"/>
    <w:rsid w:val="002922C2"/>
    <w:rsid w:val="00295346"/>
    <w:rsid w:val="0029781E"/>
    <w:rsid w:val="002A0474"/>
    <w:rsid w:val="002A2BFB"/>
    <w:rsid w:val="002A4776"/>
    <w:rsid w:val="002A49E9"/>
    <w:rsid w:val="002C216A"/>
    <w:rsid w:val="002C5778"/>
    <w:rsid w:val="002D2D45"/>
    <w:rsid w:val="002D4E56"/>
    <w:rsid w:val="002E7EE0"/>
    <w:rsid w:val="002F18D8"/>
    <w:rsid w:val="00301BD6"/>
    <w:rsid w:val="00304ABE"/>
    <w:rsid w:val="003057E7"/>
    <w:rsid w:val="00305A5C"/>
    <w:rsid w:val="00306447"/>
    <w:rsid w:val="003117C7"/>
    <w:rsid w:val="0031286D"/>
    <w:rsid w:val="00312DB4"/>
    <w:rsid w:val="003138BA"/>
    <w:rsid w:val="00314731"/>
    <w:rsid w:val="00315FD1"/>
    <w:rsid w:val="00320CC3"/>
    <w:rsid w:val="0032344E"/>
    <w:rsid w:val="00325740"/>
    <w:rsid w:val="00327527"/>
    <w:rsid w:val="003300A3"/>
    <w:rsid w:val="0033340B"/>
    <w:rsid w:val="00333A82"/>
    <w:rsid w:val="00340D63"/>
    <w:rsid w:val="00341EAD"/>
    <w:rsid w:val="003470F5"/>
    <w:rsid w:val="00347546"/>
    <w:rsid w:val="003520D1"/>
    <w:rsid w:val="00352260"/>
    <w:rsid w:val="003527AB"/>
    <w:rsid w:val="003540E7"/>
    <w:rsid w:val="003540E9"/>
    <w:rsid w:val="003606D8"/>
    <w:rsid w:val="00360AB3"/>
    <w:rsid w:val="00361635"/>
    <w:rsid w:val="00362892"/>
    <w:rsid w:val="003704DB"/>
    <w:rsid w:val="00371AB2"/>
    <w:rsid w:val="00371E63"/>
    <w:rsid w:val="003803E5"/>
    <w:rsid w:val="00384FD4"/>
    <w:rsid w:val="00387AAD"/>
    <w:rsid w:val="00390775"/>
    <w:rsid w:val="00395E90"/>
    <w:rsid w:val="00396A53"/>
    <w:rsid w:val="00397FFB"/>
    <w:rsid w:val="003A1311"/>
    <w:rsid w:val="003A1FD2"/>
    <w:rsid w:val="003A2E11"/>
    <w:rsid w:val="003A73C1"/>
    <w:rsid w:val="003B1659"/>
    <w:rsid w:val="003B18E7"/>
    <w:rsid w:val="003B4F3E"/>
    <w:rsid w:val="003B5089"/>
    <w:rsid w:val="003B525D"/>
    <w:rsid w:val="003C7B46"/>
    <w:rsid w:val="003D1E0B"/>
    <w:rsid w:val="003D2C9D"/>
    <w:rsid w:val="003D3593"/>
    <w:rsid w:val="003D3E79"/>
    <w:rsid w:val="003D54AE"/>
    <w:rsid w:val="003D58D5"/>
    <w:rsid w:val="003D6399"/>
    <w:rsid w:val="003E6D7E"/>
    <w:rsid w:val="003F23B6"/>
    <w:rsid w:val="003F2970"/>
    <w:rsid w:val="003F5302"/>
    <w:rsid w:val="003F5701"/>
    <w:rsid w:val="004000DF"/>
    <w:rsid w:val="004004C5"/>
    <w:rsid w:val="0040127A"/>
    <w:rsid w:val="0040186E"/>
    <w:rsid w:val="0041022B"/>
    <w:rsid w:val="00412388"/>
    <w:rsid w:val="0041652B"/>
    <w:rsid w:val="00421BBC"/>
    <w:rsid w:val="0042247D"/>
    <w:rsid w:val="0042517F"/>
    <w:rsid w:val="0043276C"/>
    <w:rsid w:val="00436EF9"/>
    <w:rsid w:val="00437F6C"/>
    <w:rsid w:val="00442772"/>
    <w:rsid w:val="004428E1"/>
    <w:rsid w:val="00442DB6"/>
    <w:rsid w:val="00447F3C"/>
    <w:rsid w:val="00451C2C"/>
    <w:rsid w:val="00452220"/>
    <w:rsid w:val="00453581"/>
    <w:rsid w:val="00454379"/>
    <w:rsid w:val="004551D9"/>
    <w:rsid w:val="004569A2"/>
    <w:rsid w:val="0045773F"/>
    <w:rsid w:val="00461F0A"/>
    <w:rsid w:val="00466304"/>
    <w:rsid w:val="00467C97"/>
    <w:rsid w:val="004705B0"/>
    <w:rsid w:val="00471EA7"/>
    <w:rsid w:val="00472E84"/>
    <w:rsid w:val="00474E08"/>
    <w:rsid w:val="0047504C"/>
    <w:rsid w:val="004813E6"/>
    <w:rsid w:val="00484F52"/>
    <w:rsid w:val="004902C6"/>
    <w:rsid w:val="00490A50"/>
    <w:rsid w:val="00490C2D"/>
    <w:rsid w:val="004922CE"/>
    <w:rsid w:val="00494A1A"/>
    <w:rsid w:val="0049564B"/>
    <w:rsid w:val="004A192D"/>
    <w:rsid w:val="004A1D5D"/>
    <w:rsid w:val="004A4A89"/>
    <w:rsid w:val="004A6575"/>
    <w:rsid w:val="004A76F5"/>
    <w:rsid w:val="004B0036"/>
    <w:rsid w:val="004B1A00"/>
    <w:rsid w:val="004B4B5F"/>
    <w:rsid w:val="004B6D5F"/>
    <w:rsid w:val="004C3CCA"/>
    <w:rsid w:val="004D6F02"/>
    <w:rsid w:val="004D7452"/>
    <w:rsid w:val="004E24F0"/>
    <w:rsid w:val="004E32FA"/>
    <w:rsid w:val="004E5D0A"/>
    <w:rsid w:val="004E6D87"/>
    <w:rsid w:val="004F27DC"/>
    <w:rsid w:val="004F3798"/>
    <w:rsid w:val="0050036A"/>
    <w:rsid w:val="00501F76"/>
    <w:rsid w:val="00506109"/>
    <w:rsid w:val="00506CE5"/>
    <w:rsid w:val="00506FF7"/>
    <w:rsid w:val="00507A7E"/>
    <w:rsid w:val="005103C1"/>
    <w:rsid w:val="005124C9"/>
    <w:rsid w:val="00513BE1"/>
    <w:rsid w:val="00514F7D"/>
    <w:rsid w:val="00517830"/>
    <w:rsid w:val="00522980"/>
    <w:rsid w:val="005324FB"/>
    <w:rsid w:val="00532644"/>
    <w:rsid w:val="00533FB7"/>
    <w:rsid w:val="00534964"/>
    <w:rsid w:val="00536E4D"/>
    <w:rsid w:val="00540C72"/>
    <w:rsid w:val="00543F92"/>
    <w:rsid w:val="00544668"/>
    <w:rsid w:val="005455AF"/>
    <w:rsid w:val="0054738C"/>
    <w:rsid w:val="005528CD"/>
    <w:rsid w:val="0055434C"/>
    <w:rsid w:val="00561282"/>
    <w:rsid w:val="00562827"/>
    <w:rsid w:val="005644A3"/>
    <w:rsid w:val="00567897"/>
    <w:rsid w:val="00571859"/>
    <w:rsid w:val="00574382"/>
    <w:rsid w:val="0057671C"/>
    <w:rsid w:val="00590249"/>
    <w:rsid w:val="00591C32"/>
    <w:rsid w:val="00593C26"/>
    <w:rsid w:val="00596F3B"/>
    <w:rsid w:val="005970BA"/>
    <w:rsid w:val="0059775C"/>
    <w:rsid w:val="005978AB"/>
    <w:rsid w:val="005A3E23"/>
    <w:rsid w:val="005B0B9B"/>
    <w:rsid w:val="005B1199"/>
    <w:rsid w:val="005B5E28"/>
    <w:rsid w:val="005B687D"/>
    <w:rsid w:val="005B7CD3"/>
    <w:rsid w:val="005C49D3"/>
    <w:rsid w:val="005C73E6"/>
    <w:rsid w:val="005D02F0"/>
    <w:rsid w:val="005D26CA"/>
    <w:rsid w:val="005D2FE3"/>
    <w:rsid w:val="005E2C53"/>
    <w:rsid w:val="005E3ABC"/>
    <w:rsid w:val="005E5CF7"/>
    <w:rsid w:val="005F32EC"/>
    <w:rsid w:val="006006B3"/>
    <w:rsid w:val="00610B67"/>
    <w:rsid w:val="00612C53"/>
    <w:rsid w:val="00614DEF"/>
    <w:rsid w:val="00620D46"/>
    <w:rsid w:val="006234C8"/>
    <w:rsid w:val="00623BDC"/>
    <w:rsid w:val="0063061C"/>
    <w:rsid w:val="00632A28"/>
    <w:rsid w:val="00635B90"/>
    <w:rsid w:val="006403B1"/>
    <w:rsid w:val="006405A8"/>
    <w:rsid w:val="00640F4F"/>
    <w:rsid w:val="00641B82"/>
    <w:rsid w:val="00641D50"/>
    <w:rsid w:val="00643F61"/>
    <w:rsid w:val="00645FDD"/>
    <w:rsid w:val="00647503"/>
    <w:rsid w:val="0065002B"/>
    <w:rsid w:val="00651021"/>
    <w:rsid w:val="00652837"/>
    <w:rsid w:val="006609B1"/>
    <w:rsid w:val="00661260"/>
    <w:rsid w:val="00661E5E"/>
    <w:rsid w:val="00667261"/>
    <w:rsid w:val="006678D8"/>
    <w:rsid w:val="00670B0F"/>
    <w:rsid w:val="006714CF"/>
    <w:rsid w:val="00672A0A"/>
    <w:rsid w:val="00672E37"/>
    <w:rsid w:val="00674DD9"/>
    <w:rsid w:val="00684CAD"/>
    <w:rsid w:val="006862E5"/>
    <w:rsid w:val="006879EB"/>
    <w:rsid w:val="00691881"/>
    <w:rsid w:val="00693B23"/>
    <w:rsid w:val="0069474C"/>
    <w:rsid w:val="006978DC"/>
    <w:rsid w:val="006A18E4"/>
    <w:rsid w:val="006A6031"/>
    <w:rsid w:val="006A6132"/>
    <w:rsid w:val="006A7305"/>
    <w:rsid w:val="006B1A06"/>
    <w:rsid w:val="006B1CB5"/>
    <w:rsid w:val="006B3800"/>
    <w:rsid w:val="006B4C13"/>
    <w:rsid w:val="006B658D"/>
    <w:rsid w:val="006C2149"/>
    <w:rsid w:val="006C26B2"/>
    <w:rsid w:val="006D1525"/>
    <w:rsid w:val="006D2B0B"/>
    <w:rsid w:val="006D2BDF"/>
    <w:rsid w:val="006D3DC8"/>
    <w:rsid w:val="006D4D62"/>
    <w:rsid w:val="006D6B38"/>
    <w:rsid w:val="006D75E7"/>
    <w:rsid w:val="006E0B43"/>
    <w:rsid w:val="006E10A8"/>
    <w:rsid w:val="006E35B9"/>
    <w:rsid w:val="006E4A3C"/>
    <w:rsid w:val="006E5E0E"/>
    <w:rsid w:val="006E7711"/>
    <w:rsid w:val="006E79BD"/>
    <w:rsid w:val="006E7D30"/>
    <w:rsid w:val="006F2FB8"/>
    <w:rsid w:val="006F45AC"/>
    <w:rsid w:val="00700793"/>
    <w:rsid w:val="007037D5"/>
    <w:rsid w:val="0070713C"/>
    <w:rsid w:val="00707673"/>
    <w:rsid w:val="00717873"/>
    <w:rsid w:val="00720646"/>
    <w:rsid w:val="00724C00"/>
    <w:rsid w:val="00726545"/>
    <w:rsid w:val="00726BB8"/>
    <w:rsid w:val="00734941"/>
    <w:rsid w:val="00735D0E"/>
    <w:rsid w:val="007374A1"/>
    <w:rsid w:val="007377FA"/>
    <w:rsid w:val="0074148F"/>
    <w:rsid w:val="007458C7"/>
    <w:rsid w:val="00746948"/>
    <w:rsid w:val="007479FA"/>
    <w:rsid w:val="0075127D"/>
    <w:rsid w:val="007526AC"/>
    <w:rsid w:val="00752D41"/>
    <w:rsid w:val="00760318"/>
    <w:rsid w:val="00760562"/>
    <w:rsid w:val="00761A71"/>
    <w:rsid w:val="0076272E"/>
    <w:rsid w:val="007664DA"/>
    <w:rsid w:val="007700B7"/>
    <w:rsid w:val="0077020C"/>
    <w:rsid w:val="00771763"/>
    <w:rsid w:val="00771D73"/>
    <w:rsid w:val="00773476"/>
    <w:rsid w:val="007750F7"/>
    <w:rsid w:val="00775201"/>
    <w:rsid w:val="007765DC"/>
    <w:rsid w:val="0078078F"/>
    <w:rsid w:val="007835E7"/>
    <w:rsid w:val="007847A2"/>
    <w:rsid w:val="00784A0D"/>
    <w:rsid w:val="00784A5C"/>
    <w:rsid w:val="007A55DB"/>
    <w:rsid w:val="007B167E"/>
    <w:rsid w:val="007B18C1"/>
    <w:rsid w:val="007B6DEB"/>
    <w:rsid w:val="007C2375"/>
    <w:rsid w:val="007D2395"/>
    <w:rsid w:val="007D2566"/>
    <w:rsid w:val="007D4B4E"/>
    <w:rsid w:val="007D5D7B"/>
    <w:rsid w:val="007D64C3"/>
    <w:rsid w:val="007E2334"/>
    <w:rsid w:val="007E489B"/>
    <w:rsid w:val="007F6F92"/>
    <w:rsid w:val="008002E7"/>
    <w:rsid w:val="008035B0"/>
    <w:rsid w:val="008101AF"/>
    <w:rsid w:val="00810831"/>
    <w:rsid w:val="0081117F"/>
    <w:rsid w:val="00812291"/>
    <w:rsid w:val="008129F5"/>
    <w:rsid w:val="00812A59"/>
    <w:rsid w:val="00814E0A"/>
    <w:rsid w:val="00822791"/>
    <w:rsid w:val="00827773"/>
    <w:rsid w:val="008310BE"/>
    <w:rsid w:val="008318AF"/>
    <w:rsid w:val="00835F35"/>
    <w:rsid w:val="00836FB7"/>
    <w:rsid w:val="00837607"/>
    <w:rsid w:val="00842150"/>
    <w:rsid w:val="0084290E"/>
    <w:rsid w:val="008438A8"/>
    <w:rsid w:val="00843FBD"/>
    <w:rsid w:val="0084594E"/>
    <w:rsid w:val="00846924"/>
    <w:rsid w:val="00850391"/>
    <w:rsid w:val="00857703"/>
    <w:rsid w:val="00860B93"/>
    <w:rsid w:val="00865537"/>
    <w:rsid w:val="0086560F"/>
    <w:rsid w:val="00866104"/>
    <w:rsid w:val="00866EF4"/>
    <w:rsid w:val="00872736"/>
    <w:rsid w:val="008732DD"/>
    <w:rsid w:val="008746DA"/>
    <w:rsid w:val="00883443"/>
    <w:rsid w:val="008846F7"/>
    <w:rsid w:val="00891668"/>
    <w:rsid w:val="00891DBD"/>
    <w:rsid w:val="00894E00"/>
    <w:rsid w:val="00896F1D"/>
    <w:rsid w:val="008A076D"/>
    <w:rsid w:val="008A35AB"/>
    <w:rsid w:val="008A4082"/>
    <w:rsid w:val="008B7CC9"/>
    <w:rsid w:val="008C352A"/>
    <w:rsid w:val="008D24F2"/>
    <w:rsid w:val="008D46A9"/>
    <w:rsid w:val="008D4DF4"/>
    <w:rsid w:val="008D72AE"/>
    <w:rsid w:val="008E040F"/>
    <w:rsid w:val="008E17B7"/>
    <w:rsid w:val="008E3335"/>
    <w:rsid w:val="008E38F9"/>
    <w:rsid w:val="008E476F"/>
    <w:rsid w:val="008F0D79"/>
    <w:rsid w:val="008F1161"/>
    <w:rsid w:val="008F11C7"/>
    <w:rsid w:val="008F3B85"/>
    <w:rsid w:val="008F575D"/>
    <w:rsid w:val="008F6559"/>
    <w:rsid w:val="008F67C7"/>
    <w:rsid w:val="008F6A69"/>
    <w:rsid w:val="008F762B"/>
    <w:rsid w:val="00903C9A"/>
    <w:rsid w:val="00904A6B"/>
    <w:rsid w:val="00911ECD"/>
    <w:rsid w:val="00912B1A"/>
    <w:rsid w:val="009243E0"/>
    <w:rsid w:val="009278EC"/>
    <w:rsid w:val="00930BF3"/>
    <w:rsid w:val="00934092"/>
    <w:rsid w:val="00934577"/>
    <w:rsid w:val="00936049"/>
    <w:rsid w:val="00940EE3"/>
    <w:rsid w:val="00941102"/>
    <w:rsid w:val="00942E8A"/>
    <w:rsid w:val="00944C05"/>
    <w:rsid w:val="00951540"/>
    <w:rsid w:val="00952595"/>
    <w:rsid w:val="00952BD3"/>
    <w:rsid w:val="009566A3"/>
    <w:rsid w:val="00956789"/>
    <w:rsid w:val="00957719"/>
    <w:rsid w:val="00961045"/>
    <w:rsid w:val="00962E74"/>
    <w:rsid w:val="00972228"/>
    <w:rsid w:val="00973344"/>
    <w:rsid w:val="0097341F"/>
    <w:rsid w:val="00990A37"/>
    <w:rsid w:val="00993349"/>
    <w:rsid w:val="00993B4E"/>
    <w:rsid w:val="00995B94"/>
    <w:rsid w:val="009969E0"/>
    <w:rsid w:val="009A12F1"/>
    <w:rsid w:val="009A28AC"/>
    <w:rsid w:val="009A7065"/>
    <w:rsid w:val="009B099B"/>
    <w:rsid w:val="009B2EE8"/>
    <w:rsid w:val="009B7671"/>
    <w:rsid w:val="009C0F7B"/>
    <w:rsid w:val="009C505F"/>
    <w:rsid w:val="009D0BAE"/>
    <w:rsid w:val="009D1957"/>
    <w:rsid w:val="009D2D81"/>
    <w:rsid w:val="009D306D"/>
    <w:rsid w:val="009D4741"/>
    <w:rsid w:val="009D73B9"/>
    <w:rsid w:val="009E423A"/>
    <w:rsid w:val="009E6E3C"/>
    <w:rsid w:val="009F4072"/>
    <w:rsid w:val="009F4781"/>
    <w:rsid w:val="009F78AA"/>
    <w:rsid w:val="00A009B6"/>
    <w:rsid w:val="00A00A57"/>
    <w:rsid w:val="00A038E0"/>
    <w:rsid w:val="00A05A23"/>
    <w:rsid w:val="00A07343"/>
    <w:rsid w:val="00A07865"/>
    <w:rsid w:val="00A07F87"/>
    <w:rsid w:val="00A10A29"/>
    <w:rsid w:val="00A10CA5"/>
    <w:rsid w:val="00A1202E"/>
    <w:rsid w:val="00A1396E"/>
    <w:rsid w:val="00A13A6A"/>
    <w:rsid w:val="00A13C6C"/>
    <w:rsid w:val="00A143B5"/>
    <w:rsid w:val="00A15806"/>
    <w:rsid w:val="00A16849"/>
    <w:rsid w:val="00A174A9"/>
    <w:rsid w:val="00A201FA"/>
    <w:rsid w:val="00A2199C"/>
    <w:rsid w:val="00A22167"/>
    <w:rsid w:val="00A222C3"/>
    <w:rsid w:val="00A23E82"/>
    <w:rsid w:val="00A265BA"/>
    <w:rsid w:val="00A30B3E"/>
    <w:rsid w:val="00A362F6"/>
    <w:rsid w:val="00A40A1E"/>
    <w:rsid w:val="00A42B57"/>
    <w:rsid w:val="00A436C5"/>
    <w:rsid w:val="00A43BF1"/>
    <w:rsid w:val="00A43FB7"/>
    <w:rsid w:val="00A44013"/>
    <w:rsid w:val="00A445C5"/>
    <w:rsid w:val="00A474E7"/>
    <w:rsid w:val="00A519AE"/>
    <w:rsid w:val="00A527D4"/>
    <w:rsid w:val="00A52B0C"/>
    <w:rsid w:val="00A53A40"/>
    <w:rsid w:val="00A53E1D"/>
    <w:rsid w:val="00A55F74"/>
    <w:rsid w:val="00A5768C"/>
    <w:rsid w:val="00A6199C"/>
    <w:rsid w:val="00A64592"/>
    <w:rsid w:val="00A65CB5"/>
    <w:rsid w:val="00A66117"/>
    <w:rsid w:val="00A66D63"/>
    <w:rsid w:val="00A67872"/>
    <w:rsid w:val="00A70C53"/>
    <w:rsid w:val="00A710D9"/>
    <w:rsid w:val="00A71458"/>
    <w:rsid w:val="00A72C6D"/>
    <w:rsid w:val="00A76FB3"/>
    <w:rsid w:val="00A8281A"/>
    <w:rsid w:val="00A82EEA"/>
    <w:rsid w:val="00A84829"/>
    <w:rsid w:val="00A85582"/>
    <w:rsid w:val="00A86B6E"/>
    <w:rsid w:val="00A8713E"/>
    <w:rsid w:val="00A96908"/>
    <w:rsid w:val="00AA04F1"/>
    <w:rsid w:val="00AA26BF"/>
    <w:rsid w:val="00AA5564"/>
    <w:rsid w:val="00AB0F26"/>
    <w:rsid w:val="00AB1256"/>
    <w:rsid w:val="00AB3DA5"/>
    <w:rsid w:val="00AC004E"/>
    <w:rsid w:val="00AC2EC9"/>
    <w:rsid w:val="00AD427C"/>
    <w:rsid w:val="00AD72F0"/>
    <w:rsid w:val="00AE6786"/>
    <w:rsid w:val="00AE7E75"/>
    <w:rsid w:val="00AF4B46"/>
    <w:rsid w:val="00B0246E"/>
    <w:rsid w:val="00B02BB0"/>
    <w:rsid w:val="00B035B4"/>
    <w:rsid w:val="00B120C2"/>
    <w:rsid w:val="00B12FA9"/>
    <w:rsid w:val="00B13E36"/>
    <w:rsid w:val="00B14E62"/>
    <w:rsid w:val="00B15AD8"/>
    <w:rsid w:val="00B34452"/>
    <w:rsid w:val="00B44AF7"/>
    <w:rsid w:val="00B4756F"/>
    <w:rsid w:val="00B4793E"/>
    <w:rsid w:val="00B50F3C"/>
    <w:rsid w:val="00B516A4"/>
    <w:rsid w:val="00B52C29"/>
    <w:rsid w:val="00B52E80"/>
    <w:rsid w:val="00B52EE9"/>
    <w:rsid w:val="00B53181"/>
    <w:rsid w:val="00B53B7D"/>
    <w:rsid w:val="00B608B7"/>
    <w:rsid w:val="00B633CD"/>
    <w:rsid w:val="00B64726"/>
    <w:rsid w:val="00B64B0F"/>
    <w:rsid w:val="00B7114D"/>
    <w:rsid w:val="00B7116A"/>
    <w:rsid w:val="00B80777"/>
    <w:rsid w:val="00B87ECC"/>
    <w:rsid w:val="00B916CC"/>
    <w:rsid w:val="00B92DE4"/>
    <w:rsid w:val="00B9620C"/>
    <w:rsid w:val="00B96BCE"/>
    <w:rsid w:val="00BA3BDE"/>
    <w:rsid w:val="00BA5434"/>
    <w:rsid w:val="00BA68A1"/>
    <w:rsid w:val="00BB248C"/>
    <w:rsid w:val="00BB53EC"/>
    <w:rsid w:val="00BB5C64"/>
    <w:rsid w:val="00BC4A83"/>
    <w:rsid w:val="00BC572A"/>
    <w:rsid w:val="00BC6288"/>
    <w:rsid w:val="00BC703D"/>
    <w:rsid w:val="00BC70A8"/>
    <w:rsid w:val="00BC74F3"/>
    <w:rsid w:val="00BC78FC"/>
    <w:rsid w:val="00BD166B"/>
    <w:rsid w:val="00BD3666"/>
    <w:rsid w:val="00BD38A9"/>
    <w:rsid w:val="00BD557B"/>
    <w:rsid w:val="00BD669E"/>
    <w:rsid w:val="00BD78F4"/>
    <w:rsid w:val="00BE0823"/>
    <w:rsid w:val="00BE1CCC"/>
    <w:rsid w:val="00BE1FC0"/>
    <w:rsid w:val="00BE5160"/>
    <w:rsid w:val="00BE7248"/>
    <w:rsid w:val="00BF12DA"/>
    <w:rsid w:val="00BF36C5"/>
    <w:rsid w:val="00BF4249"/>
    <w:rsid w:val="00BF6600"/>
    <w:rsid w:val="00BF7009"/>
    <w:rsid w:val="00C01546"/>
    <w:rsid w:val="00C03988"/>
    <w:rsid w:val="00C045F2"/>
    <w:rsid w:val="00C054D4"/>
    <w:rsid w:val="00C073A5"/>
    <w:rsid w:val="00C078E3"/>
    <w:rsid w:val="00C125CA"/>
    <w:rsid w:val="00C1409A"/>
    <w:rsid w:val="00C147DA"/>
    <w:rsid w:val="00C15691"/>
    <w:rsid w:val="00C15AC2"/>
    <w:rsid w:val="00C1711D"/>
    <w:rsid w:val="00C1721C"/>
    <w:rsid w:val="00C17906"/>
    <w:rsid w:val="00C23F49"/>
    <w:rsid w:val="00C260EF"/>
    <w:rsid w:val="00C277B6"/>
    <w:rsid w:val="00C27FBC"/>
    <w:rsid w:val="00C3106E"/>
    <w:rsid w:val="00C33740"/>
    <w:rsid w:val="00C35AE3"/>
    <w:rsid w:val="00C409E0"/>
    <w:rsid w:val="00C413B1"/>
    <w:rsid w:val="00C4202A"/>
    <w:rsid w:val="00C43FA8"/>
    <w:rsid w:val="00C46359"/>
    <w:rsid w:val="00C575E7"/>
    <w:rsid w:val="00C612BE"/>
    <w:rsid w:val="00C622AF"/>
    <w:rsid w:val="00C62E5C"/>
    <w:rsid w:val="00C63FCB"/>
    <w:rsid w:val="00C715B9"/>
    <w:rsid w:val="00C728D9"/>
    <w:rsid w:val="00C7648E"/>
    <w:rsid w:val="00C85FCF"/>
    <w:rsid w:val="00C90D48"/>
    <w:rsid w:val="00C91A65"/>
    <w:rsid w:val="00CA0F55"/>
    <w:rsid w:val="00CA3964"/>
    <w:rsid w:val="00CB0478"/>
    <w:rsid w:val="00CB33C0"/>
    <w:rsid w:val="00CB65B3"/>
    <w:rsid w:val="00CB6E7F"/>
    <w:rsid w:val="00CC05BE"/>
    <w:rsid w:val="00CC1727"/>
    <w:rsid w:val="00CC369B"/>
    <w:rsid w:val="00CC77ED"/>
    <w:rsid w:val="00CD3FD3"/>
    <w:rsid w:val="00CD4889"/>
    <w:rsid w:val="00CD6842"/>
    <w:rsid w:val="00CE34C3"/>
    <w:rsid w:val="00CE5C48"/>
    <w:rsid w:val="00CE743D"/>
    <w:rsid w:val="00CF0315"/>
    <w:rsid w:val="00CF069B"/>
    <w:rsid w:val="00CF2B9E"/>
    <w:rsid w:val="00CF359C"/>
    <w:rsid w:val="00CF6025"/>
    <w:rsid w:val="00CF6F64"/>
    <w:rsid w:val="00D004FB"/>
    <w:rsid w:val="00D042A6"/>
    <w:rsid w:val="00D046C1"/>
    <w:rsid w:val="00D15127"/>
    <w:rsid w:val="00D172DD"/>
    <w:rsid w:val="00D23487"/>
    <w:rsid w:val="00D30C96"/>
    <w:rsid w:val="00D33EA8"/>
    <w:rsid w:val="00D4228D"/>
    <w:rsid w:val="00D42C78"/>
    <w:rsid w:val="00D442D7"/>
    <w:rsid w:val="00D452F4"/>
    <w:rsid w:val="00D523B7"/>
    <w:rsid w:val="00D54F05"/>
    <w:rsid w:val="00D57D07"/>
    <w:rsid w:val="00D57E81"/>
    <w:rsid w:val="00D77F34"/>
    <w:rsid w:val="00D805AA"/>
    <w:rsid w:val="00D81216"/>
    <w:rsid w:val="00D85276"/>
    <w:rsid w:val="00D85B97"/>
    <w:rsid w:val="00D8776D"/>
    <w:rsid w:val="00D94BDA"/>
    <w:rsid w:val="00DA1826"/>
    <w:rsid w:val="00DA2212"/>
    <w:rsid w:val="00DA43BA"/>
    <w:rsid w:val="00DA59B3"/>
    <w:rsid w:val="00DB5E94"/>
    <w:rsid w:val="00DB61C6"/>
    <w:rsid w:val="00DC42F5"/>
    <w:rsid w:val="00DC5FC4"/>
    <w:rsid w:val="00DC752A"/>
    <w:rsid w:val="00DC759A"/>
    <w:rsid w:val="00DD057C"/>
    <w:rsid w:val="00DD1AF9"/>
    <w:rsid w:val="00DD28A1"/>
    <w:rsid w:val="00DD61EE"/>
    <w:rsid w:val="00DD6228"/>
    <w:rsid w:val="00DD6294"/>
    <w:rsid w:val="00DD7EAF"/>
    <w:rsid w:val="00DE59E0"/>
    <w:rsid w:val="00DF10C6"/>
    <w:rsid w:val="00DF1500"/>
    <w:rsid w:val="00DF166A"/>
    <w:rsid w:val="00DF2A40"/>
    <w:rsid w:val="00E053C7"/>
    <w:rsid w:val="00E13F28"/>
    <w:rsid w:val="00E16D3D"/>
    <w:rsid w:val="00E17AFF"/>
    <w:rsid w:val="00E23D46"/>
    <w:rsid w:val="00E254F8"/>
    <w:rsid w:val="00E260EA"/>
    <w:rsid w:val="00E31BCF"/>
    <w:rsid w:val="00E326D2"/>
    <w:rsid w:val="00E361DB"/>
    <w:rsid w:val="00E377ED"/>
    <w:rsid w:val="00E43A85"/>
    <w:rsid w:val="00E43E32"/>
    <w:rsid w:val="00E45896"/>
    <w:rsid w:val="00E56620"/>
    <w:rsid w:val="00E56BF7"/>
    <w:rsid w:val="00E61A0E"/>
    <w:rsid w:val="00E63BC0"/>
    <w:rsid w:val="00E70A23"/>
    <w:rsid w:val="00E719CF"/>
    <w:rsid w:val="00E7205E"/>
    <w:rsid w:val="00E732A6"/>
    <w:rsid w:val="00E7343C"/>
    <w:rsid w:val="00E831D6"/>
    <w:rsid w:val="00E854F2"/>
    <w:rsid w:val="00E8633C"/>
    <w:rsid w:val="00E9549D"/>
    <w:rsid w:val="00E95AE4"/>
    <w:rsid w:val="00E96A00"/>
    <w:rsid w:val="00EA091D"/>
    <w:rsid w:val="00EA3BA1"/>
    <w:rsid w:val="00EA7A8D"/>
    <w:rsid w:val="00EB0D72"/>
    <w:rsid w:val="00EB3898"/>
    <w:rsid w:val="00EB3F23"/>
    <w:rsid w:val="00EB4DBF"/>
    <w:rsid w:val="00EB4FEF"/>
    <w:rsid w:val="00EB6771"/>
    <w:rsid w:val="00EC07E5"/>
    <w:rsid w:val="00EC0BBC"/>
    <w:rsid w:val="00EC0FFE"/>
    <w:rsid w:val="00EC1F4E"/>
    <w:rsid w:val="00ED095A"/>
    <w:rsid w:val="00ED1568"/>
    <w:rsid w:val="00ED43A8"/>
    <w:rsid w:val="00ED77FF"/>
    <w:rsid w:val="00EE0F3E"/>
    <w:rsid w:val="00EF17D7"/>
    <w:rsid w:val="00EF1D14"/>
    <w:rsid w:val="00EF5926"/>
    <w:rsid w:val="00EF5B0B"/>
    <w:rsid w:val="00EF6B1F"/>
    <w:rsid w:val="00F0078A"/>
    <w:rsid w:val="00F007AB"/>
    <w:rsid w:val="00F01DC3"/>
    <w:rsid w:val="00F03D2D"/>
    <w:rsid w:val="00F066E6"/>
    <w:rsid w:val="00F10D02"/>
    <w:rsid w:val="00F13EA7"/>
    <w:rsid w:val="00F14A6E"/>
    <w:rsid w:val="00F1514D"/>
    <w:rsid w:val="00F17BCC"/>
    <w:rsid w:val="00F24779"/>
    <w:rsid w:val="00F3327A"/>
    <w:rsid w:val="00F40F1B"/>
    <w:rsid w:val="00F41DFA"/>
    <w:rsid w:val="00F42F04"/>
    <w:rsid w:val="00F43BB6"/>
    <w:rsid w:val="00F46668"/>
    <w:rsid w:val="00F47B97"/>
    <w:rsid w:val="00F52133"/>
    <w:rsid w:val="00F6075E"/>
    <w:rsid w:val="00F63E6A"/>
    <w:rsid w:val="00F65326"/>
    <w:rsid w:val="00F65F9C"/>
    <w:rsid w:val="00F67626"/>
    <w:rsid w:val="00F72290"/>
    <w:rsid w:val="00F72714"/>
    <w:rsid w:val="00F730FD"/>
    <w:rsid w:val="00F74397"/>
    <w:rsid w:val="00F7580B"/>
    <w:rsid w:val="00F76EF1"/>
    <w:rsid w:val="00F80654"/>
    <w:rsid w:val="00F813A3"/>
    <w:rsid w:val="00F813D9"/>
    <w:rsid w:val="00F81B83"/>
    <w:rsid w:val="00F827CB"/>
    <w:rsid w:val="00F8769B"/>
    <w:rsid w:val="00F92A8A"/>
    <w:rsid w:val="00F948C4"/>
    <w:rsid w:val="00F97C85"/>
    <w:rsid w:val="00FA4E7A"/>
    <w:rsid w:val="00FA6C4A"/>
    <w:rsid w:val="00FB53EA"/>
    <w:rsid w:val="00FB5FB6"/>
    <w:rsid w:val="00FC06A6"/>
    <w:rsid w:val="00FC46BB"/>
    <w:rsid w:val="00FC6118"/>
    <w:rsid w:val="00FD38CD"/>
    <w:rsid w:val="00FD6C4C"/>
    <w:rsid w:val="00FD6DB6"/>
    <w:rsid w:val="00FD6F83"/>
    <w:rsid w:val="00FE024D"/>
    <w:rsid w:val="00FE200C"/>
    <w:rsid w:val="00FE4F79"/>
    <w:rsid w:val="00FE54A8"/>
    <w:rsid w:val="00FF31F5"/>
    <w:rsid w:val="00FF392C"/>
    <w:rsid w:val="00FF7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8943"/>
  <w15:docId w15:val="{9B10825D-DC7F-4E44-8A73-265F1F2B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006B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06B3"/>
    <w:rPr>
      <w:rFonts w:ascii="Verdana" w:hAnsi="Verdana"/>
      <w:color w:val="000000"/>
      <w:sz w:val="18"/>
      <w:szCs w:val="18"/>
    </w:rPr>
  </w:style>
  <w:style w:type="paragraph" w:styleId="Voettekst">
    <w:name w:val="footer"/>
    <w:basedOn w:val="Standaard"/>
    <w:link w:val="VoettekstChar"/>
    <w:uiPriority w:val="99"/>
    <w:unhideWhenUsed/>
    <w:rsid w:val="006006B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06B3"/>
    <w:rPr>
      <w:rFonts w:ascii="Verdana" w:hAnsi="Verdana"/>
      <w:color w:val="000000"/>
      <w:sz w:val="18"/>
      <w:szCs w:val="18"/>
    </w:rPr>
  </w:style>
  <w:style w:type="paragraph" w:styleId="Voetnoottekst">
    <w:name w:val="footnote text"/>
    <w:basedOn w:val="Standaard"/>
    <w:link w:val="VoetnoottekstChar"/>
    <w:uiPriority w:val="99"/>
    <w:unhideWhenUsed/>
    <w:rsid w:val="006006B3"/>
    <w:pPr>
      <w:spacing w:line="240" w:lineRule="auto"/>
    </w:pPr>
    <w:rPr>
      <w:sz w:val="20"/>
      <w:szCs w:val="20"/>
    </w:rPr>
  </w:style>
  <w:style w:type="character" w:customStyle="1" w:styleId="VoetnoottekstChar">
    <w:name w:val="Voetnoottekst Char"/>
    <w:basedOn w:val="Standaardalinea-lettertype"/>
    <w:link w:val="Voetnoottekst"/>
    <w:uiPriority w:val="99"/>
    <w:rsid w:val="006006B3"/>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6006B3"/>
    <w:rPr>
      <w:vertAlign w:val="superscript"/>
    </w:rPr>
  </w:style>
  <w:style w:type="character" w:styleId="Verwijzingopmerking">
    <w:name w:val="annotation reference"/>
    <w:basedOn w:val="Standaardalinea-lettertype"/>
    <w:uiPriority w:val="99"/>
    <w:semiHidden/>
    <w:unhideWhenUsed/>
    <w:rsid w:val="00DC5FC4"/>
    <w:rPr>
      <w:sz w:val="16"/>
      <w:szCs w:val="16"/>
    </w:rPr>
  </w:style>
  <w:style w:type="paragraph" w:styleId="Tekstopmerking">
    <w:name w:val="annotation text"/>
    <w:basedOn w:val="Standaard"/>
    <w:link w:val="TekstopmerkingChar"/>
    <w:uiPriority w:val="99"/>
    <w:unhideWhenUsed/>
    <w:rsid w:val="00DC5FC4"/>
    <w:pPr>
      <w:spacing w:line="240" w:lineRule="auto"/>
    </w:pPr>
    <w:rPr>
      <w:sz w:val="20"/>
      <w:szCs w:val="20"/>
    </w:rPr>
  </w:style>
  <w:style w:type="character" w:customStyle="1" w:styleId="TekstopmerkingChar">
    <w:name w:val="Tekst opmerking Char"/>
    <w:basedOn w:val="Standaardalinea-lettertype"/>
    <w:link w:val="Tekstopmerking"/>
    <w:uiPriority w:val="99"/>
    <w:rsid w:val="00DC5FC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C5FC4"/>
    <w:rPr>
      <w:b/>
      <w:bCs/>
    </w:rPr>
  </w:style>
  <w:style w:type="character" w:customStyle="1" w:styleId="OnderwerpvanopmerkingChar">
    <w:name w:val="Onderwerp van opmerking Char"/>
    <w:basedOn w:val="TekstopmerkingChar"/>
    <w:link w:val="Onderwerpvanopmerking"/>
    <w:uiPriority w:val="99"/>
    <w:semiHidden/>
    <w:rsid w:val="00DC5FC4"/>
    <w:rPr>
      <w:rFonts w:ascii="Verdana" w:hAnsi="Verdana"/>
      <w:b/>
      <w:bCs/>
      <w:color w:val="000000"/>
    </w:rPr>
  </w:style>
  <w:style w:type="paragraph" w:styleId="Lijstalinea">
    <w:name w:val="List Paragraph"/>
    <w:basedOn w:val="Standaard"/>
    <w:uiPriority w:val="34"/>
    <w:qFormat/>
    <w:rsid w:val="00DC5FC4"/>
    <w:pPr>
      <w:ind w:left="720"/>
      <w:contextualSpacing/>
    </w:pPr>
  </w:style>
  <w:style w:type="character" w:styleId="Onopgelostemelding">
    <w:name w:val="Unresolved Mention"/>
    <w:basedOn w:val="Standaardalinea-lettertype"/>
    <w:uiPriority w:val="99"/>
    <w:semiHidden/>
    <w:unhideWhenUsed/>
    <w:rsid w:val="00196D63"/>
    <w:rPr>
      <w:color w:val="605E5C"/>
      <w:shd w:val="clear" w:color="auto" w:fill="E1DFDD"/>
    </w:rPr>
  </w:style>
  <w:style w:type="character" w:styleId="GevolgdeHyperlink">
    <w:name w:val="FollowedHyperlink"/>
    <w:basedOn w:val="Standaardalinea-lettertype"/>
    <w:uiPriority w:val="99"/>
    <w:semiHidden/>
    <w:unhideWhenUsed/>
    <w:rsid w:val="00384FD4"/>
    <w:rPr>
      <w:color w:val="96607D" w:themeColor="followedHyperlink"/>
      <w:u w:val="single"/>
    </w:rPr>
  </w:style>
  <w:style w:type="paragraph" w:styleId="Revisie">
    <w:name w:val="Revision"/>
    <w:hidden/>
    <w:uiPriority w:val="99"/>
    <w:semiHidden/>
    <w:rsid w:val="002F18D8"/>
    <w:pPr>
      <w:autoSpaceDN/>
      <w:textAlignment w:val="auto"/>
    </w:pPr>
    <w:rPr>
      <w:rFonts w:ascii="Verdana" w:hAnsi="Verdana"/>
      <w:color w:val="000000"/>
      <w:sz w:val="18"/>
      <w:szCs w:val="18"/>
    </w:rPr>
  </w:style>
  <w:style w:type="paragraph" w:customStyle="1" w:styleId="Default">
    <w:name w:val="Default"/>
    <w:rsid w:val="006234C8"/>
    <w:pPr>
      <w:autoSpaceDE w:val="0"/>
      <w:adjustRightInd w:val="0"/>
      <w:textAlignment w:val="auto"/>
    </w:pPr>
    <w:rPr>
      <w:rFonts w:ascii="DejaVu Serif" w:eastAsiaTheme="minorEastAsia" w:hAnsi="DejaVu Serif" w:cs="DejaVu Serif"/>
      <w:color w:val="000000"/>
      <w:sz w:val="24"/>
      <w:szCs w:val="24"/>
      <w:lang w:eastAsia="ja-JP"/>
    </w:rPr>
  </w:style>
  <w:style w:type="paragraph" w:styleId="Normaalweb">
    <w:name w:val="Normal (Web)"/>
    <w:basedOn w:val="Standaard"/>
    <w:uiPriority w:val="99"/>
    <w:semiHidden/>
    <w:unhideWhenUsed/>
    <w:rsid w:val="00F607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554">
      <w:bodyDiv w:val="1"/>
      <w:marLeft w:val="0"/>
      <w:marRight w:val="0"/>
      <w:marTop w:val="0"/>
      <w:marBottom w:val="0"/>
      <w:divBdr>
        <w:top w:val="none" w:sz="0" w:space="0" w:color="auto"/>
        <w:left w:val="none" w:sz="0" w:space="0" w:color="auto"/>
        <w:bottom w:val="none" w:sz="0" w:space="0" w:color="auto"/>
        <w:right w:val="none" w:sz="0" w:space="0" w:color="auto"/>
      </w:divBdr>
    </w:div>
    <w:div w:id="33429126">
      <w:bodyDiv w:val="1"/>
      <w:marLeft w:val="0"/>
      <w:marRight w:val="0"/>
      <w:marTop w:val="0"/>
      <w:marBottom w:val="0"/>
      <w:divBdr>
        <w:top w:val="none" w:sz="0" w:space="0" w:color="auto"/>
        <w:left w:val="none" w:sz="0" w:space="0" w:color="auto"/>
        <w:bottom w:val="none" w:sz="0" w:space="0" w:color="auto"/>
        <w:right w:val="none" w:sz="0" w:space="0" w:color="auto"/>
      </w:divBdr>
      <w:divsChild>
        <w:div w:id="1976713894">
          <w:marLeft w:val="0"/>
          <w:marRight w:val="0"/>
          <w:marTop w:val="0"/>
          <w:marBottom w:val="0"/>
          <w:divBdr>
            <w:top w:val="none" w:sz="0" w:space="0" w:color="auto"/>
            <w:left w:val="none" w:sz="0" w:space="0" w:color="auto"/>
            <w:bottom w:val="none" w:sz="0" w:space="0" w:color="auto"/>
            <w:right w:val="none" w:sz="0" w:space="0" w:color="auto"/>
          </w:divBdr>
        </w:div>
      </w:divsChild>
    </w:div>
    <w:div w:id="36900342">
      <w:bodyDiv w:val="1"/>
      <w:marLeft w:val="0"/>
      <w:marRight w:val="0"/>
      <w:marTop w:val="0"/>
      <w:marBottom w:val="0"/>
      <w:divBdr>
        <w:top w:val="none" w:sz="0" w:space="0" w:color="auto"/>
        <w:left w:val="none" w:sz="0" w:space="0" w:color="auto"/>
        <w:bottom w:val="none" w:sz="0" w:space="0" w:color="auto"/>
        <w:right w:val="none" w:sz="0" w:space="0" w:color="auto"/>
      </w:divBdr>
    </w:div>
    <w:div w:id="83504116">
      <w:bodyDiv w:val="1"/>
      <w:marLeft w:val="0"/>
      <w:marRight w:val="0"/>
      <w:marTop w:val="0"/>
      <w:marBottom w:val="0"/>
      <w:divBdr>
        <w:top w:val="none" w:sz="0" w:space="0" w:color="auto"/>
        <w:left w:val="none" w:sz="0" w:space="0" w:color="auto"/>
        <w:bottom w:val="none" w:sz="0" w:space="0" w:color="auto"/>
        <w:right w:val="none" w:sz="0" w:space="0" w:color="auto"/>
      </w:divBdr>
    </w:div>
    <w:div w:id="97221983">
      <w:bodyDiv w:val="1"/>
      <w:marLeft w:val="0"/>
      <w:marRight w:val="0"/>
      <w:marTop w:val="0"/>
      <w:marBottom w:val="0"/>
      <w:divBdr>
        <w:top w:val="none" w:sz="0" w:space="0" w:color="auto"/>
        <w:left w:val="none" w:sz="0" w:space="0" w:color="auto"/>
        <w:bottom w:val="none" w:sz="0" w:space="0" w:color="auto"/>
        <w:right w:val="none" w:sz="0" w:space="0" w:color="auto"/>
      </w:divBdr>
    </w:div>
    <w:div w:id="119762534">
      <w:bodyDiv w:val="1"/>
      <w:marLeft w:val="0"/>
      <w:marRight w:val="0"/>
      <w:marTop w:val="0"/>
      <w:marBottom w:val="0"/>
      <w:divBdr>
        <w:top w:val="none" w:sz="0" w:space="0" w:color="auto"/>
        <w:left w:val="none" w:sz="0" w:space="0" w:color="auto"/>
        <w:bottom w:val="none" w:sz="0" w:space="0" w:color="auto"/>
        <w:right w:val="none" w:sz="0" w:space="0" w:color="auto"/>
      </w:divBdr>
    </w:div>
    <w:div w:id="122116270">
      <w:bodyDiv w:val="1"/>
      <w:marLeft w:val="0"/>
      <w:marRight w:val="0"/>
      <w:marTop w:val="0"/>
      <w:marBottom w:val="0"/>
      <w:divBdr>
        <w:top w:val="none" w:sz="0" w:space="0" w:color="auto"/>
        <w:left w:val="none" w:sz="0" w:space="0" w:color="auto"/>
        <w:bottom w:val="none" w:sz="0" w:space="0" w:color="auto"/>
        <w:right w:val="none" w:sz="0" w:space="0" w:color="auto"/>
      </w:divBdr>
    </w:div>
    <w:div w:id="157573542">
      <w:bodyDiv w:val="1"/>
      <w:marLeft w:val="0"/>
      <w:marRight w:val="0"/>
      <w:marTop w:val="0"/>
      <w:marBottom w:val="0"/>
      <w:divBdr>
        <w:top w:val="none" w:sz="0" w:space="0" w:color="auto"/>
        <w:left w:val="none" w:sz="0" w:space="0" w:color="auto"/>
        <w:bottom w:val="none" w:sz="0" w:space="0" w:color="auto"/>
        <w:right w:val="none" w:sz="0" w:space="0" w:color="auto"/>
      </w:divBdr>
    </w:div>
    <w:div w:id="172230823">
      <w:bodyDiv w:val="1"/>
      <w:marLeft w:val="0"/>
      <w:marRight w:val="0"/>
      <w:marTop w:val="0"/>
      <w:marBottom w:val="0"/>
      <w:divBdr>
        <w:top w:val="none" w:sz="0" w:space="0" w:color="auto"/>
        <w:left w:val="none" w:sz="0" w:space="0" w:color="auto"/>
        <w:bottom w:val="none" w:sz="0" w:space="0" w:color="auto"/>
        <w:right w:val="none" w:sz="0" w:space="0" w:color="auto"/>
      </w:divBdr>
    </w:div>
    <w:div w:id="198858919">
      <w:bodyDiv w:val="1"/>
      <w:marLeft w:val="0"/>
      <w:marRight w:val="0"/>
      <w:marTop w:val="0"/>
      <w:marBottom w:val="0"/>
      <w:divBdr>
        <w:top w:val="none" w:sz="0" w:space="0" w:color="auto"/>
        <w:left w:val="none" w:sz="0" w:space="0" w:color="auto"/>
        <w:bottom w:val="none" w:sz="0" w:space="0" w:color="auto"/>
        <w:right w:val="none" w:sz="0" w:space="0" w:color="auto"/>
      </w:divBdr>
    </w:div>
    <w:div w:id="226114245">
      <w:bodyDiv w:val="1"/>
      <w:marLeft w:val="0"/>
      <w:marRight w:val="0"/>
      <w:marTop w:val="0"/>
      <w:marBottom w:val="0"/>
      <w:divBdr>
        <w:top w:val="none" w:sz="0" w:space="0" w:color="auto"/>
        <w:left w:val="none" w:sz="0" w:space="0" w:color="auto"/>
        <w:bottom w:val="none" w:sz="0" w:space="0" w:color="auto"/>
        <w:right w:val="none" w:sz="0" w:space="0" w:color="auto"/>
      </w:divBdr>
    </w:div>
    <w:div w:id="294335647">
      <w:bodyDiv w:val="1"/>
      <w:marLeft w:val="0"/>
      <w:marRight w:val="0"/>
      <w:marTop w:val="0"/>
      <w:marBottom w:val="0"/>
      <w:divBdr>
        <w:top w:val="none" w:sz="0" w:space="0" w:color="auto"/>
        <w:left w:val="none" w:sz="0" w:space="0" w:color="auto"/>
        <w:bottom w:val="none" w:sz="0" w:space="0" w:color="auto"/>
        <w:right w:val="none" w:sz="0" w:space="0" w:color="auto"/>
      </w:divBdr>
      <w:divsChild>
        <w:div w:id="1656761324">
          <w:marLeft w:val="0"/>
          <w:marRight w:val="0"/>
          <w:marTop w:val="0"/>
          <w:marBottom w:val="0"/>
          <w:divBdr>
            <w:top w:val="none" w:sz="0" w:space="0" w:color="auto"/>
            <w:left w:val="none" w:sz="0" w:space="0" w:color="auto"/>
            <w:bottom w:val="none" w:sz="0" w:space="0" w:color="auto"/>
            <w:right w:val="none" w:sz="0" w:space="0" w:color="auto"/>
          </w:divBdr>
        </w:div>
      </w:divsChild>
    </w:div>
    <w:div w:id="324091520">
      <w:bodyDiv w:val="1"/>
      <w:marLeft w:val="0"/>
      <w:marRight w:val="0"/>
      <w:marTop w:val="0"/>
      <w:marBottom w:val="0"/>
      <w:divBdr>
        <w:top w:val="none" w:sz="0" w:space="0" w:color="auto"/>
        <w:left w:val="none" w:sz="0" w:space="0" w:color="auto"/>
        <w:bottom w:val="none" w:sz="0" w:space="0" w:color="auto"/>
        <w:right w:val="none" w:sz="0" w:space="0" w:color="auto"/>
      </w:divBdr>
    </w:div>
    <w:div w:id="372582848">
      <w:bodyDiv w:val="1"/>
      <w:marLeft w:val="0"/>
      <w:marRight w:val="0"/>
      <w:marTop w:val="0"/>
      <w:marBottom w:val="0"/>
      <w:divBdr>
        <w:top w:val="none" w:sz="0" w:space="0" w:color="auto"/>
        <w:left w:val="none" w:sz="0" w:space="0" w:color="auto"/>
        <w:bottom w:val="none" w:sz="0" w:space="0" w:color="auto"/>
        <w:right w:val="none" w:sz="0" w:space="0" w:color="auto"/>
      </w:divBdr>
    </w:div>
    <w:div w:id="399137088">
      <w:bodyDiv w:val="1"/>
      <w:marLeft w:val="0"/>
      <w:marRight w:val="0"/>
      <w:marTop w:val="0"/>
      <w:marBottom w:val="0"/>
      <w:divBdr>
        <w:top w:val="none" w:sz="0" w:space="0" w:color="auto"/>
        <w:left w:val="none" w:sz="0" w:space="0" w:color="auto"/>
        <w:bottom w:val="none" w:sz="0" w:space="0" w:color="auto"/>
        <w:right w:val="none" w:sz="0" w:space="0" w:color="auto"/>
      </w:divBdr>
      <w:divsChild>
        <w:div w:id="579102601">
          <w:marLeft w:val="0"/>
          <w:marRight w:val="0"/>
          <w:marTop w:val="0"/>
          <w:marBottom w:val="0"/>
          <w:divBdr>
            <w:top w:val="none" w:sz="0" w:space="0" w:color="auto"/>
            <w:left w:val="none" w:sz="0" w:space="0" w:color="auto"/>
            <w:bottom w:val="none" w:sz="0" w:space="0" w:color="auto"/>
            <w:right w:val="none" w:sz="0" w:space="0" w:color="auto"/>
          </w:divBdr>
        </w:div>
      </w:divsChild>
    </w:div>
    <w:div w:id="430055419">
      <w:bodyDiv w:val="1"/>
      <w:marLeft w:val="0"/>
      <w:marRight w:val="0"/>
      <w:marTop w:val="0"/>
      <w:marBottom w:val="0"/>
      <w:divBdr>
        <w:top w:val="none" w:sz="0" w:space="0" w:color="auto"/>
        <w:left w:val="none" w:sz="0" w:space="0" w:color="auto"/>
        <w:bottom w:val="none" w:sz="0" w:space="0" w:color="auto"/>
        <w:right w:val="none" w:sz="0" w:space="0" w:color="auto"/>
      </w:divBdr>
    </w:div>
    <w:div w:id="441220391">
      <w:bodyDiv w:val="1"/>
      <w:marLeft w:val="0"/>
      <w:marRight w:val="0"/>
      <w:marTop w:val="0"/>
      <w:marBottom w:val="0"/>
      <w:divBdr>
        <w:top w:val="none" w:sz="0" w:space="0" w:color="auto"/>
        <w:left w:val="none" w:sz="0" w:space="0" w:color="auto"/>
        <w:bottom w:val="none" w:sz="0" w:space="0" w:color="auto"/>
        <w:right w:val="none" w:sz="0" w:space="0" w:color="auto"/>
      </w:divBdr>
    </w:div>
    <w:div w:id="459963098">
      <w:bodyDiv w:val="1"/>
      <w:marLeft w:val="0"/>
      <w:marRight w:val="0"/>
      <w:marTop w:val="0"/>
      <w:marBottom w:val="0"/>
      <w:divBdr>
        <w:top w:val="none" w:sz="0" w:space="0" w:color="auto"/>
        <w:left w:val="none" w:sz="0" w:space="0" w:color="auto"/>
        <w:bottom w:val="none" w:sz="0" w:space="0" w:color="auto"/>
        <w:right w:val="none" w:sz="0" w:space="0" w:color="auto"/>
      </w:divBdr>
    </w:div>
    <w:div w:id="474032153">
      <w:bodyDiv w:val="1"/>
      <w:marLeft w:val="0"/>
      <w:marRight w:val="0"/>
      <w:marTop w:val="0"/>
      <w:marBottom w:val="0"/>
      <w:divBdr>
        <w:top w:val="none" w:sz="0" w:space="0" w:color="auto"/>
        <w:left w:val="none" w:sz="0" w:space="0" w:color="auto"/>
        <w:bottom w:val="none" w:sz="0" w:space="0" w:color="auto"/>
        <w:right w:val="none" w:sz="0" w:space="0" w:color="auto"/>
      </w:divBdr>
    </w:div>
    <w:div w:id="510754679">
      <w:bodyDiv w:val="1"/>
      <w:marLeft w:val="0"/>
      <w:marRight w:val="0"/>
      <w:marTop w:val="0"/>
      <w:marBottom w:val="0"/>
      <w:divBdr>
        <w:top w:val="none" w:sz="0" w:space="0" w:color="auto"/>
        <w:left w:val="none" w:sz="0" w:space="0" w:color="auto"/>
        <w:bottom w:val="none" w:sz="0" w:space="0" w:color="auto"/>
        <w:right w:val="none" w:sz="0" w:space="0" w:color="auto"/>
      </w:divBdr>
    </w:div>
    <w:div w:id="511335348">
      <w:bodyDiv w:val="1"/>
      <w:marLeft w:val="0"/>
      <w:marRight w:val="0"/>
      <w:marTop w:val="0"/>
      <w:marBottom w:val="0"/>
      <w:divBdr>
        <w:top w:val="none" w:sz="0" w:space="0" w:color="auto"/>
        <w:left w:val="none" w:sz="0" w:space="0" w:color="auto"/>
        <w:bottom w:val="none" w:sz="0" w:space="0" w:color="auto"/>
        <w:right w:val="none" w:sz="0" w:space="0" w:color="auto"/>
      </w:divBdr>
    </w:div>
    <w:div w:id="527304419">
      <w:bodyDiv w:val="1"/>
      <w:marLeft w:val="0"/>
      <w:marRight w:val="0"/>
      <w:marTop w:val="0"/>
      <w:marBottom w:val="0"/>
      <w:divBdr>
        <w:top w:val="none" w:sz="0" w:space="0" w:color="auto"/>
        <w:left w:val="none" w:sz="0" w:space="0" w:color="auto"/>
        <w:bottom w:val="none" w:sz="0" w:space="0" w:color="auto"/>
        <w:right w:val="none" w:sz="0" w:space="0" w:color="auto"/>
      </w:divBdr>
    </w:div>
    <w:div w:id="536085050">
      <w:bodyDiv w:val="1"/>
      <w:marLeft w:val="0"/>
      <w:marRight w:val="0"/>
      <w:marTop w:val="0"/>
      <w:marBottom w:val="0"/>
      <w:divBdr>
        <w:top w:val="none" w:sz="0" w:space="0" w:color="auto"/>
        <w:left w:val="none" w:sz="0" w:space="0" w:color="auto"/>
        <w:bottom w:val="none" w:sz="0" w:space="0" w:color="auto"/>
        <w:right w:val="none" w:sz="0" w:space="0" w:color="auto"/>
      </w:divBdr>
    </w:div>
    <w:div w:id="545676250">
      <w:bodyDiv w:val="1"/>
      <w:marLeft w:val="0"/>
      <w:marRight w:val="0"/>
      <w:marTop w:val="0"/>
      <w:marBottom w:val="0"/>
      <w:divBdr>
        <w:top w:val="none" w:sz="0" w:space="0" w:color="auto"/>
        <w:left w:val="none" w:sz="0" w:space="0" w:color="auto"/>
        <w:bottom w:val="none" w:sz="0" w:space="0" w:color="auto"/>
        <w:right w:val="none" w:sz="0" w:space="0" w:color="auto"/>
      </w:divBdr>
    </w:div>
    <w:div w:id="545993154">
      <w:bodyDiv w:val="1"/>
      <w:marLeft w:val="0"/>
      <w:marRight w:val="0"/>
      <w:marTop w:val="0"/>
      <w:marBottom w:val="0"/>
      <w:divBdr>
        <w:top w:val="none" w:sz="0" w:space="0" w:color="auto"/>
        <w:left w:val="none" w:sz="0" w:space="0" w:color="auto"/>
        <w:bottom w:val="none" w:sz="0" w:space="0" w:color="auto"/>
        <w:right w:val="none" w:sz="0" w:space="0" w:color="auto"/>
      </w:divBdr>
    </w:div>
    <w:div w:id="560756113">
      <w:bodyDiv w:val="1"/>
      <w:marLeft w:val="0"/>
      <w:marRight w:val="0"/>
      <w:marTop w:val="0"/>
      <w:marBottom w:val="0"/>
      <w:divBdr>
        <w:top w:val="none" w:sz="0" w:space="0" w:color="auto"/>
        <w:left w:val="none" w:sz="0" w:space="0" w:color="auto"/>
        <w:bottom w:val="none" w:sz="0" w:space="0" w:color="auto"/>
        <w:right w:val="none" w:sz="0" w:space="0" w:color="auto"/>
      </w:divBdr>
    </w:div>
    <w:div w:id="561867364">
      <w:bodyDiv w:val="1"/>
      <w:marLeft w:val="0"/>
      <w:marRight w:val="0"/>
      <w:marTop w:val="0"/>
      <w:marBottom w:val="0"/>
      <w:divBdr>
        <w:top w:val="none" w:sz="0" w:space="0" w:color="auto"/>
        <w:left w:val="none" w:sz="0" w:space="0" w:color="auto"/>
        <w:bottom w:val="none" w:sz="0" w:space="0" w:color="auto"/>
        <w:right w:val="none" w:sz="0" w:space="0" w:color="auto"/>
      </w:divBdr>
    </w:div>
    <w:div w:id="563685933">
      <w:bodyDiv w:val="1"/>
      <w:marLeft w:val="0"/>
      <w:marRight w:val="0"/>
      <w:marTop w:val="0"/>
      <w:marBottom w:val="0"/>
      <w:divBdr>
        <w:top w:val="none" w:sz="0" w:space="0" w:color="auto"/>
        <w:left w:val="none" w:sz="0" w:space="0" w:color="auto"/>
        <w:bottom w:val="none" w:sz="0" w:space="0" w:color="auto"/>
        <w:right w:val="none" w:sz="0" w:space="0" w:color="auto"/>
      </w:divBdr>
    </w:div>
    <w:div w:id="567301560">
      <w:bodyDiv w:val="1"/>
      <w:marLeft w:val="0"/>
      <w:marRight w:val="0"/>
      <w:marTop w:val="0"/>
      <w:marBottom w:val="0"/>
      <w:divBdr>
        <w:top w:val="none" w:sz="0" w:space="0" w:color="auto"/>
        <w:left w:val="none" w:sz="0" w:space="0" w:color="auto"/>
        <w:bottom w:val="none" w:sz="0" w:space="0" w:color="auto"/>
        <w:right w:val="none" w:sz="0" w:space="0" w:color="auto"/>
      </w:divBdr>
    </w:div>
    <w:div w:id="595746153">
      <w:bodyDiv w:val="1"/>
      <w:marLeft w:val="0"/>
      <w:marRight w:val="0"/>
      <w:marTop w:val="0"/>
      <w:marBottom w:val="0"/>
      <w:divBdr>
        <w:top w:val="none" w:sz="0" w:space="0" w:color="auto"/>
        <w:left w:val="none" w:sz="0" w:space="0" w:color="auto"/>
        <w:bottom w:val="none" w:sz="0" w:space="0" w:color="auto"/>
        <w:right w:val="none" w:sz="0" w:space="0" w:color="auto"/>
      </w:divBdr>
    </w:div>
    <w:div w:id="648217395">
      <w:bodyDiv w:val="1"/>
      <w:marLeft w:val="0"/>
      <w:marRight w:val="0"/>
      <w:marTop w:val="0"/>
      <w:marBottom w:val="0"/>
      <w:divBdr>
        <w:top w:val="none" w:sz="0" w:space="0" w:color="auto"/>
        <w:left w:val="none" w:sz="0" w:space="0" w:color="auto"/>
        <w:bottom w:val="none" w:sz="0" w:space="0" w:color="auto"/>
        <w:right w:val="none" w:sz="0" w:space="0" w:color="auto"/>
      </w:divBdr>
    </w:div>
    <w:div w:id="662853974">
      <w:bodyDiv w:val="1"/>
      <w:marLeft w:val="0"/>
      <w:marRight w:val="0"/>
      <w:marTop w:val="0"/>
      <w:marBottom w:val="0"/>
      <w:divBdr>
        <w:top w:val="none" w:sz="0" w:space="0" w:color="auto"/>
        <w:left w:val="none" w:sz="0" w:space="0" w:color="auto"/>
        <w:bottom w:val="none" w:sz="0" w:space="0" w:color="auto"/>
        <w:right w:val="none" w:sz="0" w:space="0" w:color="auto"/>
      </w:divBdr>
    </w:div>
    <w:div w:id="692149138">
      <w:bodyDiv w:val="1"/>
      <w:marLeft w:val="0"/>
      <w:marRight w:val="0"/>
      <w:marTop w:val="0"/>
      <w:marBottom w:val="0"/>
      <w:divBdr>
        <w:top w:val="none" w:sz="0" w:space="0" w:color="auto"/>
        <w:left w:val="none" w:sz="0" w:space="0" w:color="auto"/>
        <w:bottom w:val="none" w:sz="0" w:space="0" w:color="auto"/>
        <w:right w:val="none" w:sz="0" w:space="0" w:color="auto"/>
      </w:divBdr>
    </w:div>
    <w:div w:id="701398568">
      <w:bodyDiv w:val="1"/>
      <w:marLeft w:val="0"/>
      <w:marRight w:val="0"/>
      <w:marTop w:val="0"/>
      <w:marBottom w:val="0"/>
      <w:divBdr>
        <w:top w:val="none" w:sz="0" w:space="0" w:color="auto"/>
        <w:left w:val="none" w:sz="0" w:space="0" w:color="auto"/>
        <w:bottom w:val="none" w:sz="0" w:space="0" w:color="auto"/>
        <w:right w:val="none" w:sz="0" w:space="0" w:color="auto"/>
      </w:divBdr>
    </w:div>
    <w:div w:id="704403172">
      <w:bodyDiv w:val="1"/>
      <w:marLeft w:val="0"/>
      <w:marRight w:val="0"/>
      <w:marTop w:val="0"/>
      <w:marBottom w:val="0"/>
      <w:divBdr>
        <w:top w:val="none" w:sz="0" w:space="0" w:color="auto"/>
        <w:left w:val="none" w:sz="0" w:space="0" w:color="auto"/>
        <w:bottom w:val="none" w:sz="0" w:space="0" w:color="auto"/>
        <w:right w:val="none" w:sz="0" w:space="0" w:color="auto"/>
      </w:divBdr>
    </w:div>
    <w:div w:id="711614052">
      <w:bodyDiv w:val="1"/>
      <w:marLeft w:val="0"/>
      <w:marRight w:val="0"/>
      <w:marTop w:val="0"/>
      <w:marBottom w:val="0"/>
      <w:divBdr>
        <w:top w:val="none" w:sz="0" w:space="0" w:color="auto"/>
        <w:left w:val="none" w:sz="0" w:space="0" w:color="auto"/>
        <w:bottom w:val="none" w:sz="0" w:space="0" w:color="auto"/>
        <w:right w:val="none" w:sz="0" w:space="0" w:color="auto"/>
      </w:divBdr>
    </w:div>
    <w:div w:id="785537156">
      <w:bodyDiv w:val="1"/>
      <w:marLeft w:val="0"/>
      <w:marRight w:val="0"/>
      <w:marTop w:val="0"/>
      <w:marBottom w:val="0"/>
      <w:divBdr>
        <w:top w:val="none" w:sz="0" w:space="0" w:color="auto"/>
        <w:left w:val="none" w:sz="0" w:space="0" w:color="auto"/>
        <w:bottom w:val="none" w:sz="0" w:space="0" w:color="auto"/>
        <w:right w:val="none" w:sz="0" w:space="0" w:color="auto"/>
      </w:divBdr>
    </w:div>
    <w:div w:id="906185189">
      <w:bodyDiv w:val="1"/>
      <w:marLeft w:val="0"/>
      <w:marRight w:val="0"/>
      <w:marTop w:val="0"/>
      <w:marBottom w:val="0"/>
      <w:divBdr>
        <w:top w:val="none" w:sz="0" w:space="0" w:color="auto"/>
        <w:left w:val="none" w:sz="0" w:space="0" w:color="auto"/>
        <w:bottom w:val="none" w:sz="0" w:space="0" w:color="auto"/>
        <w:right w:val="none" w:sz="0" w:space="0" w:color="auto"/>
      </w:divBdr>
    </w:div>
    <w:div w:id="933169478">
      <w:bodyDiv w:val="1"/>
      <w:marLeft w:val="0"/>
      <w:marRight w:val="0"/>
      <w:marTop w:val="0"/>
      <w:marBottom w:val="0"/>
      <w:divBdr>
        <w:top w:val="none" w:sz="0" w:space="0" w:color="auto"/>
        <w:left w:val="none" w:sz="0" w:space="0" w:color="auto"/>
        <w:bottom w:val="none" w:sz="0" w:space="0" w:color="auto"/>
        <w:right w:val="none" w:sz="0" w:space="0" w:color="auto"/>
      </w:divBdr>
    </w:div>
    <w:div w:id="957222467">
      <w:bodyDiv w:val="1"/>
      <w:marLeft w:val="0"/>
      <w:marRight w:val="0"/>
      <w:marTop w:val="0"/>
      <w:marBottom w:val="0"/>
      <w:divBdr>
        <w:top w:val="none" w:sz="0" w:space="0" w:color="auto"/>
        <w:left w:val="none" w:sz="0" w:space="0" w:color="auto"/>
        <w:bottom w:val="none" w:sz="0" w:space="0" w:color="auto"/>
        <w:right w:val="none" w:sz="0" w:space="0" w:color="auto"/>
      </w:divBdr>
    </w:div>
    <w:div w:id="968630737">
      <w:bodyDiv w:val="1"/>
      <w:marLeft w:val="0"/>
      <w:marRight w:val="0"/>
      <w:marTop w:val="0"/>
      <w:marBottom w:val="0"/>
      <w:divBdr>
        <w:top w:val="none" w:sz="0" w:space="0" w:color="auto"/>
        <w:left w:val="none" w:sz="0" w:space="0" w:color="auto"/>
        <w:bottom w:val="none" w:sz="0" w:space="0" w:color="auto"/>
        <w:right w:val="none" w:sz="0" w:space="0" w:color="auto"/>
      </w:divBdr>
    </w:div>
    <w:div w:id="1020618272">
      <w:bodyDiv w:val="1"/>
      <w:marLeft w:val="0"/>
      <w:marRight w:val="0"/>
      <w:marTop w:val="0"/>
      <w:marBottom w:val="0"/>
      <w:divBdr>
        <w:top w:val="none" w:sz="0" w:space="0" w:color="auto"/>
        <w:left w:val="none" w:sz="0" w:space="0" w:color="auto"/>
        <w:bottom w:val="none" w:sz="0" w:space="0" w:color="auto"/>
        <w:right w:val="none" w:sz="0" w:space="0" w:color="auto"/>
      </w:divBdr>
    </w:div>
    <w:div w:id="1045374520">
      <w:bodyDiv w:val="1"/>
      <w:marLeft w:val="0"/>
      <w:marRight w:val="0"/>
      <w:marTop w:val="0"/>
      <w:marBottom w:val="0"/>
      <w:divBdr>
        <w:top w:val="none" w:sz="0" w:space="0" w:color="auto"/>
        <w:left w:val="none" w:sz="0" w:space="0" w:color="auto"/>
        <w:bottom w:val="none" w:sz="0" w:space="0" w:color="auto"/>
        <w:right w:val="none" w:sz="0" w:space="0" w:color="auto"/>
      </w:divBdr>
    </w:div>
    <w:div w:id="1089816236">
      <w:bodyDiv w:val="1"/>
      <w:marLeft w:val="0"/>
      <w:marRight w:val="0"/>
      <w:marTop w:val="0"/>
      <w:marBottom w:val="0"/>
      <w:divBdr>
        <w:top w:val="none" w:sz="0" w:space="0" w:color="auto"/>
        <w:left w:val="none" w:sz="0" w:space="0" w:color="auto"/>
        <w:bottom w:val="none" w:sz="0" w:space="0" w:color="auto"/>
        <w:right w:val="none" w:sz="0" w:space="0" w:color="auto"/>
      </w:divBdr>
    </w:div>
    <w:div w:id="1122651592">
      <w:bodyDiv w:val="1"/>
      <w:marLeft w:val="0"/>
      <w:marRight w:val="0"/>
      <w:marTop w:val="0"/>
      <w:marBottom w:val="0"/>
      <w:divBdr>
        <w:top w:val="none" w:sz="0" w:space="0" w:color="auto"/>
        <w:left w:val="none" w:sz="0" w:space="0" w:color="auto"/>
        <w:bottom w:val="none" w:sz="0" w:space="0" w:color="auto"/>
        <w:right w:val="none" w:sz="0" w:space="0" w:color="auto"/>
      </w:divBdr>
    </w:div>
    <w:div w:id="1168522374">
      <w:bodyDiv w:val="1"/>
      <w:marLeft w:val="0"/>
      <w:marRight w:val="0"/>
      <w:marTop w:val="0"/>
      <w:marBottom w:val="0"/>
      <w:divBdr>
        <w:top w:val="none" w:sz="0" w:space="0" w:color="auto"/>
        <w:left w:val="none" w:sz="0" w:space="0" w:color="auto"/>
        <w:bottom w:val="none" w:sz="0" w:space="0" w:color="auto"/>
        <w:right w:val="none" w:sz="0" w:space="0" w:color="auto"/>
      </w:divBdr>
    </w:div>
    <w:div w:id="1249774874">
      <w:bodyDiv w:val="1"/>
      <w:marLeft w:val="0"/>
      <w:marRight w:val="0"/>
      <w:marTop w:val="0"/>
      <w:marBottom w:val="0"/>
      <w:divBdr>
        <w:top w:val="none" w:sz="0" w:space="0" w:color="auto"/>
        <w:left w:val="none" w:sz="0" w:space="0" w:color="auto"/>
        <w:bottom w:val="none" w:sz="0" w:space="0" w:color="auto"/>
        <w:right w:val="none" w:sz="0" w:space="0" w:color="auto"/>
      </w:divBdr>
    </w:div>
    <w:div w:id="1271353100">
      <w:bodyDiv w:val="1"/>
      <w:marLeft w:val="0"/>
      <w:marRight w:val="0"/>
      <w:marTop w:val="0"/>
      <w:marBottom w:val="0"/>
      <w:divBdr>
        <w:top w:val="none" w:sz="0" w:space="0" w:color="auto"/>
        <w:left w:val="none" w:sz="0" w:space="0" w:color="auto"/>
        <w:bottom w:val="none" w:sz="0" w:space="0" w:color="auto"/>
        <w:right w:val="none" w:sz="0" w:space="0" w:color="auto"/>
      </w:divBdr>
    </w:div>
    <w:div w:id="1304919790">
      <w:bodyDiv w:val="1"/>
      <w:marLeft w:val="0"/>
      <w:marRight w:val="0"/>
      <w:marTop w:val="0"/>
      <w:marBottom w:val="0"/>
      <w:divBdr>
        <w:top w:val="none" w:sz="0" w:space="0" w:color="auto"/>
        <w:left w:val="none" w:sz="0" w:space="0" w:color="auto"/>
        <w:bottom w:val="none" w:sz="0" w:space="0" w:color="auto"/>
        <w:right w:val="none" w:sz="0" w:space="0" w:color="auto"/>
      </w:divBdr>
    </w:div>
    <w:div w:id="1320966902">
      <w:bodyDiv w:val="1"/>
      <w:marLeft w:val="0"/>
      <w:marRight w:val="0"/>
      <w:marTop w:val="0"/>
      <w:marBottom w:val="0"/>
      <w:divBdr>
        <w:top w:val="none" w:sz="0" w:space="0" w:color="auto"/>
        <w:left w:val="none" w:sz="0" w:space="0" w:color="auto"/>
        <w:bottom w:val="none" w:sz="0" w:space="0" w:color="auto"/>
        <w:right w:val="none" w:sz="0" w:space="0" w:color="auto"/>
      </w:divBdr>
    </w:div>
    <w:div w:id="1322810954">
      <w:bodyDiv w:val="1"/>
      <w:marLeft w:val="0"/>
      <w:marRight w:val="0"/>
      <w:marTop w:val="0"/>
      <w:marBottom w:val="0"/>
      <w:divBdr>
        <w:top w:val="none" w:sz="0" w:space="0" w:color="auto"/>
        <w:left w:val="none" w:sz="0" w:space="0" w:color="auto"/>
        <w:bottom w:val="none" w:sz="0" w:space="0" w:color="auto"/>
        <w:right w:val="none" w:sz="0" w:space="0" w:color="auto"/>
      </w:divBdr>
    </w:div>
    <w:div w:id="1361935785">
      <w:bodyDiv w:val="1"/>
      <w:marLeft w:val="0"/>
      <w:marRight w:val="0"/>
      <w:marTop w:val="0"/>
      <w:marBottom w:val="0"/>
      <w:divBdr>
        <w:top w:val="none" w:sz="0" w:space="0" w:color="auto"/>
        <w:left w:val="none" w:sz="0" w:space="0" w:color="auto"/>
        <w:bottom w:val="none" w:sz="0" w:space="0" w:color="auto"/>
        <w:right w:val="none" w:sz="0" w:space="0" w:color="auto"/>
      </w:divBdr>
    </w:div>
    <w:div w:id="1410157703">
      <w:bodyDiv w:val="1"/>
      <w:marLeft w:val="0"/>
      <w:marRight w:val="0"/>
      <w:marTop w:val="0"/>
      <w:marBottom w:val="0"/>
      <w:divBdr>
        <w:top w:val="none" w:sz="0" w:space="0" w:color="auto"/>
        <w:left w:val="none" w:sz="0" w:space="0" w:color="auto"/>
        <w:bottom w:val="none" w:sz="0" w:space="0" w:color="auto"/>
        <w:right w:val="none" w:sz="0" w:space="0" w:color="auto"/>
      </w:divBdr>
    </w:div>
    <w:div w:id="1418286774">
      <w:bodyDiv w:val="1"/>
      <w:marLeft w:val="0"/>
      <w:marRight w:val="0"/>
      <w:marTop w:val="0"/>
      <w:marBottom w:val="0"/>
      <w:divBdr>
        <w:top w:val="none" w:sz="0" w:space="0" w:color="auto"/>
        <w:left w:val="none" w:sz="0" w:space="0" w:color="auto"/>
        <w:bottom w:val="none" w:sz="0" w:space="0" w:color="auto"/>
        <w:right w:val="none" w:sz="0" w:space="0" w:color="auto"/>
      </w:divBdr>
    </w:div>
    <w:div w:id="1426732880">
      <w:bodyDiv w:val="1"/>
      <w:marLeft w:val="0"/>
      <w:marRight w:val="0"/>
      <w:marTop w:val="0"/>
      <w:marBottom w:val="0"/>
      <w:divBdr>
        <w:top w:val="none" w:sz="0" w:space="0" w:color="auto"/>
        <w:left w:val="none" w:sz="0" w:space="0" w:color="auto"/>
        <w:bottom w:val="none" w:sz="0" w:space="0" w:color="auto"/>
        <w:right w:val="none" w:sz="0" w:space="0" w:color="auto"/>
      </w:divBdr>
    </w:div>
    <w:div w:id="1427850196">
      <w:bodyDiv w:val="1"/>
      <w:marLeft w:val="0"/>
      <w:marRight w:val="0"/>
      <w:marTop w:val="0"/>
      <w:marBottom w:val="0"/>
      <w:divBdr>
        <w:top w:val="none" w:sz="0" w:space="0" w:color="auto"/>
        <w:left w:val="none" w:sz="0" w:space="0" w:color="auto"/>
        <w:bottom w:val="none" w:sz="0" w:space="0" w:color="auto"/>
        <w:right w:val="none" w:sz="0" w:space="0" w:color="auto"/>
      </w:divBdr>
    </w:div>
    <w:div w:id="1449204326">
      <w:bodyDiv w:val="1"/>
      <w:marLeft w:val="0"/>
      <w:marRight w:val="0"/>
      <w:marTop w:val="0"/>
      <w:marBottom w:val="0"/>
      <w:divBdr>
        <w:top w:val="none" w:sz="0" w:space="0" w:color="auto"/>
        <w:left w:val="none" w:sz="0" w:space="0" w:color="auto"/>
        <w:bottom w:val="none" w:sz="0" w:space="0" w:color="auto"/>
        <w:right w:val="none" w:sz="0" w:space="0" w:color="auto"/>
      </w:divBdr>
    </w:div>
    <w:div w:id="1463889769">
      <w:bodyDiv w:val="1"/>
      <w:marLeft w:val="0"/>
      <w:marRight w:val="0"/>
      <w:marTop w:val="0"/>
      <w:marBottom w:val="0"/>
      <w:divBdr>
        <w:top w:val="none" w:sz="0" w:space="0" w:color="auto"/>
        <w:left w:val="none" w:sz="0" w:space="0" w:color="auto"/>
        <w:bottom w:val="none" w:sz="0" w:space="0" w:color="auto"/>
        <w:right w:val="none" w:sz="0" w:space="0" w:color="auto"/>
      </w:divBdr>
    </w:div>
    <w:div w:id="1469476848">
      <w:bodyDiv w:val="1"/>
      <w:marLeft w:val="0"/>
      <w:marRight w:val="0"/>
      <w:marTop w:val="0"/>
      <w:marBottom w:val="0"/>
      <w:divBdr>
        <w:top w:val="none" w:sz="0" w:space="0" w:color="auto"/>
        <w:left w:val="none" w:sz="0" w:space="0" w:color="auto"/>
        <w:bottom w:val="none" w:sz="0" w:space="0" w:color="auto"/>
        <w:right w:val="none" w:sz="0" w:space="0" w:color="auto"/>
      </w:divBdr>
    </w:div>
    <w:div w:id="1470591921">
      <w:bodyDiv w:val="1"/>
      <w:marLeft w:val="0"/>
      <w:marRight w:val="0"/>
      <w:marTop w:val="0"/>
      <w:marBottom w:val="0"/>
      <w:divBdr>
        <w:top w:val="none" w:sz="0" w:space="0" w:color="auto"/>
        <w:left w:val="none" w:sz="0" w:space="0" w:color="auto"/>
        <w:bottom w:val="none" w:sz="0" w:space="0" w:color="auto"/>
        <w:right w:val="none" w:sz="0" w:space="0" w:color="auto"/>
      </w:divBdr>
    </w:div>
    <w:div w:id="1480227310">
      <w:bodyDiv w:val="1"/>
      <w:marLeft w:val="0"/>
      <w:marRight w:val="0"/>
      <w:marTop w:val="0"/>
      <w:marBottom w:val="0"/>
      <w:divBdr>
        <w:top w:val="none" w:sz="0" w:space="0" w:color="auto"/>
        <w:left w:val="none" w:sz="0" w:space="0" w:color="auto"/>
        <w:bottom w:val="none" w:sz="0" w:space="0" w:color="auto"/>
        <w:right w:val="none" w:sz="0" w:space="0" w:color="auto"/>
      </w:divBdr>
    </w:div>
    <w:div w:id="1487280853">
      <w:bodyDiv w:val="1"/>
      <w:marLeft w:val="0"/>
      <w:marRight w:val="0"/>
      <w:marTop w:val="0"/>
      <w:marBottom w:val="0"/>
      <w:divBdr>
        <w:top w:val="none" w:sz="0" w:space="0" w:color="auto"/>
        <w:left w:val="none" w:sz="0" w:space="0" w:color="auto"/>
        <w:bottom w:val="none" w:sz="0" w:space="0" w:color="auto"/>
        <w:right w:val="none" w:sz="0" w:space="0" w:color="auto"/>
      </w:divBdr>
    </w:div>
    <w:div w:id="1584954320">
      <w:bodyDiv w:val="1"/>
      <w:marLeft w:val="0"/>
      <w:marRight w:val="0"/>
      <w:marTop w:val="0"/>
      <w:marBottom w:val="0"/>
      <w:divBdr>
        <w:top w:val="none" w:sz="0" w:space="0" w:color="auto"/>
        <w:left w:val="none" w:sz="0" w:space="0" w:color="auto"/>
        <w:bottom w:val="none" w:sz="0" w:space="0" w:color="auto"/>
        <w:right w:val="none" w:sz="0" w:space="0" w:color="auto"/>
      </w:divBdr>
    </w:div>
    <w:div w:id="1620457297">
      <w:bodyDiv w:val="1"/>
      <w:marLeft w:val="0"/>
      <w:marRight w:val="0"/>
      <w:marTop w:val="0"/>
      <w:marBottom w:val="0"/>
      <w:divBdr>
        <w:top w:val="none" w:sz="0" w:space="0" w:color="auto"/>
        <w:left w:val="none" w:sz="0" w:space="0" w:color="auto"/>
        <w:bottom w:val="none" w:sz="0" w:space="0" w:color="auto"/>
        <w:right w:val="none" w:sz="0" w:space="0" w:color="auto"/>
      </w:divBdr>
    </w:div>
    <w:div w:id="1631129781">
      <w:bodyDiv w:val="1"/>
      <w:marLeft w:val="0"/>
      <w:marRight w:val="0"/>
      <w:marTop w:val="0"/>
      <w:marBottom w:val="0"/>
      <w:divBdr>
        <w:top w:val="none" w:sz="0" w:space="0" w:color="auto"/>
        <w:left w:val="none" w:sz="0" w:space="0" w:color="auto"/>
        <w:bottom w:val="none" w:sz="0" w:space="0" w:color="auto"/>
        <w:right w:val="none" w:sz="0" w:space="0" w:color="auto"/>
      </w:divBdr>
    </w:div>
    <w:div w:id="1662660355">
      <w:bodyDiv w:val="1"/>
      <w:marLeft w:val="0"/>
      <w:marRight w:val="0"/>
      <w:marTop w:val="0"/>
      <w:marBottom w:val="0"/>
      <w:divBdr>
        <w:top w:val="none" w:sz="0" w:space="0" w:color="auto"/>
        <w:left w:val="none" w:sz="0" w:space="0" w:color="auto"/>
        <w:bottom w:val="none" w:sz="0" w:space="0" w:color="auto"/>
        <w:right w:val="none" w:sz="0" w:space="0" w:color="auto"/>
      </w:divBdr>
    </w:div>
    <w:div w:id="1673027603">
      <w:bodyDiv w:val="1"/>
      <w:marLeft w:val="0"/>
      <w:marRight w:val="0"/>
      <w:marTop w:val="0"/>
      <w:marBottom w:val="0"/>
      <w:divBdr>
        <w:top w:val="none" w:sz="0" w:space="0" w:color="auto"/>
        <w:left w:val="none" w:sz="0" w:space="0" w:color="auto"/>
        <w:bottom w:val="none" w:sz="0" w:space="0" w:color="auto"/>
        <w:right w:val="none" w:sz="0" w:space="0" w:color="auto"/>
      </w:divBdr>
      <w:divsChild>
        <w:div w:id="1000083920">
          <w:marLeft w:val="0"/>
          <w:marRight w:val="0"/>
          <w:marTop w:val="0"/>
          <w:marBottom w:val="0"/>
          <w:divBdr>
            <w:top w:val="none" w:sz="0" w:space="0" w:color="auto"/>
            <w:left w:val="none" w:sz="0" w:space="0" w:color="auto"/>
            <w:bottom w:val="none" w:sz="0" w:space="0" w:color="auto"/>
            <w:right w:val="none" w:sz="0" w:space="0" w:color="auto"/>
          </w:divBdr>
        </w:div>
      </w:divsChild>
    </w:div>
    <w:div w:id="1724332435">
      <w:bodyDiv w:val="1"/>
      <w:marLeft w:val="0"/>
      <w:marRight w:val="0"/>
      <w:marTop w:val="0"/>
      <w:marBottom w:val="0"/>
      <w:divBdr>
        <w:top w:val="none" w:sz="0" w:space="0" w:color="auto"/>
        <w:left w:val="none" w:sz="0" w:space="0" w:color="auto"/>
        <w:bottom w:val="none" w:sz="0" w:space="0" w:color="auto"/>
        <w:right w:val="none" w:sz="0" w:space="0" w:color="auto"/>
      </w:divBdr>
    </w:div>
    <w:div w:id="1734810031">
      <w:bodyDiv w:val="1"/>
      <w:marLeft w:val="0"/>
      <w:marRight w:val="0"/>
      <w:marTop w:val="0"/>
      <w:marBottom w:val="0"/>
      <w:divBdr>
        <w:top w:val="none" w:sz="0" w:space="0" w:color="auto"/>
        <w:left w:val="none" w:sz="0" w:space="0" w:color="auto"/>
        <w:bottom w:val="none" w:sz="0" w:space="0" w:color="auto"/>
        <w:right w:val="none" w:sz="0" w:space="0" w:color="auto"/>
      </w:divBdr>
    </w:div>
    <w:div w:id="1761216668">
      <w:bodyDiv w:val="1"/>
      <w:marLeft w:val="0"/>
      <w:marRight w:val="0"/>
      <w:marTop w:val="0"/>
      <w:marBottom w:val="0"/>
      <w:divBdr>
        <w:top w:val="none" w:sz="0" w:space="0" w:color="auto"/>
        <w:left w:val="none" w:sz="0" w:space="0" w:color="auto"/>
        <w:bottom w:val="none" w:sz="0" w:space="0" w:color="auto"/>
        <w:right w:val="none" w:sz="0" w:space="0" w:color="auto"/>
      </w:divBdr>
    </w:div>
    <w:div w:id="1769613695">
      <w:bodyDiv w:val="1"/>
      <w:marLeft w:val="0"/>
      <w:marRight w:val="0"/>
      <w:marTop w:val="0"/>
      <w:marBottom w:val="0"/>
      <w:divBdr>
        <w:top w:val="none" w:sz="0" w:space="0" w:color="auto"/>
        <w:left w:val="none" w:sz="0" w:space="0" w:color="auto"/>
        <w:bottom w:val="none" w:sz="0" w:space="0" w:color="auto"/>
        <w:right w:val="none" w:sz="0" w:space="0" w:color="auto"/>
      </w:divBdr>
    </w:div>
    <w:div w:id="1776099546">
      <w:bodyDiv w:val="1"/>
      <w:marLeft w:val="0"/>
      <w:marRight w:val="0"/>
      <w:marTop w:val="0"/>
      <w:marBottom w:val="0"/>
      <w:divBdr>
        <w:top w:val="none" w:sz="0" w:space="0" w:color="auto"/>
        <w:left w:val="none" w:sz="0" w:space="0" w:color="auto"/>
        <w:bottom w:val="none" w:sz="0" w:space="0" w:color="auto"/>
        <w:right w:val="none" w:sz="0" w:space="0" w:color="auto"/>
      </w:divBdr>
    </w:div>
    <w:div w:id="1856384450">
      <w:bodyDiv w:val="1"/>
      <w:marLeft w:val="0"/>
      <w:marRight w:val="0"/>
      <w:marTop w:val="0"/>
      <w:marBottom w:val="0"/>
      <w:divBdr>
        <w:top w:val="none" w:sz="0" w:space="0" w:color="auto"/>
        <w:left w:val="none" w:sz="0" w:space="0" w:color="auto"/>
        <w:bottom w:val="none" w:sz="0" w:space="0" w:color="auto"/>
        <w:right w:val="none" w:sz="0" w:space="0" w:color="auto"/>
      </w:divBdr>
    </w:div>
    <w:div w:id="1863088178">
      <w:bodyDiv w:val="1"/>
      <w:marLeft w:val="0"/>
      <w:marRight w:val="0"/>
      <w:marTop w:val="0"/>
      <w:marBottom w:val="0"/>
      <w:divBdr>
        <w:top w:val="none" w:sz="0" w:space="0" w:color="auto"/>
        <w:left w:val="none" w:sz="0" w:space="0" w:color="auto"/>
        <w:bottom w:val="none" w:sz="0" w:space="0" w:color="auto"/>
        <w:right w:val="none" w:sz="0" w:space="0" w:color="auto"/>
      </w:divBdr>
    </w:div>
    <w:div w:id="1870140430">
      <w:bodyDiv w:val="1"/>
      <w:marLeft w:val="0"/>
      <w:marRight w:val="0"/>
      <w:marTop w:val="0"/>
      <w:marBottom w:val="0"/>
      <w:divBdr>
        <w:top w:val="none" w:sz="0" w:space="0" w:color="auto"/>
        <w:left w:val="none" w:sz="0" w:space="0" w:color="auto"/>
        <w:bottom w:val="none" w:sz="0" w:space="0" w:color="auto"/>
        <w:right w:val="none" w:sz="0" w:space="0" w:color="auto"/>
      </w:divBdr>
    </w:div>
    <w:div w:id="1908999843">
      <w:bodyDiv w:val="1"/>
      <w:marLeft w:val="0"/>
      <w:marRight w:val="0"/>
      <w:marTop w:val="0"/>
      <w:marBottom w:val="0"/>
      <w:divBdr>
        <w:top w:val="none" w:sz="0" w:space="0" w:color="auto"/>
        <w:left w:val="none" w:sz="0" w:space="0" w:color="auto"/>
        <w:bottom w:val="none" w:sz="0" w:space="0" w:color="auto"/>
        <w:right w:val="none" w:sz="0" w:space="0" w:color="auto"/>
      </w:divBdr>
    </w:div>
    <w:div w:id="1940135625">
      <w:bodyDiv w:val="1"/>
      <w:marLeft w:val="0"/>
      <w:marRight w:val="0"/>
      <w:marTop w:val="0"/>
      <w:marBottom w:val="0"/>
      <w:divBdr>
        <w:top w:val="none" w:sz="0" w:space="0" w:color="auto"/>
        <w:left w:val="none" w:sz="0" w:space="0" w:color="auto"/>
        <w:bottom w:val="none" w:sz="0" w:space="0" w:color="auto"/>
        <w:right w:val="none" w:sz="0" w:space="0" w:color="auto"/>
      </w:divBdr>
    </w:div>
    <w:div w:id="1948461070">
      <w:bodyDiv w:val="1"/>
      <w:marLeft w:val="0"/>
      <w:marRight w:val="0"/>
      <w:marTop w:val="0"/>
      <w:marBottom w:val="0"/>
      <w:divBdr>
        <w:top w:val="none" w:sz="0" w:space="0" w:color="auto"/>
        <w:left w:val="none" w:sz="0" w:space="0" w:color="auto"/>
        <w:bottom w:val="none" w:sz="0" w:space="0" w:color="auto"/>
        <w:right w:val="none" w:sz="0" w:space="0" w:color="auto"/>
      </w:divBdr>
    </w:div>
    <w:div w:id="1972860622">
      <w:bodyDiv w:val="1"/>
      <w:marLeft w:val="0"/>
      <w:marRight w:val="0"/>
      <w:marTop w:val="0"/>
      <w:marBottom w:val="0"/>
      <w:divBdr>
        <w:top w:val="none" w:sz="0" w:space="0" w:color="auto"/>
        <w:left w:val="none" w:sz="0" w:space="0" w:color="auto"/>
        <w:bottom w:val="none" w:sz="0" w:space="0" w:color="auto"/>
        <w:right w:val="none" w:sz="0" w:space="0" w:color="auto"/>
      </w:divBdr>
    </w:div>
    <w:div w:id="2030519048">
      <w:bodyDiv w:val="1"/>
      <w:marLeft w:val="0"/>
      <w:marRight w:val="0"/>
      <w:marTop w:val="0"/>
      <w:marBottom w:val="0"/>
      <w:divBdr>
        <w:top w:val="none" w:sz="0" w:space="0" w:color="auto"/>
        <w:left w:val="none" w:sz="0" w:space="0" w:color="auto"/>
        <w:bottom w:val="none" w:sz="0" w:space="0" w:color="auto"/>
        <w:right w:val="none" w:sz="0" w:space="0" w:color="auto"/>
      </w:divBdr>
    </w:div>
    <w:div w:id="2035765984">
      <w:bodyDiv w:val="1"/>
      <w:marLeft w:val="0"/>
      <w:marRight w:val="0"/>
      <w:marTop w:val="0"/>
      <w:marBottom w:val="0"/>
      <w:divBdr>
        <w:top w:val="none" w:sz="0" w:space="0" w:color="auto"/>
        <w:left w:val="none" w:sz="0" w:space="0" w:color="auto"/>
        <w:bottom w:val="none" w:sz="0" w:space="0" w:color="auto"/>
        <w:right w:val="none" w:sz="0" w:space="0" w:color="auto"/>
      </w:divBdr>
    </w:div>
    <w:div w:id="2040279218">
      <w:bodyDiv w:val="1"/>
      <w:marLeft w:val="0"/>
      <w:marRight w:val="0"/>
      <w:marTop w:val="0"/>
      <w:marBottom w:val="0"/>
      <w:divBdr>
        <w:top w:val="none" w:sz="0" w:space="0" w:color="auto"/>
        <w:left w:val="none" w:sz="0" w:space="0" w:color="auto"/>
        <w:bottom w:val="none" w:sz="0" w:space="0" w:color="auto"/>
        <w:right w:val="none" w:sz="0" w:space="0" w:color="auto"/>
      </w:divBdr>
    </w:div>
    <w:div w:id="2074308453">
      <w:bodyDiv w:val="1"/>
      <w:marLeft w:val="0"/>
      <w:marRight w:val="0"/>
      <w:marTop w:val="0"/>
      <w:marBottom w:val="0"/>
      <w:divBdr>
        <w:top w:val="none" w:sz="0" w:space="0" w:color="auto"/>
        <w:left w:val="none" w:sz="0" w:space="0" w:color="auto"/>
        <w:bottom w:val="none" w:sz="0" w:space="0" w:color="auto"/>
        <w:right w:val="none" w:sz="0" w:space="0" w:color="auto"/>
      </w:divBdr>
    </w:div>
    <w:div w:id="210313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iew.nl/openCitation/id77a39871c7ec4bd99bf5e0b962ee4d34" TargetMode="External"/><Relationship Id="rId3" Type="http://schemas.openxmlformats.org/officeDocument/2006/relationships/settings" Target="settings.xml"/><Relationship Id="rId7" Type="http://schemas.openxmlformats.org/officeDocument/2006/relationships/hyperlink" Target="https://www.inview.nl/openCitation/id77a39871c7ec4bd99bf5e0b962ee4d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24" Type="http://schemas.openxmlformats.org/officeDocument/2006/relationships/webSetting" Target="webSettings0.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3753-5.html" TargetMode="External"/><Relationship Id="rId7" Type="http://schemas.openxmlformats.org/officeDocument/2006/relationships/hyperlink" Target="https://www.gesetze-im-internet.de/englisch_ao/englisch_ao.html" TargetMode="External"/><Relationship Id="rId2" Type="http://schemas.openxmlformats.org/officeDocument/2006/relationships/hyperlink" Target="https://www.inview.nl/openCitation/id9d318a3fc106cd53ab6021cbaafd899e" TargetMode="External"/><Relationship Id="rId1" Type="http://schemas.openxmlformats.org/officeDocument/2006/relationships/hyperlink" Target="https://www.belastingdienst.nl/wps/wcm/connect/bldcontentnl/themaoverstijgend/brochures_en_publicaties/convenant-belastingdienst-erkenningsregeling-goede-doelen" TargetMode="External"/><Relationship Id="rId6" Type="http://schemas.openxmlformats.org/officeDocument/2006/relationships/hyperlink" Target="https://www.canada.ca/en/revenue-agency/services/charities-giving/charities/revoking-registered-status/revocation-tax-t2046-tax-return.html" TargetMode="External"/><Relationship Id="rId5" Type="http://schemas.openxmlformats.org/officeDocument/2006/relationships/hyperlink" Target="https://wetten.overheid.nl/BWBR0006736/2026-01-01/0" TargetMode="External"/><Relationship Id="rId4" Type="http://schemas.openxmlformats.org/officeDocument/2006/relationships/hyperlink" Target="https://zoek.officielebekendmakingen.nl/kst-33753-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6917</ap:Words>
  <ap:Characters>38044</ap:Characters>
  <ap:DocSecurity>0</ap:DocSecurity>
  <ap:Lines>317</ap:Lines>
  <ap:Paragraphs>89</ap:Paragraphs>
  <ap:ScaleCrop>false</ap:ScaleCrop>
  <ap:HeadingPairs>
    <vt:vector baseType="variant" size="2">
      <vt:variant>
        <vt:lpstr>Titel</vt:lpstr>
      </vt:variant>
      <vt:variant>
        <vt:i4>1</vt:i4>
      </vt:variant>
    </vt:vector>
  </ap:HeadingPairs>
  <ap:TitlesOfParts>
    <vt:vector baseType="lpstr" size="1">
      <vt:lpstr>Brief aan Eerste of Tweede Kamer - Vervolgonderzoek verbetermogelijkheden ANBI-regeling</vt:lpstr>
    </vt:vector>
  </ap:TitlesOfParts>
  <ap:LinksUpToDate>false</ap:LinksUpToDate>
  <ap:CharactersWithSpaces>44872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2026-06-01T13:17:00.0000000Z</dcterms:created>
  <dcterms:modified xsi:type="dcterms:W3CDTF">2026-06-01T13:17:00.0000000Z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Vervolgonderzoek verbetermogelijkheden ANBI-regeling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2026-0000138567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Vervolgonderzoek verbetermogelijkheden ANBI-regeling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2026-01-21T10:47:03Z</vt:lpwstr>
  </property>
  <property fmtid="{D5CDD505-2E9C-101B-9397-08002B2CF9AE}" pid="33" name="MSIP_Label_b2aa6e22-2c82-48c6-bf24-1790f4b9c128_Method">
    <vt:lpwstr>Privileged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be49c746-082e-448b-9715-239a7b17c9d3</vt:lpwstr>
  </property>
  <property fmtid="{D5CDD505-2E9C-101B-9397-08002B2CF9AE}" pid="37" name="MSIP_Label_b2aa6e22-2c82-48c6-bf24-1790f4b9c128_ContentBits">
    <vt:lpwstr>0</vt:lpwstr>
  </property>
  <property fmtid="{D5CDD505-2E9C-101B-9397-08002B2CF9AE}" pid="38" name="MSIP_Label_b2aa6e22-2c82-48c6-bf24-1790f4b9c128_Tag">
    <vt:lpwstr>10, 0, 1, 1</vt:lpwstr>
  </property>
</Properties>
</file>