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A49" w:rsidP="00021A49" w:rsidRDefault="00021A49" w14:paraId="3F39A68D" w14:textId="425B0492">
      <w:pPr>
        <w:contextualSpacing/>
        <w:rPr>
          <w:b/>
          <w:szCs w:val="18"/>
          <w:lang w:val="nl-NL"/>
        </w:rPr>
      </w:pPr>
      <w:bookmarkStart w:name="_Hlk108774585" w:id="0"/>
      <w:r>
        <w:rPr>
          <w:b/>
          <w:szCs w:val="18"/>
          <w:lang w:val="nl-NL"/>
        </w:rPr>
        <w:t xml:space="preserve">GEANNOTEERDE AGENDA RAAD </w:t>
      </w:r>
      <w:r w:rsidR="00E6324F">
        <w:rPr>
          <w:b/>
          <w:szCs w:val="18"/>
          <w:lang w:val="nl-NL"/>
        </w:rPr>
        <w:t xml:space="preserve">ALGEMENE </w:t>
      </w:r>
      <w:r>
        <w:rPr>
          <w:b/>
          <w:szCs w:val="18"/>
          <w:lang w:val="nl-NL"/>
        </w:rPr>
        <w:t xml:space="preserve">ZAKEN VAN </w:t>
      </w:r>
      <w:r w:rsidR="00B32099">
        <w:rPr>
          <w:b/>
          <w:szCs w:val="18"/>
          <w:lang w:val="nl-NL"/>
        </w:rPr>
        <w:t>16 JUNI 2026</w:t>
      </w:r>
      <w:r>
        <w:rPr>
          <w:b/>
          <w:szCs w:val="18"/>
          <w:lang w:val="nl-NL"/>
        </w:rPr>
        <w:t xml:space="preserve"> </w:t>
      </w:r>
    </w:p>
    <w:p w:rsidR="00B32099" w:rsidP="00B32099" w:rsidRDefault="00697E2E" w14:paraId="761FFD74" w14:textId="5F6BF018">
      <w:pPr>
        <w:contextualSpacing/>
        <w:rPr>
          <w:szCs w:val="18"/>
          <w:lang w:val="nl-NL" w:eastAsia="ja-JP"/>
        </w:rPr>
      </w:pPr>
      <w:r>
        <w:rPr>
          <w:szCs w:val="18"/>
          <w:lang w:val="nl-NL" w:eastAsia="ja-JP"/>
        </w:rPr>
        <w:t xml:space="preserve">De Raad Algemene Zaken (RAZ) vindt plaats in Luxemburg op dinsdag 16 juni 2026. Naar verwachting zal de Raad spreken over de voorbereiding voor de Europese Raad, drie verordeningen in het </w:t>
      </w:r>
      <w:r w:rsidR="00FC42DD">
        <w:rPr>
          <w:szCs w:val="18"/>
          <w:lang w:val="nl-NL" w:eastAsia="ja-JP"/>
        </w:rPr>
        <w:t>Meerjarig Financieel Kader (</w:t>
      </w:r>
      <w:r>
        <w:rPr>
          <w:szCs w:val="18"/>
          <w:lang w:val="nl-NL" w:eastAsia="ja-JP"/>
        </w:rPr>
        <w:t>MFK</w:t>
      </w:r>
      <w:r w:rsidR="00FC42DD">
        <w:rPr>
          <w:szCs w:val="18"/>
          <w:lang w:val="nl-NL" w:eastAsia="ja-JP"/>
        </w:rPr>
        <w:t>)</w:t>
      </w:r>
      <w:r>
        <w:rPr>
          <w:szCs w:val="18"/>
          <w:lang w:val="nl-NL" w:eastAsia="ja-JP"/>
        </w:rPr>
        <w:t>,</w:t>
      </w:r>
      <w:r w:rsidR="002175B7">
        <w:rPr>
          <w:szCs w:val="18"/>
          <w:lang w:val="nl-NL" w:eastAsia="ja-JP"/>
        </w:rPr>
        <w:t xml:space="preserve"> het Europees Semester,</w:t>
      </w:r>
      <w:r>
        <w:rPr>
          <w:szCs w:val="18"/>
          <w:lang w:val="nl-NL" w:eastAsia="ja-JP"/>
        </w:rPr>
        <w:t xml:space="preserve"> </w:t>
      </w:r>
      <w:r w:rsidR="002175B7">
        <w:rPr>
          <w:szCs w:val="18"/>
          <w:lang w:val="nl-NL" w:eastAsia="ja-JP"/>
        </w:rPr>
        <w:t xml:space="preserve">de </w:t>
      </w:r>
      <w:r w:rsidR="002175B7">
        <w:rPr>
          <w:i/>
          <w:iCs/>
          <w:szCs w:val="18"/>
          <w:lang w:val="nl-NL" w:eastAsia="ja-JP"/>
        </w:rPr>
        <w:t>One Europe, One Market Roadmap</w:t>
      </w:r>
      <w:r w:rsidR="002175B7">
        <w:rPr>
          <w:szCs w:val="18"/>
          <w:lang w:val="nl-NL" w:eastAsia="ja-JP"/>
        </w:rPr>
        <w:t xml:space="preserve">, het wetgevend programma, en de Artikel 7-procedure van Hongarije. </w:t>
      </w:r>
      <w:r w:rsidRPr="00D30BDC" w:rsidR="002175B7">
        <w:rPr>
          <w:szCs w:val="18"/>
          <w:lang w:val="nl-NL" w:eastAsia="ja-JP"/>
        </w:rPr>
        <w:t xml:space="preserve">En marge van de Raad zal </w:t>
      </w:r>
      <w:r w:rsidRPr="00D30BDC" w:rsidR="007D708B">
        <w:rPr>
          <w:szCs w:val="18"/>
          <w:lang w:val="nl-NL" w:eastAsia="ja-JP"/>
        </w:rPr>
        <w:t>naar verwachting</w:t>
      </w:r>
      <w:r w:rsidRPr="00D30BDC" w:rsidR="002175B7">
        <w:rPr>
          <w:szCs w:val="18"/>
          <w:lang w:val="nl-NL" w:eastAsia="ja-JP"/>
        </w:rPr>
        <w:t xml:space="preserve"> </w:t>
      </w:r>
      <w:r w:rsidR="008C6F44">
        <w:rPr>
          <w:szCs w:val="18"/>
          <w:lang w:val="nl-NL" w:eastAsia="ja-JP"/>
        </w:rPr>
        <w:t xml:space="preserve">een Intergouvernementele Conferentie plaatsvinden met Montenegro om het onder voorbehoud sluiten van </w:t>
      </w:r>
      <w:r w:rsidRPr="00D30BDC" w:rsidR="002175B7">
        <w:rPr>
          <w:szCs w:val="18"/>
          <w:lang w:val="nl-NL" w:eastAsia="ja-JP"/>
        </w:rPr>
        <w:t>hoofdstuk 28 over consumenten- en gezondheidsbescherming</w:t>
      </w:r>
      <w:r w:rsidR="00D30BDC">
        <w:rPr>
          <w:szCs w:val="18"/>
          <w:lang w:val="nl-NL" w:eastAsia="ja-JP"/>
        </w:rPr>
        <w:t xml:space="preserve"> </w:t>
      </w:r>
      <w:r w:rsidR="008C6F44">
        <w:rPr>
          <w:szCs w:val="18"/>
          <w:lang w:val="nl-NL" w:eastAsia="ja-JP"/>
        </w:rPr>
        <w:t>te markeren</w:t>
      </w:r>
      <w:r w:rsidRPr="00D30BDC" w:rsidR="007D708B">
        <w:rPr>
          <w:szCs w:val="18"/>
          <w:lang w:val="nl-NL" w:eastAsia="ja-JP"/>
        </w:rPr>
        <w:t>.</w:t>
      </w:r>
    </w:p>
    <w:p w:rsidR="00697E2E" w:rsidP="00B32099" w:rsidRDefault="00697E2E" w14:paraId="62149EE4" w14:textId="77777777">
      <w:pPr>
        <w:contextualSpacing/>
        <w:rPr>
          <w:szCs w:val="18"/>
          <w:lang w:val="nl-NL" w:eastAsia="ja-JP"/>
        </w:rPr>
      </w:pPr>
    </w:p>
    <w:p w:rsidR="00D0060E" w:rsidP="00B32099" w:rsidRDefault="00D0060E" w14:paraId="179D8502" w14:textId="61BC02B3">
      <w:pPr>
        <w:contextualSpacing/>
        <w:rPr>
          <w:szCs w:val="18"/>
          <w:lang w:val="nl-NL" w:eastAsia="ja-JP"/>
        </w:rPr>
      </w:pPr>
      <w:r>
        <w:rPr>
          <w:b/>
          <w:bCs/>
          <w:szCs w:val="18"/>
          <w:lang w:val="nl-NL" w:eastAsia="ja-JP"/>
        </w:rPr>
        <w:t>Voorbereiding Europese Raad</w:t>
      </w:r>
    </w:p>
    <w:p w:rsidR="00846E25" w:rsidP="00B32099" w:rsidRDefault="00D80F2B" w14:paraId="0707C2E4" w14:textId="36D8E53E">
      <w:pPr>
        <w:contextualSpacing/>
        <w:rPr>
          <w:szCs w:val="18"/>
          <w:lang w:val="nl-NL" w:eastAsia="ja-JP"/>
        </w:rPr>
      </w:pPr>
      <w:r w:rsidRPr="00D80F2B">
        <w:rPr>
          <w:szCs w:val="18"/>
          <w:lang w:val="nl-NL" w:eastAsia="ja-JP"/>
        </w:rPr>
        <w:t xml:space="preserve">De Raad zal de </w:t>
      </w:r>
      <w:r w:rsidRPr="00846E25" w:rsidR="00F32A6E">
        <w:rPr>
          <w:szCs w:val="18"/>
          <w:lang w:val="nl-NL" w:eastAsia="ja-JP"/>
        </w:rPr>
        <w:t xml:space="preserve">Europese Raad (ER) </w:t>
      </w:r>
      <w:r w:rsidRPr="00D80F2B">
        <w:rPr>
          <w:szCs w:val="18"/>
          <w:lang w:val="nl-NL" w:eastAsia="ja-JP"/>
        </w:rPr>
        <w:t xml:space="preserve">van </w:t>
      </w:r>
      <w:r>
        <w:rPr>
          <w:szCs w:val="18"/>
          <w:lang w:val="nl-NL" w:eastAsia="ja-JP"/>
        </w:rPr>
        <w:t>18</w:t>
      </w:r>
      <w:r w:rsidRPr="00D80F2B">
        <w:rPr>
          <w:szCs w:val="18"/>
          <w:lang w:val="nl-NL" w:eastAsia="ja-JP"/>
        </w:rPr>
        <w:t xml:space="preserve"> en </w:t>
      </w:r>
      <w:r>
        <w:rPr>
          <w:szCs w:val="18"/>
          <w:lang w:val="nl-NL" w:eastAsia="ja-JP"/>
        </w:rPr>
        <w:t>19</w:t>
      </w:r>
      <w:r w:rsidRPr="00D80F2B">
        <w:rPr>
          <w:szCs w:val="18"/>
          <w:lang w:val="nl-NL" w:eastAsia="ja-JP"/>
        </w:rPr>
        <w:t xml:space="preserve"> juni aanstaande voorbereiden. Op de agenda van de ER staan momenteel de Russische agressie tegen Oekraïne,</w:t>
      </w:r>
      <w:r>
        <w:rPr>
          <w:szCs w:val="18"/>
          <w:lang w:val="nl-NL" w:eastAsia="ja-JP"/>
        </w:rPr>
        <w:t xml:space="preserve"> </w:t>
      </w:r>
      <w:r w:rsidRPr="00D80F2B">
        <w:rPr>
          <w:szCs w:val="18"/>
          <w:lang w:val="nl-NL" w:eastAsia="ja-JP"/>
        </w:rPr>
        <w:t xml:space="preserve">de situatie in het Midden-Oosten, </w:t>
      </w:r>
      <w:r>
        <w:rPr>
          <w:szCs w:val="18"/>
          <w:lang w:val="nl-NL" w:eastAsia="ja-JP"/>
        </w:rPr>
        <w:t xml:space="preserve">het </w:t>
      </w:r>
      <w:r w:rsidRPr="00846E25" w:rsidR="00F32A6E">
        <w:rPr>
          <w:szCs w:val="18"/>
          <w:lang w:val="nl-NL" w:eastAsia="ja-JP"/>
        </w:rPr>
        <w:t>Meerjarig Financieel Kader (MFK)</w:t>
      </w:r>
      <w:r>
        <w:rPr>
          <w:szCs w:val="18"/>
          <w:lang w:val="nl-NL" w:eastAsia="ja-JP"/>
        </w:rPr>
        <w:t xml:space="preserve">, globale economische uitdagingen, </w:t>
      </w:r>
      <w:r w:rsidRPr="00D80F2B">
        <w:rPr>
          <w:szCs w:val="18"/>
          <w:lang w:val="nl-NL" w:eastAsia="ja-JP"/>
        </w:rPr>
        <w:t xml:space="preserve">Europese veiligheid en defensie, </w:t>
      </w:r>
      <w:r>
        <w:rPr>
          <w:szCs w:val="18"/>
          <w:lang w:val="nl-NL" w:eastAsia="ja-JP"/>
        </w:rPr>
        <w:t>migratie, illegale</w:t>
      </w:r>
      <w:r w:rsidRPr="009C53C7" w:rsidR="009C53C7">
        <w:rPr>
          <w:szCs w:val="18"/>
          <w:lang w:val="nl-NL" w:eastAsia="ja-JP"/>
        </w:rPr>
        <w:t xml:space="preserve"> drugs en georganiseerde drugscriminaliteit</w:t>
      </w:r>
      <w:r w:rsidR="009C53C7">
        <w:rPr>
          <w:szCs w:val="18"/>
          <w:lang w:val="nl-NL" w:eastAsia="ja-JP"/>
        </w:rPr>
        <w:t xml:space="preserve"> </w:t>
      </w:r>
      <w:r>
        <w:rPr>
          <w:szCs w:val="18"/>
          <w:lang w:val="nl-NL" w:eastAsia="ja-JP"/>
        </w:rPr>
        <w:t>en het Europees semester.</w:t>
      </w:r>
      <w:r w:rsidRPr="00D80F2B">
        <w:rPr>
          <w:szCs w:val="18"/>
          <w:lang w:val="nl-NL" w:eastAsia="ja-JP"/>
        </w:rPr>
        <w:t xml:space="preserve"> De inzet van het kabinet </w:t>
      </w:r>
      <w:r>
        <w:rPr>
          <w:szCs w:val="18"/>
          <w:lang w:val="nl-NL" w:eastAsia="ja-JP"/>
        </w:rPr>
        <w:t>zal worden</w:t>
      </w:r>
      <w:r w:rsidRPr="00D80F2B">
        <w:rPr>
          <w:szCs w:val="18"/>
          <w:lang w:val="nl-NL" w:eastAsia="ja-JP"/>
        </w:rPr>
        <w:t xml:space="preserve"> toegelicht in de geannoteerde agenda van de ER</w:t>
      </w:r>
      <w:r w:rsidR="003C2F8B">
        <w:rPr>
          <w:szCs w:val="18"/>
          <w:lang w:val="nl-NL" w:eastAsia="ja-JP"/>
        </w:rPr>
        <w:t xml:space="preserve"> die</w:t>
      </w:r>
      <w:r w:rsidR="00DB6CA7">
        <w:rPr>
          <w:szCs w:val="18"/>
          <w:lang w:val="nl-NL" w:eastAsia="ja-JP"/>
        </w:rPr>
        <w:t xml:space="preserve"> u</w:t>
      </w:r>
      <w:r w:rsidR="003C2F8B">
        <w:rPr>
          <w:szCs w:val="18"/>
          <w:lang w:val="nl-NL" w:eastAsia="ja-JP"/>
        </w:rPr>
        <w:t xml:space="preserve"> conform informatievoorzieningsafspraken toekomt</w:t>
      </w:r>
      <w:r w:rsidRPr="00D80F2B">
        <w:rPr>
          <w:szCs w:val="18"/>
          <w:lang w:val="nl-NL" w:eastAsia="ja-JP"/>
        </w:rPr>
        <w:t>. Nederland zal conform de in de geannoteerde agenda geformuleerde inzet interveniëren tijdens de Raad</w:t>
      </w:r>
      <w:r>
        <w:rPr>
          <w:szCs w:val="18"/>
          <w:lang w:val="nl-NL" w:eastAsia="ja-JP"/>
        </w:rPr>
        <w:t>.</w:t>
      </w:r>
    </w:p>
    <w:p w:rsidR="00922F73" w:rsidP="00B32099" w:rsidRDefault="00922F73" w14:paraId="1814AB3D" w14:textId="77777777">
      <w:pPr>
        <w:contextualSpacing/>
        <w:rPr>
          <w:b/>
          <w:szCs w:val="18"/>
          <w:lang w:val="nl-NL"/>
        </w:rPr>
      </w:pPr>
    </w:p>
    <w:p w:rsidRPr="00FA1F82" w:rsidR="00FA1F82" w:rsidP="00FA1F82" w:rsidRDefault="00B32099" w14:paraId="5F5AE5AC" w14:textId="11A84416">
      <w:pPr>
        <w:contextualSpacing/>
        <w:rPr>
          <w:szCs w:val="18"/>
          <w:lang w:val="nl-NL" w:eastAsia="ja-JP"/>
        </w:rPr>
      </w:pPr>
      <w:r>
        <w:rPr>
          <w:b/>
          <w:szCs w:val="18"/>
          <w:lang w:val="nl-NL"/>
        </w:rPr>
        <w:t xml:space="preserve">Meerjarig Financieel </w:t>
      </w:r>
      <w:r w:rsidRPr="005A7174">
        <w:rPr>
          <w:b/>
          <w:szCs w:val="18"/>
          <w:lang w:val="nl-NL"/>
        </w:rPr>
        <w:t>Kader</w:t>
      </w:r>
      <w:bookmarkEnd w:id="0"/>
      <w:r w:rsidRPr="005A7174" w:rsidR="005A7174">
        <w:rPr>
          <w:b/>
          <w:szCs w:val="18"/>
          <w:lang w:val="nl-NL" w:eastAsia="ja-JP"/>
        </w:rPr>
        <w:t xml:space="preserve"> - </w:t>
      </w:r>
      <w:r w:rsidRPr="00FA1F82" w:rsidR="00FA1F82">
        <w:rPr>
          <w:rFonts w:cs="Times New Roman"/>
          <w:b/>
          <w:szCs w:val="18"/>
          <w:lang w:val="nl-NL" w:eastAsia="ja-JP"/>
        </w:rPr>
        <w:t>Gedeeltelijke algemene oriëntaties</w:t>
      </w:r>
    </w:p>
    <w:p w:rsidRPr="00846E25" w:rsidR="00846E25" w:rsidP="00846E25" w:rsidRDefault="00846E25" w14:paraId="627C5F80" w14:textId="076641DD">
      <w:pPr>
        <w:contextualSpacing/>
        <w:rPr>
          <w:rFonts w:cs="Times New Roman"/>
          <w:szCs w:val="18"/>
          <w:lang w:val="nl-NL" w:eastAsia="ja-JP"/>
        </w:rPr>
      </w:pPr>
      <w:r w:rsidRPr="00846E25">
        <w:rPr>
          <w:rFonts w:cs="Times New Roman"/>
          <w:szCs w:val="18"/>
          <w:lang w:val="nl-NL" w:eastAsia="ja-JP"/>
        </w:rPr>
        <w:t xml:space="preserve">De Raad zal de voortgang bespreken van de onderhandelingen over drie verordeningen in het volgend MFK: het fonds voor Nationale en Regionale Partnerschapsplannen (NRPP), het Europees </w:t>
      </w:r>
      <w:proofErr w:type="spellStart"/>
      <w:r w:rsidRPr="00846E25">
        <w:rPr>
          <w:rFonts w:cs="Times New Roman"/>
          <w:szCs w:val="18"/>
          <w:lang w:val="nl-NL" w:eastAsia="ja-JP"/>
        </w:rPr>
        <w:t>Concurrentievermogenfonds</w:t>
      </w:r>
      <w:proofErr w:type="spellEnd"/>
      <w:r w:rsidRPr="00846E25">
        <w:rPr>
          <w:rFonts w:cs="Times New Roman"/>
          <w:szCs w:val="18"/>
          <w:lang w:val="nl-NL" w:eastAsia="ja-JP"/>
        </w:rPr>
        <w:t xml:space="preserve"> (ECF) en Europa in de wereld (GE). Het Cypriotische voorzitterschap streeft ernaar om tijdens de RAZ in juni een </w:t>
      </w:r>
      <w:r w:rsidR="008C1C75">
        <w:rPr>
          <w:rFonts w:cs="Times New Roman"/>
          <w:szCs w:val="18"/>
          <w:lang w:val="nl-NL" w:eastAsia="ja-JP"/>
        </w:rPr>
        <w:t xml:space="preserve">zogeheten </w:t>
      </w:r>
      <w:r w:rsidRPr="00846E25">
        <w:rPr>
          <w:rFonts w:cs="Times New Roman"/>
          <w:szCs w:val="18"/>
          <w:lang w:val="nl-NL" w:eastAsia="ja-JP"/>
        </w:rPr>
        <w:t xml:space="preserve">gedeeltelijke algemene oriëntatie (PGA) te bereiken, op deze drie verordeningen. Het doel van deze </w:t>
      </w:r>
      <w:proofErr w:type="spellStart"/>
      <w:r w:rsidRPr="00846E25">
        <w:rPr>
          <w:rFonts w:cs="Times New Roman"/>
          <w:szCs w:val="18"/>
          <w:lang w:val="nl-NL" w:eastAsia="ja-JP"/>
        </w:rPr>
        <w:t>PGA’s</w:t>
      </w:r>
      <w:proofErr w:type="spellEnd"/>
      <w:r w:rsidRPr="00846E25">
        <w:rPr>
          <w:rFonts w:cs="Times New Roman"/>
          <w:szCs w:val="18"/>
          <w:lang w:val="nl-NL" w:eastAsia="ja-JP"/>
        </w:rPr>
        <w:t xml:space="preserve"> is het voorlopige standpunt van de Raad vaststellen met betrekking tot bepaalde onderdelen van de wetgevingsvoorstellen van de Commissie en om het </w:t>
      </w:r>
      <w:r w:rsidR="00F07C7C">
        <w:rPr>
          <w:rFonts w:cs="Times New Roman"/>
          <w:szCs w:val="18"/>
          <w:lang w:val="nl-NL" w:eastAsia="ja-JP"/>
        </w:rPr>
        <w:t xml:space="preserve">formele </w:t>
      </w:r>
      <w:r w:rsidRPr="00846E25">
        <w:rPr>
          <w:rFonts w:cs="Times New Roman"/>
          <w:szCs w:val="18"/>
          <w:lang w:val="nl-NL" w:eastAsia="ja-JP"/>
        </w:rPr>
        <w:t xml:space="preserve">onderhandelingsproces tussen de Commissie, de Raad en het Europees Parlement </w:t>
      </w:r>
      <w:r w:rsidR="00481179">
        <w:rPr>
          <w:rFonts w:cs="Times New Roman"/>
          <w:szCs w:val="18"/>
          <w:lang w:val="nl-NL" w:eastAsia="ja-JP"/>
        </w:rPr>
        <w:t>(EP)</w:t>
      </w:r>
      <w:r w:rsidRPr="004325B5" w:rsidR="00481179">
        <w:rPr>
          <w:rFonts w:cs="Times New Roman"/>
          <w:szCs w:val="18"/>
          <w:lang w:val="nl-NL" w:eastAsia="ja-JP"/>
        </w:rPr>
        <w:t xml:space="preserve"> </w:t>
      </w:r>
      <w:r w:rsidRPr="00846E25">
        <w:rPr>
          <w:rFonts w:cs="Times New Roman"/>
          <w:szCs w:val="18"/>
          <w:lang w:val="nl-NL" w:eastAsia="ja-JP"/>
        </w:rPr>
        <w:t xml:space="preserve">te versnellen en te vergemakkelijken. De voorgestelde </w:t>
      </w:r>
      <w:proofErr w:type="spellStart"/>
      <w:r w:rsidRPr="00846E25">
        <w:rPr>
          <w:rFonts w:cs="Times New Roman"/>
          <w:szCs w:val="18"/>
          <w:lang w:val="nl-NL" w:eastAsia="ja-JP"/>
        </w:rPr>
        <w:t>PGA’s</w:t>
      </w:r>
      <w:proofErr w:type="spellEnd"/>
      <w:r w:rsidRPr="00846E25">
        <w:rPr>
          <w:rFonts w:cs="Times New Roman"/>
          <w:szCs w:val="18"/>
          <w:lang w:val="nl-NL" w:eastAsia="ja-JP"/>
        </w:rPr>
        <w:t xml:space="preserve"> </w:t>
      </w:r>
      <w:r w:rsidRPr="008C1C75" w:rsidR="008C1C75">
        <w:rPr>
          <w:rFonts w:cs="Times New Roman"/>
          <w:szCs w:val="18"/>
          <w:lang w:val="nl-NL" w:eastAsia="ja-JP"/>
        </w:rPr>
        <w:t xml:space="preserve">zien met name op de </w:t>
      </w:r>
      <w:r w:rsidR="00F07C7C">
        <w:rPr>
          <w:rFonts w:cs="Times New Roman"/>
          <w:szCs w:val="18"/>
          <w:lang w:val="nl-NL" w:eastAsia="ja-JP"/>
        </w:rPr>
        <w:t>technisch-</w:t>
      </w:r>
      <w:r w:rsidRPr="008C1C75" w:rsidR="008C1C75">
        <w:rPr>
          <w:rFonts w:cs="Times New Roman"/>
          <w:szCs w:val="18"/>
          <w:lang w:val="nl-NL" w:eastAsia="ja-JP"/>
        </w:rPr>
        <w:t>inhoudelijke vormgeving van de</w:t>
      </w:r>
      <w:r w:rsidR="008C1C75">
        <w:rPr>
          <w:rFonts w:cs="Times New Roman"/>
          <w:szCs w:val="18"/>
          <w:lang w:val="nl-NL" w:eastAsia="ja-JP"/>
        </w:rPr>
        <w:t xml:space="preserve"> programma’s</w:t>
      </w:r>
      <w:r w:rsidR="00F07C7C">
        <w:rPr>
          <w:rFonts w:cs="Times New Roman"/>
          <w:szCs w:val="18"/>
          <w:lang w:val="nl-NL" w:eastAsia="ja-JP"/>
        </w:rPr>
        <w:t>. De</w:t>
      </w:r>
      <w:r w:rsidRPr="00846E25">
        <w:rPr>
          <w:rFonts w:cs="Times New Roman"/>
          <w:szCs w:val="18"/>
          <w:lang w:val="nl-NL" w:eastAsia="ja-JP"/>
        </w:rPr>
        <w:t xml:space="preserve"> onderhandelingen over de financiële </w:t>
      </w:r>
      <w:r w:rsidR="008C1C75">
        <w:rPr>
          <w:rFonts w:cs="Times New Roman"/>
          <w:szCs w:val="18"/>
          <w:lang w:val="nl-NL" w:eastAsia="ja-JP"/>
        </w:rPr>
        <w:t xml:space="preserve">en budgettaire </w:t>
      </w:r>
      <w:r w:rsidRPr="00846E25">
        <w:rPr>
          <w:rFonts w:cs="Times New Roman"/>
          <w:szCs w:val="18"/>
          <w:lang w:val="nl-NL" w:eastAsia="ja-JP"/>
        </w:rPr>
        <w:t xml:space="preserve">aspecten en </w:t>
      </w:r>
      <w:r w:rsidR="00F07C7C">
        <w:rPr>
          <w:rFonts w:cs="Times New Roman"/>
          <w:szCs w:val="18"/>
          <w:lang w:val="nl-NL" w:eastAsia="ja-JP"/>
        </w:rPr>
        <w:t xml:space="preserve">de </w:t>
      </w:r>
      <w:r w:rsidR="008C1C75">
        <w:rPr>
          <w:rFonts w:cs="Times New Roman"/>
          <w:szCs w:val="18"/>
          <w:lang w:val="nl-NL" w:eastAsia="ja-JP"/>
        </w:rPr>
        <w:t xml:space="preserve">meest </w:t>
      </w:r>
      <w:r w:rsidRPr="00846E25">
        <w:rPr>
          <w:rFonts w:cs="Times New Roman"/>
          <w:szCs w:val="18"/>
          <w:lang w:val="nl-NL" w:eastAsia="ja-JP"/>
        </w:rPr>
        <w:t xml:space="preserve">politieke punten </w:t>
      </w:r>
      <w:r w:rsidR="00F07C7C">
        <w:rPr>
          <w:rFonts w:cs="Times New Roman"/>
          <w:szCs w:val="18"/>
          <w:lang w:val="nl-NL" w:eastAsia="ja-JP"/>
        </w:rPr>
        <w:t xml:space="preserve">vinden </w:t>
      </w:r>
      <w:r w:rsidRPr="00846E25">
        <w:rPr>
          <w:rFonts w:cs="Times New Roman"/>
          <w:szCs w:val="18"/>
          <w:lang w:val="nl-NL" w:eastAsia="ja-JP"/>
        </w:rPr>
        <w:t xml:space="preserve">in de </w:t>
      </w:r>
      <w:r w:rsidR="00F32A6E">
        <w:rPr>
          <w:rFonts w:cs="Times New Roman"/>
          <w:szCs w:val="18"/>
          <w:lang w:val="nl-NL" w:eastAsia="ja-JP"/>
        </w:rPr>
        <w:t>ER</w:t>
      </w:r>
      <w:r w:rsidRPr="00846E25">
        <w:rPr>
          <w:rFonts w:cs="Times New Roman"/>
          <w:szCs w:val="18"/>
          <w:lang w:val="nl-NL" w:eastAsia="ja-JP"/>
        </w:rPr>
        <w:t xml:space="preserve"> plaats via de </w:t>
      </w:r>
      <w:proofErr w:type="spellStart"/>
      <w:r w:rsidRPr="00BB2BC0">
        <w:rPr>
          <w:rFonts w:cs="Times New Roman"/>
          <w:i/>
          <w:szCs w:val="18"/>
          <w:lang w:val="nl-NL" w:eastAsia="ja-JP"/>
        </w:rPr>
        <w:t>negotiating</w:t>
      </w:r>
      <w:proofErr w:type="spellEnd"/>
      <w:r w:rsidRPr="00BB2BC0">
        <w:rPr>
          <w:rFonts w:cs="Times New Roman"/>
          <w:i/>
          <w:iCs/>
          <w:szCs w:val="18"/>
          <w:lang w:val="nl-NL" w:eastAsia="ja-JP"/>
        </w:rPr>
        <w:t xml:space="preserve"> box</w:t>
      </w:r>
      <w:r w:rsidRPr="00846E25">
        <w:rPr>
          <w:rFonts w:cs="Times New Roman"/>
          <w:szCs w:val="18"/>
          <w:lang w:val="nl-NL" w:eastAsia="ja-JP"/>
        </w:rPr>
        <w:t xml:space="preserve">. De Raad besluit over de drie verordeningen op basis van gekwalificeerde meerderheid, terwijl de besluitvorming over de MFK-verordening en het EMB met unanimiteit plaatsvindt. </w:t>
      </w:r>
      <w:r w:rsidRPr="00846E25" w:rsidR="00F07C7C">
        <w:rPr>
          <w:rFonts w:cs="Times New Roman"/>
          <w:szCs w:val="18"/>
          <w:lang w:val="nl-NL" w:eastAsia="ja-JP"/>
        </w:rPr>
        <w:t xml:space="preserve">De </w:t>
      </w:r>
      <w:r w:rsidR="00F07C7C">
        <w:rPr>
          <w:rFonts w:cs="Times New Roman"/>
          <w:szCs w:val="18"/>
          <w:lang w:val="nl-NL" w:eastAsia="ja-JP"/>
        </w:rPr>
        <w:t>ER</w:t>
      </w:r>
      <w:r w:rsidRPr="00846E25" w:rsidR="00F07C7C">
        <w:rPr>
          <w:rFonts w:cs="Times New Roman"/>
          <w:szCs w:val="18"/>
          <w:lang w:val="nl-NL" w:eastAsia="ja-JP"/>
        </w:rPr>
        <w:t xml:space="preserve"> neemt </w:t>
      </w:r>
      <w:r w:rsidR="00F07C7C">
        <w:rPr>
          <w:rFonts w:cs="Times New Roman"/>
          <w:szCs w:val="18"/>
          <w:lang w:val="nl-NL" w:eastAsia="ja-JP"/>
        </w:rPr>
        <w:t xml:space="preserve">te zijner tijd </w:t>
      </w:r>
      <w:r w:rsidRPr="00846E25" w:rsidR="00F07C7C">
        <w:rPr>
          <w:rFonts w:cs="Times New Roman"/>
          <w:szCs w:val="18"/>
          <w:lang w:val="nl-NL" w:eastAsia="ja-JP"/>
        </w:rPr>
        <w:t xml:space="preserve">de </w:t>
      </w:r>
      <w:proofErr w:type="spellStart"/>
      <w:r w:rsidRPr="00DE1757" w:rsidR="00F07C7C">
        <w:rPr>
          <w:rFonts w:cs="Times New Roman"/>
          <w:i/>
          <w:szCs w:val="18"/>
          <w:lang w:val="nl-NL" w:eastAsia="ja-JP"/>
        </w:rPr>
        <w:t>negotiating</w:t>
      </w:r>
      <w:proofErr w:type="spellEnd"/>
      <w:r w:rsidRPr="00DE1757" w:rsidR="00F07C7C">
        <w:rPr>
          <w:rFonts w:cs="Times New Roman"/>
          <w:i/>
          <w:szCs w:val="18"/>
          <w:lang w:val="nl-NL" w:eastAsia="ja-JP"/>
        </w:rPr>
        <w:t xml:space="preserve"> box</w:t>
      </w:r>
      <w:r w:rsidRPr="00846E25" w:rsidR="00F07C7C">
        <w:rPr>
          <w:rFonts w:cs="Times New Roman"/>
          <w:szCs w:val="18"/>
          <w:lang w:val="nl-NL" w:eastAsia="ja-JP"/>
        </w:rPr>
        <w:t xml:space="preserve"> </w:t>
      </w:r>
      <w:r w:rsidR="00F07C7C">
        <w:rPr>
          <w:rFonts w:cs="Times New Roman"/>
          <w:szCs w:val="18"/>
          <w:lang w:val="nl-NL" w:eastAsia="ja-JP"/>
        </w:rPr>
        <w:t xml:space="preserve">aan </w:t>
      </w:r>
      <w:r w:rsidRPr="00846E25" w:rsidR="00F07C7C">
        <w:rPr>
          <w:rFonts w:cs="Times New Roman"/>
          <w:szCs w:val="18"/>
          <w:lang w:val="nl-NL" w:eastAsia="ja-JP"/>
        </w:rPr>
        <w:t xml:space="preserve">met consensus. </w:t>
      </w:r>
      <w:r w:rsidRPr="008C1C75" w:rsidR="008C1C75">
        <w:rPr>
          <w:rFonts w:cs="Times New Roman"/>
          <w:szCs w:val="18"/>
          <w:lang w:val="nl-NL" w:eastAsia="ja-JP"/>
        </w:rPr>
        <w:t xml:space="preserve">Omdat dit </w:t>
      </w:r>
      <w:r w:rsidR="00F07C7C">
        <w:rPr>
          <w:rFonts w:cs="Times New Roman"/>
          <w:szCs w:val="18"/>
          <w:lang w:val="nl-NL" w:eastAsia="ja-JP"/>
        </w:rPr>
        <w:t>slechts</w:t>
      </w:r>
      <w:r w:rsidRPr="008C1C75" w:rsidR="008C1C75">
        <w:rPr>
          <w:rFonts w:cs="Times New Roman"/>
          <w:szCs w:val="18"/>
          <w:lang w:val="nl-NL" w:eastAsia="ja-JP"/>
        </w:rPr>
        <w:t xml:space="preserve"> een PGA betreft wordt er bij deze aankomende Raad ook nog niet gestemd. </w:t>
      </w:r>
      <w:r w:rsidRPr="00846E25">
        <w:rPr>
          <w:rFonts w:cs="Times New Roman"/>
          <w:szCs w:val="18"/>
          <w:lang w:val="nl-NL" w:eastAsia="ja-JP"/>
        </w:rPr>
        <w:t xml:space="preserve">Tijdens de aankomende </w:t>
      </w:r>
      <w:r w:rsidR="00190E33">
        <w:rPr>
          <w:rFonts w:cs="Times New Roman"/>
          <w:szCs w:val="18"/>
          <w:lang w:val="nl-NL" w:eastAsia="ja-JP"/>
        </w:rPr>
        <w:t>RAZ</w:t>
      </w:r>
      <w:r w:rsidRPr="00846E25">
        <w:rPr>
          <w:rFonts w:cs="Times New Roman"/>
          <w:szCs w:val="18"/>
          <w:lang w:val="nl-NL" w:eastAsia="ja-JP"/>
        </w:rPr>
        <w:t xml:space="preserve"> vindt dus geen besluitvorming plaats over de overkoepelende elementen van het MFK, waaronder de financiële</w:t>
      </w:r>
      <w:r w:rsidR="008C1C75">
        <w:rPr>
          <w:rFonts w:cs="Times New Roman"/>
          <w:szCs w:val="18"/>
          <w:lang w:val="nl-NL" w:eastAsia="ja-JP"/>
        </w:rPr>
        <w:t xml:space="preserve"> elementen</w:t>
      </w:r>
      <w:r w:rsidRPr="00846E25">
        <w:rPr>
          <w:rFonts w:cs="Times New Roman"/>
          <w:szCs w:val="18"/>
          <w:lang w:val="nl-NL" w:eastAsia="ja-JP"/>
        </w:rPr>
        <w:t>.</w:t>
      </w:r>
    </w:p>
    <w:p w:rsidRPr="00846E25" w:rsidR="00846E25" w:rsidP="00846E25" w:rsidRDefault="00846E25" w14:paraId="58689DD8" w14:textId="77777777">
      <w:pPr>
        <w:contextualSpacing/>
        <w:rPr>
          <w:rFonts w:cs="Times New Roman"/>
          <w:szCs w:val="18"/>
          <w:lang w:val="nl-NL" w:eastAsia="ja-JP"/>
        </w:rPr>
      </w:pPr>
    </w:p>
    <w:p w:rsidR="00B32099" w:rsidP="00846E25" w:rsidRDefault="00846E25" w14:paraId="60B0954D" w14:textId="53F6159E">
      <w:pPr>
        <w:contextualSpacing/>
        <w:rPr>
          <w:rFonts w:cs="Times New Roman"/>
          <w:szCs w:val="18"/>
          <w:lang w:val="nl-NL" w:eastAsia="ja-JP"/>
        </w:rPr>
      </w:pPr>
      <w:r w:rsidRPr="00846E25">
        <w:rPr>
          <w:rFonts w:cs="Times New Roman"/>
          <w:szCs w:val="18"/>
          <w:lang w:val="nl-NL" w:eastAsia="ja-JP"/>
        </w:rPr>
        <w:t>Het kabinet kan zich vinden in het streven van het Cypriotisch voorzitterschap om een PGA te bereiken voor het NRPP, ECF en GE en neemt een positi</w:t>
      </w:r>
      <w:r w:rsidR="008C1C75">
        <w:rPr>
          <w:rFonts w:cs="Times New Roman"/>
          <w:szCs w:val="18"/>
          <w:lang w:val="nl-NL" w:eastAsia="ja-JP"/>
        </w:rPr>
        <w:t>eve</w:t>
      </w:r>
      <w:r w:rsidRPr="00846E25">
        <w:rPr>
          <w:rFonts w:cs="Times New Roman"/>
          <w:szCs w:val="18"/>
          <w:lang w:val="nl-NL" w:eastAsia="ja-JP"/>
        </w:rPr>
        <w:t xml:space="preserve"> grondhouding aan. </w:t>
      </w:r>
      <w:bookmarkStart w:name="_Hlk230797036" w:id="1"/>
      <w:r w:rsidRPr="00846E25">
        <w:rPr>
          <w:rFonts w:cs="Times New Roman"/>
          <w:szCs w:val="18"/>
          <w:lang w:val="nl-NL" w:eastAsia="ja-JP"/>
        </w:rPr>
        <w:t xml:space="preserve">De laatste versies van de compromisteksten zijn </w:t>
      </w:r>
      <w:r w:rsidR="008C1C75">
        <w:rPr>
          <w:rFonts w:cs="Times New Roman"/>
          <w:szCs w:val="18"/>
          <w:lang w:val="nl-NL" w:eastAsia="ja-JP"/>
        </w:rPr>
        <w:t>grotendeel</w:t>
      </w:r>
      <w:r w:rsidR="00BC65E6">
        <w:rPr>
          <w:rFonts w:cs="Times New Roman"/>
          <w:szCs w:val="18"/>
          <w:lang w:val="nl-NL" w:eastAsia="ja-JP"/>
        </w:rPr>
        <w:t>s</w:t>
      </w:r>
      <w:r w:rsidR="008C1C75">
        <w:rPr>
          <w:rFonts w:cs="Times New Roman"/>
          <w:szCs w:val="18"/>
          <w:lang w:val="nl-NL" w:eastAsia="ja-JP"/>
        </w:rPr>
        <w:t xml:space="preserve"> </w:t>
      </w:r>
      <w:r w:rsidRPr="00846E25">
        <w:rPr>
          <w:rFonts w:cs="Times New Roman"/>
          <w:szCs w:val="18"/>
          <w:lang w:val="nl-NL" w:eastAsia="ja-JP"/>
        </w:rPr>
        <w:t xml:space="preserve">in lijn met de kabinetsinzet die op 22 mei jl. aan de Kamer is verzonden. </w:t>
      </w:r>
      <w:r w:rsidR="00D517F7">
        <w:rPr>
          <w:rFonts w:cs="Times New Roman"/>
          <w:szCs w:val="18"/>
          <w:lang w:val="nl-NL" w:eastAsia="ja-JP"/>
        </w:rPr>
        <w:t xml:space="preserve">Middels de </w:t>
      </w:r>
      <w:proofErr w:type="spellStart"/>
      <w:r w:rsidR="00D517F7">
        <w:rPr>
          <w:rFonts w:cs="Times New Roman"/>
          <w:szCs w:val="18"/>
          <w:lang w:val="nl-NL" w:eastAsia="ja-JP"/>
        </w:rPr>
        <w:t>PGA’s</w:t>
      </w:r>
      <w:proofErr w:type="spellEnd"/>
      <w:r w:rsidR="00D517F7">
        <w:rPr>
          <w:rFonts w:cs="Times New Roman"/>
          <w:szCs w:val="18"/>
          <w:lang w:val="nl-NL" w:eastAsia="ja-JP"/>
        </w:rPr>
        <w:t xml:space="preserve"> wordt een belangrijk deel van de voorgestelde modernisering en nieuwe architectuur </w:t>
      </w:r>
      <w:r w:rsidR="00F07C7C">
        <w:rPr>
          <w:rFonts w:cs="Times New Roman"/>
          <w:szCs w:val="18"/>
          <w:lang w:val="nl-NL" w:eastAsia="ja-JP"/>
        </w:rPr>
        <w:t xml:space="preserve">bestendigd, in lijn met de inzet van </w:t>
      </w:r>
      <w:r w:rsidRPr="00846E25">
        <w:rPr>
          <w:rFonts w:cs="Times New Roman"/>
          <w:szCs w:val="18"/>
          <w:lang w:val="nl-NL" w:eastAsia="ja-JP"/>
        </w:rPr>
        <w:t>het kabinet</w:t>
      </w:r>
      <w:r w:rsidR="00F07C7C">
        <w:rPr>
          <w:rFonts w:cs="Times New Roman"/>
          <w:szCs w:val="18"/>
          <w:lang w:val="nl-NL" w:eastAsia="ja-JP"/>
        </w:rPr>
        <w:t xml:space="preserve">. </w:t>
      </w:r>
      <w:bookmarkStart w:name="_Hlk230900209" w:id="2"/>
      <w:r w:rsidR="005755C2">
        <w:rPr>
          <w:rFonts w:cs="Times New Roman"/>
          <w:szCs w:val="18"/>
          <w:lang w:val="nl-NL" w:eastAsia="ja-JP"/>
        </w:rPr>
        <w:t>H</w:t>
      </w:r>
      <w:r w:rsidRPr="00846E25">
        <w:rPr>
          <w:rFonts w:cs="Times New Roman"/>
          <w:szCs w:val="18"/>
          <w:lang w:val="nl-NL" w:eastAsia="ja-JP"/>
        </w:rPr>
        <w:t xml:space="preserve">et kabinet </w:t>
      </w:r>
      <w:r w:rsidR="005755C2">
        <w:rPr>
          <w:rFonts w:cs="Times New Roman"/>
          <w:szCs w:val="18"/>
          <w:lang w:val="nl-NL" w:eastAsia="ja-JP"/>
        </w:rPr>
        <w:t>heeft</w:t>
      </w:r>
      <w:r w:rsidRPr="00846E25">
        <w:rPr>
          <w:rFonts w:cs="Times New Roman"/>
          <w:szCs w:val="18"/>
          <w:lang w:val="nl-NL" w:eastAsia="ja-JP"/>
        </w:rPr>
        <w:t xml:space="preserve"> ook nog aandachtspunten in de verordeningen, </w:t>
      </w:r>
      <w:r w:rsidR="008E0D51">
        <w:rPr>
          <w:rFonts w:cs="Times New Roman"/>
          <w:szCs w:val="18"/>
          <w:lang w:val="nl-NL" w:eastAsia="ja-JP"/>
        </w:rPr>
        <w:t xml:space="preserve">onder andere op verdere versterking van rechtsstaat, </w:t>
      </w:r>
      <w:r w:rsidRPr="00846E25">
        <w:rPr>
          <w:rFonts w:cs="Times New Roman"/>
          <w:szCs w:val="18"/>
          <w:lang w:val="nl-NL" w:eastAsia="ja-JP"/>
        </w:rPr>
        <w:t xml:space="preserve">waarvoor het kabinet in de Raad steun probeert te vergaren. </w:t>
      </w:r>
      <w:bookmarkEnd w:id="1"/>
      <w:bookmarkEnd w:id="2"/>
      <w:r w:rsidRPr="00846E25">
        <w:rPr>
          <w:rFonts w:cs="Times New Roman"/>
          <w:szCs w:val="18"/>
          <w:lang w:val="nl-NL" w:eastAsia="ja-JP"/>
        </w:rPr>
        <w:t>Op het moment van schrijven zijn de onderhandelingen over de verschillende verordeningen nog gaande. Zodra de finale teksten voor de RAZ</w:t>
      </w:r>
      <w:r w:rsidR="008A6930">
        <w:rPr>
          <w:rFonts w:cs="Times New Roman"/>
          <w:szCs w:val="18"/>
          <w:lang w:val="nl-NL" w:eastAsia="ja-JP"/>
        </w:rPr>
        <w:t>-</w:t>
      </w:r>
      <w:r w:rsidRPr="00846E25">
        <w:rPr>
          <w:rFonts w:cs="Times New Roman"/>
          <w:szCs w:val="18"/>
          <w:lang w:val="nl-NL" w:eastAsia="ja-JP"/>
        </w:rPr>
        <w:t xml:space="preserve">bespreking gereed zijn, zal het kabinet de balans opmaken en haar definitieve positie innemen. Alhoewel lidstaten hun formele positie nog moeten bepalen, acht het kabinet de kans </w:t>
      </w:r>
      <w:r w:rsidR="005755C2">
        <w:rPr>
          <w:rFonts w:cs="Times New Roman"/>
          <w:szCs w:val="18"/>
          <w:lang w:val="nl-NL" w:eastAsia="ja-JP"/>
        </w:rPr>
        <w:t>aannemelijk</w:t>
      </w:r>
      <w:r w:rsidRPr="00846E25">
        <w:rPr>
          <w:rFonts w:cs="Times New Roman"/>
          <w:szCs w:val="18"/>
          <w:lang w:val="nl-NL" w:eastAsia="ja-JP"/>
        </w:rPr>
        <w:t xml:space="preserve"> dat er in de Raad voldoende steun is voor het bereiken van de </w:t>
      </w:r>
      <w:proofErr w:type="spellStart"/>
      <w:r w:rsidRPr="00846E25">
        <w:rPr>
          <w:rFonts w:cs="Times New Roman"/>
          <w:szCs w:val="18"/>
          <w:lang w:val="nl-NL" w:eastAsia="ja-JP"/>
        </w:rPr>
        <w:t>PGA’s</w:t>
      </w:r>
      <w:proofErr w:type="spellEnd"/>
      <w:r w:rsidRPr="00846E25">
        <w:rPr>
          <w:rFonts w:cs="Times New Roman"/>
          <w:szCs w:val="18"/>
          <w:lang w:val="nl-NL" w:eastAsia="ja-JP"/>
        </w:rPr>
        <w:t xml:space="preserve">. Via </w:t>
      </w:r>
      <w:r w:rsidR="00774CA8">
        <w:rPr>
          <w:rFonts w:cs="Times New Roman"/>
          <w:szCs w:val="18"/>
          <w:lang w:val="nl-NL" w:eastAsia="ja-JP"/>
        </w:rPr>
        <w:t>de beantwoording van</w:t>
      </w:r>
      <w:r w:rsidRPr="00846E25">
        <w:rPr>
          <w:rFonts w:cs="Times New Roman"/>
          <w:szCs w:val="18"/>
          <w:lang w:val="nl-NL" w:eastAsia="ja-JP"/>
        </w:rPr>
        <w:t xml:space="preserve"> het schriftelijk overleg RAZ zal uw Kamer over de laatste stand van zaken worden geïnformeerd.</w:t>
      </w:r>
    </w:p>
    <w:p w:rsidRPr="00FA1F82" w:rsidR="00846E25" w:rsidP="00846E25" w:rsidRDefault="00846E25" w14:paraId="586A4E62" w14:textId="77777777">
      <w:pPr>
        <w:contextualSpacing/>
        <w:rPr>
          <w:rFonts w:cs="Times New Roman"/>
          <w:szCs w:val="18"/>
          <w:lang w:val="nl-NL" w:eastAsia="ja-JP"/>
        </w:rPr>
      </w:pPr>
    </w:p>
    <w:p w:rsidRPr="00DE1757" w:rsidR="00917790" w:rsidRDefault="00917790" w14:paraId="6B0F4B77" w14:textId="43C14062">
      <w:pPr>
        <w:contextualSpacing/>
        <w:rPr>
          <w:rFonts w:cs="Times New Roman"/>
          <w:szCs w:val="18"/>
          <w:lang w:val="nl-NL" w:eastAsia="ja-JP"/>
        </w:rPr>
      </w:pPr>
      <w:r w:rsidRPr="00DE1757">
        <w:rPr>
          <w:rFonts w:cs="Times New Roman"/>
          <w:b/>
          <w:szCs w:val="18"/>
          <w:lang w:val="nl-NL" w:eastAsia="ja-JP"/>
        </w:rPr>
        <w:t>Europees Semester</w:t>
      </w:r>
    </w:p>
    <w:p w:rsidRPr="002142B1" w:rsidR="002142B1" w:rsidP="007174BE" w:rsidRDefault="002142B1" w14:paraId="6F83541D" w14:textId="1D4F3B19">
      <w:pPr>
        <w:contextualSpacing/>
        <w:rPr>
          <w:rFonts w:cs="Times New Roman"/>
          <w:szCs w:val="18"/>
          <w:lang w:val="nl-NL" w:eastAsia="ja-JP"/>
        </w:rPr>
      </w:pPr>
      <w:r w:rsidRPr="002142B1">
        <w:rPr>
          <w:rFonts w:cs="Times New Roman"/>
          <w:szCs w:val="18"/>
          <w:lang w:val="nl-NL" w:eastAsia="ja-JP"/>
        </w:rPr>
        <w:t xml:space="preserve">Op 16 juni zal </w:t>
      </w:r>
      <w:r>
        <w:rPr>
          <w:rFonts w:cs="Times New Roman"/>
          <w:szCs w:val="18"/>
          <w:lang w:val="nl-NL" w:eastAsia="ja-JP"/>
        </w:rPr>
        <w:t xml:space="preserve">in de Raad </w:t>
      </w:r>
      <w:r w:rsidRPr="002142B1">
        <w:rPr>
          <w:rFonts w:cs="Times New Roman"/>
          <w:szCs w:val="18"/>
          <w:lang w:val="nl-NL" w:eastAsia="ja-JP"/>
        </w:rPr>
        <w:t xml:space="preserve">een eerste bespreking plaatsvinden van het zogenaamde lentepakket met de Commissievoorstellen voor </w:t>
      </w:r>
      <w:proofErr w:type="spellStart"/>
      <w:r w:rsidRPr="002142B1">
        <w:rPr>
          <w:rFonts w:cs="Times New Roman"/>
          <w:szCs w:val="18"/>
          <w:lang w:val="nl-NL" w:eastAsia="ja-JP"/>
        </w:rPr>
        <w:t>land</w:t>
      </w:r>
      <w:r w:rsidR="00760090">
        <w:rPr>
          <w:rFonts w:cs="Times New Roman"/>
          <w:szCs w:val="18"/>
          <w:lang w:val="nl-NL" w:eastAsia="ja-JP"/>
        </w:rPr>
        <w:t>en</w:t>
      </w:r>
      <w:r w:rsidRPr="002142B1">
        <w:rPr>
          <w:rFonts w:cs="Times New Roman"/>
          <w:szCs w:val="18"/>
          <w:lang w:val="nl-NL" w:eastAsia="ja-JP"/>
        </w:rPr>
        <w:t>specifieke</w:t>
      </w:r>
      <w:proofErr w:type="spellEnd"/>
      <w:r w:rsidRPr="002142B1">
        <w:rPr>
          <w:rFonts w:cs="Times New Roman"/>
          <w:szCs w:val="18"/>
          <w:lang w:val="nl-NL" w:eastAsia="ja-JP"/>
        </w:rPr>
        <w:t xml:space="preserve"> aanbevelingen </w:t>
      </w:r>
      <w:r w:rsidR="00E0556B">
        <w:rPr>
          <w:rFonts w:cs="Times New Roman"/>
          <w:szCs w:val="18"/>
          <w:lang w:val="nl-NL" w:eastAsia="ja-JP"/>
        </w:rPr>
        <w:t xml:space="preserve">dat de </w:t>
      </w:r>
      <w:r w:rsidRPr="002142B1">
        <w:rPr>
          <w:rFonts w:cs="Times New Roman"/>
          <w:szCs w:val="18"/>
          <w:lang w:val="nl-NL" w:eastAsia="ja-JP"/>
        </w:rPr>
        <w:t>Commissie</w:t>
      </w:r>
      <w:r>
        <w:rPr>
          <w:rFonts w:cs="Times New Roman"/>
          <w:szCs w:val="18"/>
          <w:lang w:val="nl-NL" w:eastAsia="ja-JP"/>
        </w:rPr>
        <w:t xml:space="preserve"> </w:t>
      </w:r>
      <w:r w:rsidRPr="002142B1">
        <w:rPr>
          <w:rFonts w:cs="Times New Roman"/>
          <w:szCs w:val="18"/>
          <w:lang w:val="nl-NL" w:eastAsia="ja-JP"/>
        </w:rPr>
        <w:t>op 3 juni</w:t>
      </w:r>
      <w:r w:rsidR="00E0556B">
        <w:rPr>
          <w:rFonts w:cs="Times New Roman"/>
          <w:szCs w:val="18"/>
          <w:lang w:val="nl-NL" w:eastAsia="ja-JP"/>
        </w:rPr>
        <w:t xml:space="preserve"> publiceert</w:t>
      </w:r>
      <w:r w:rsidRPr="002142B1">
        <w:rPr>
          <w:rFonts w:cs="Times New Roman"/>
          <w:szCs w:val="18"/>
          <w:lang w:val="nl-NL" w:eastAsia="ja-JP"/>
        </w:rPr>
        <w:t xml:space="preserve">. Het kabinet hecht waarde aan het Europees Semester en de </w:t>
      </w:r>
      <w:proofErr w:type="spellStart"/>
      <w:r w:rsidRPr="002142B1">
        <w:rPr>
          <w:rFonts w:cs="Times New Roman"/>
          <w:szCs w:val="18"/>
          <w:lang w:val="nl-NL" w:eastAsia="ja-JP"/>
        </w:rPr>
        <w:t>land</w:t>
      </w:r>
      <w:r w:rsidR="00306BDB">
        <w:rPr>
          <w:rFonts w:cs="Times New Roman"/>
          <w:szCs w:val="18"/>
          <w:lang w:val="nl-NL" w:eastAsia="ja-JP"/>
        </w:rPr>
        <w:t>en</w:t>
      </w:r>
      <w:r w:rsidRPr="002142B1">
        <w:rPr>
          <w:rFonts w:cs="Times New Roman"/>
          <w:szCs w:val="18"/>
          <w:lang w:val="nl-NL" w:eastAsia="ja-JP"/>
        </w:rPr>
        <w:t>specifieke</w:t>
      </w:r>
      <w:proofErr w:type="spellEnd"/>
      <w:r w:rsidRPr="002142B1">
        <w:rPr>
          <w:rFonts w:cs="Times New Roman"/>
          <w:szCs w:val="18"/>
          <w:lang w:val="nl-NL" w:eastAsia="ja-JP"/>
        </w:rPr>
        <w:t xml:space="preserve"> aanbevelingen, omdat de Raad de lidstaten hiermee wijst op belangrijke mogelijkheden om hun financieel-economische beleid te versterken en zo ook het functioneren en stabiliteit van de </w:t>
      </w:r>
      <w:r w:rsidR="0009134F">
        <w:rPr>
          <w:rFonts w:cs="Times New Roman"/>
          <w:szCs w:val="18"/>
          <w:lang w:val="nl-NL" w:eastAsia="ja-JP"/>
        </w:rPr>
        <w:t>Europese Monetaire Unie (</w:t>
      </w:r>
      <w:r w:rsidRPr="002142B1">
        <w:rPr>
          <w:rFonts w:cs="Times New Roman"/>
          <w:szCs w:val="18"/>
          <w:lang w:val="nl-NL" w:eastAsia="ja-JP"/>
        </w:rPr>
        <w:t>EMU</w:t>
      </w:r>
      <w:r w:rsidR="0009134F">
        <w:rPr>
          <w:rFonts w:cs="Times New Roman"/>
          <w:szCs w:val="18"/>
          <w:lang w:val="nl-NL" w:eastAsia="ja-JP"/>
        </w:rPr>
        <w:t>)</w:t>
      </w:r>
      <w:r w:rsidRPr="002142B1">
        <w:rPr>
          <w:rFonts w:cs="Times New Roman"/>
          <w:szCs w:val="18"/>
          <w:lang w:val="nl-NL" w:eastAsia="ja-JP"/>
        </w:rPr>
        <w:t xml:space="preserve"> te versterken. Een uitgebreide toelichting bij en kabinetsappreciatie van het lentepakket volgt met de nazending op de geannoteerde agenda van de Eurogroep en Ecofinraad van 11 en 12 juni.</w:t>
      </w:r>
    </w:p>
    <w:p w:rsidRPr="002142B1" w:rsidR="00917790" w:rsidRDefault="00917790" w14:paraId="4B13DF6C" w14:textId="77777777">
      <w:pPr>
        <w:contextualSpacing/>
        <w:rPr>
          <w:rFonts w:cs="Times New Roman"/>
          <w:szCs w:val="18"/>
          <w:lang w:val="nl-NL" w:eastAsia="ja-JP"/>
        </w:rPr>
      </w:pPr>
    </w:p>
    <w:p w:rsidR="00344200" w:rsidRDefault="00344200" w14:paraId="56AAF88D" w14:textId="77777777">
      <w:pPr>
        <w:rPr>
          <w:rFonts w:cs="Times New Roman"/>
          <w:b/>
          <w:szCs w:val="18"/>
          <w:lang w:val="nl-NL" w:eastAsia="ja-JP"/>
        </w:rPr>
      </w:pPr>
      <w:r>
        <w:rPr>
          <w:rFonts w:cs="Times New Roman"/>
          <w:b/>
          <w:szCs w:val="18"/>
          <w:lang w:val="nl-NL" w:eastAsia="ja-JP"/>
        </w:rPr>
        <w:br w:type="page"/>
      </w:r>
    </w:p>
    <w:p w:rsidRPr="00344200" w:rsidR="00D0060E" w:rsidP="004325B5" w:rsidRDefault="00D0060E" w14:paraId="7C1C1CC5" w14:textId="4000E0FD">
      <w:pPr>
        <w:rPr>
          <w:rFonts w:cs="Times New Roman"/>
          <w:b/>
          <w:szCs w:val="18"/>
          <w:lang w:val="nl-NL" w:eastAsia="ja-JP"/>
        </w:rPr>
      </w:pPr>
      <w:r w:rsidRPr="00DE1757">
        <w:rPr>
          <w:rFonts w:cs="Times New Roman"/>
          <w:b/>
          <w:szCs w:val="18"/>
          <w:lang w:val="nl-NL" w:eastAsia="ja-JP"/>
        </w:rPr>
        <w:lastRenderedPageBreak/>
        <w:t>One Europe</w:t>
      </w:r>
      <w:r w:rsidR="00697E2E">
        <w:rPr>
          <w:rFonts w:cs="Times New Roman"/>
          <w:b/>
          <w:szCs w:val="18"/>
          <w:lang w:val="nl-NL" w:eastAsia="ja-JP"/>
        </w:rPr>
        <w:t>,</w:t>
      </w:r>
      <w:r w:rsidRPr="00DE1757">
        <w:rPr>
          <w:rFonts w:cs="Times New Roman"/>
          <w:b/>
          <w:szCs w:val="18"/>
          <w:lang w:val="nl-NL" w:eastAsia="ja-JP"/>
        </w:rPr>
        <w:t xml:space="preserve"> One Market</w:t>
      </w:r>
      <w:r w:rsidR="00344200">
        <w:rPr>
          <w:rFonts w:cs="Times New Roman"/>
          <w:b/>
          <w:szCs w:val="18"/>
          <w:lang w:val="nl-NL" w:eastAsia="ja-JP"/>
        </w:rPr>
        <w:br/>
      </w:r>
      <w:r w:rsidRPr="004325B5" w:rsidR="004325B5">
        <w:rPr>
          <w:rFonts w:cs="Times New Roman"/>
          <w:szCs w:val="18"/>
          <w:lang w:val="nl-NL" w:eastAsia="ja-JP"/>
        </w:rPr>
        <w:t xml:space="preserve">En marge van de informele ER </w:t>
      </w:r>
      <w:r w:rsidR="004325B5">
        <w:rPr>
          <w:rFonts w:cs="Times New Roman"/>
          <w:szCs w:val="18"/>
          <w:lang w:val="nl-NL" w:eastAsia="ja-JP"/>
        </w:rPr>
        <w:t xml:space="preserve">op 23 en 24 april jl. </w:t>
      </w:r>
      <w:r w:rsidRPr="004325B5" w:rsidR="004325B5">
        <w:rPr>
          <w:rFonts w:cs="Times New Roman"/>
          <w:szCs w:val="18"/>
          <w:lang w:val="nl-NL" w:eastAsia="ja-JP"/>
        </w:rPr>
        <w:t>ondertekenden de president van Cyprus namens de Raad, de</w:t>
      </w:r>
      <w:r w:rsidR="004325B5">
        <w:rPr>
          <w:rFonts w:cs="Times New Roman"/>
          <w:szCs w:val="18"/>
          <w:lang w:val="nl-NL" w:eastAsia="ja-JP"/>
        </w:rPr>
        <w:t xml:space="preserve"> </w:t>
      </w:r>
      <w:r w:rsidRPr="004325B5" w:rsidR="004325B5">
        <w:rPr>
          <w:rFonts w:cs="Times New Roman"/>
          <w:szCs w:val="18"/>
          <w:lang w:val="nl-NL" w:eastAsia="ja-JP"/>
        </w:rPr>
        <w:t xml:space="preserve">voorzitter van de Europese Commissie en de voorzitter van het </w:t>
      </w:r>
      <w:r w:rsidR="00F32A6E">
        <w:rPr>
          <w:rFonts w:cs="Times New Roman"/>
          <w:szCs w:val="18"/>
          <w:lang w:val="nl-NL" w:eastAsia="ja-JP"/>
        </w:rPr>
        <w:t>EP</w:t>
      </w:r>
      <w:r w:rsidRPr="004325B5" w:rsidR="004325B5">
        <w:rPr>
          <w:rFonts w:cs="Times New Roman"/>
          <w:szCs w:val="18"/>
          <w:lang w:val="nl-NL" w:eastAsia="ja-JP"/>
        </w:rPr>
        <w:t xml:space="preserve"> de </w:t>
      </w:r>
      <w:r w:rsidRPr="00DE1757" w:rsidR="004325B5">
        <w:rPr>
          <w:rFonts w:cs="Times New Roman"/>
          <w:i/>
          <w:szCs w:val="18"/>
          <w:lang w:val="nl-NL" w:eastAsia="ja-JP"/>
        </w:rPr>
        <w:t>One Europe</w:t>
      </w:r>
      <w:r w:rsidRPr="004325B5" w:rsidR="004325B5">
        <w:rPr>
          <w:rFonts w:cs="Times New Roman"/>
          <w:szCs w:val="18"/>
          <w:lang w:val="nl-NL" w:eastAsia="ja-JP"/>
        </w:rPr>
        <w:t xml:space="preserve">, </w:t>
      </w:r>
      <w:r w:rsidRPr="00DE1757" w:rsidR="004325B5">
        <w:rPr>
          <w:rFonts w:cs="Times New Roman"/>
          <w:i/>
          <w:szCs w:val="18"/>
          <w:lang w:val="nl-NL" w:eastAsia="ja-JP"/>
        </w:rPr>
        <w:t>One Market Roadmap</w:t>
      </w:r>
      <w:r w:rsidRPr="004325B5" w:rsidR="004325B5">
        <w:rPr>
          <w:rFonts w:cs="Times New Roman"/>
          <w:szCs w:val="18"/>
          <w:lang w:val="nl-NL" w:eastAsia="ja-JP"/>
        </w:rPr>
        <w:t xml:space="preserve">. De </w:t>
      </w:r>
      <w:r w:rsidRPr="00DE1757" w:rsidR="004325B5">
        <w:rPr>
          <w:rFonts w:cs="Times New Roman"/>
          <w:i/>
          <w:szCs w:val="18"/>
          <w:lang w:val="nl-NL" w:eastAsia="ja-JP"/>
        </w:rPr>
        <w:t>Roadmap</w:t>
      </w:r>
      <w:r w:rsidRPr="004325B5" w:rsidR="004325B5">
        <w:rPr>
          <w:rFonts w:cs="Times New Roman"/>
          <w:szCs w:val="18"/>
          <w:lang w:val="nl-NL" w:eastAsia="ja-JP"/>
        </w:rPr>
        <w:t xml:space="preserve"> bevat concrete deadlines en acties ter versterking van</w:t>
      </w:r>
      <w:r w:rsidR="004325B5">
        <w:rPr>
          <w:rFonts w:cs="Times New Roman"/>
          <w:szCs w:val="18"/>
          <w:lang w:val="nl-NL" w:eastAsia="ja-JP"/>
        </w:rPr>
        <w:t xml:space="preserve"> </w:t>
      </w:r>
      <w:r w:rsidRPr="004325B5" w:rsidR="004325B5">
        <w:rPr>
          <w:rFonts w:cs="Times New Roman"/>
          <w:szCs w:val="18"/>
          <w:lang w:val="nl-NL" w:eastAsia="ja-JP"/>
        </w:rPr>
        <w:t xml:space="preserve">het Europees concurrentievermogen. Het document richt zich op vijf pijlers: </w:t>
      </w:r>
      <w:r w:rsidR="00F32A6E">
        <w:rPr>
          <w:rFonts w:cs="Times New Roman"/>
          <w:szCs w:val="18"/>
          <w:lang w:val="nl-NL" w:eastAsia="ja-JP"/>
        </w:rPr>
        <w:t xml:space="preserve">(1) </w:t>
      </w:r>
      <w:r w:rsidRPr="004325B5" w:rsidR="004325B5">
        <w:rPr>
          <w:rFonts w:cs="Times New Roman"/>
          <w:szCs w:val="18"/>
          <w:lang w:val="nl-NL" w:eastAsia="ja-JP"/>
        </w:rPr>
        <w:t>het vereenvoudigen</w:t>
      </w:r>
      <w:r w:rsidR="00F32A6E">
        <w:rPr>
          <w:rFonts w:cs="Times New Roman"/>
          <w:szCs w:val="18"/>
          <w:lang w:val="nl-NL" w:eastAsia="ja-JP"/>
        </w:rPr>
        <w:t xml:space="preserve"> </w:t>
      </w:r>
      <w:r w:rsidRPr="004325B5" w:rsidR="004325B5">
        <w:rPr>
          <w:rFonts w:cs="Times New Roman"/>
          <w:szCs w:val="18"/>
          <w:lang w:val="nl-NL" w:eastAsia="ja-JP"/>
        </w:rPr>
        <w:t xml:space="preserve">van regels; </w:t>
      </w:r>
      <w:r w:rsidR="00F32A6E">
        <w:rPr>
          <w:rFonts w:cs="Times New Roman"/>
          <w:szCs w:val="18"/>
          <w:lang w:val="nl-NL" w:eastAsia="ja-JP"/>
        </w:rPr>
        <w:t xml:space="preserve">(2) </w:t>
      </w:r>
      <w:r w:rsidRPr="004325B5" w:rsidR="004325B5">
        <w:rPr>
          <w:rFonts w:cs="Times New Roman"/>
          <w:szCs w:val="18"/>
          <w:lang w:val="nl-NL" w:eastAsia="ja-JP"/>
        </w:rPr>
        <w:t>een meer geïntegreerde interne markt, onder meer door het aanpakken van de tien</w:t>
      </w:r>
      <w:r w:rsidR="00F32A6E">
        <w:rPr>
          <w:rFonts w:cs="Times New Roman"/>
          <w:szCs w:val="18"/>
          <w:lang w:val="nl-NL" w:eastAsia="ja-JP"/>
        </w:rPr>
        <w:t xml:space="preserve"> </w:t>
      </w:r>
      <w:r w:rsidRPr="004325B5" w:rsidR="004325B5">
        <w:rPr>
          <w:rFonts w:cs="Times New Roman"/>
          <w:szCs w:val="18"/>
          <w:lang w:val="nl-NL" w:eastAsia="ja-JP"/>
        </w:rPr>
        <w:t xml:space="preserve">meest schadelijke </w:t>
      </w:r>
      <w:r w:rsidR="00462ACE">
        <w:rPr>
          <w:rFonts w:cs="Times New Roman"/>
          <w:szCs w:val="18"/>
          <w:lang w:val="nl-NL" w:eastAsia="ja-JP"/>
        </w:rPr>
        <w:t>belemmeringen</w:t>
      </w:r>
      <w:r w:rsidRPr="004325B5" w:rsidR="004325B5">
        <w:rPr>
          <w:rFonts w:cs="Times New Roman"/>
          <w:szCs w:val="18"/>
          <w:lang w:val="nl-NL" w:eastAsia="ja-JP"/>
        </w:rPr>
        <w:t xml:space="preserve">; </w:t>
      </w:r>
      <w:r w:rsidR="00F32A6E">
        <w:rPr>
          <w:rFonts w:cs="Times New Roman"/>
          <w:szCs w:val="18"/>
          <w:lang w:val="nl-NL" w:eastAsia="ja-JP"/>
        </w:rPr>
        <w:t>(3)</w:t>
      </w:r>
      <w:r w:rsidRPr="004325B5" w:rsidR="004325B5">
        <w:rPr>
          <w:rFonts w:cs="Times New Roman"/>
          <w:szCs w:val="18"/>
          <w:lang w:val="nl-NL" w:eastAsia="ja-JP"/>
        </w:rPr>
        <w:t xml:space="preserve"> het versterken van het Europese handelsbeleid; </w:t>
      </w:r>
      <w:r w:rsidR="00F32A6E">
        <w:rPr>
          <w:rFonts w:cs="Times New Roman"/>
          <w:szCs w:val="18"/>
          <w:lang w:val="nl-NL" w:eastAsia="ja-JP"/>
        </w:rPr>
        <w:t xml:space="preserve">(4) </w:t>
      </w:r>
      <w:r w:rsidRPr="004325B5" w:rsidR="004325B5">
        <w:rPr>
          <w:rFonts w:cs="Times New Roman"/>
          <w:szCs w:val="18"/>
          <w:lang w:val="nl-NL" w:eastAsia="ja-JP"/>
        </w:rPr>
        <w:t>het verlagen van</w:t>
      </w:r>
      <w:r w:rsidR="00F32A6E">
        <w:rPr>
          <w:rFonts w:cs="Times New Roman"/>
          <w:szCs w:val="18"/>
          <w:lang w:val="nl-NL" w:eastAsia="ja-JP"/>
        </w:rPr>
        <w:t xml:space="preserve"> </w:t>
      </w:r>
      <w:r w:rsidRPr="004325B5" w:rsidR="004325B5">
        <w:rPr>
          <w:rFonts w:cs="Times New Roman"/>
          <w:szCs w:val="18"/>
          <w:lang w:val="nl-NL" w:eastAsia="ja-JP"/>
        </w:rPr>
        <w:t xml:space="preserve">energieprijzen en het stimuleren van decarbonisatie; </w:t>
      </w:r>
      <w:r w:rsidR="00F32A6E">
        <w:rPr>
          <w:rFonts w:cs="Times New Roman"/>
          <w:szCs w:val="18"/>
          <w:lang w:val="nl-NL" w:eastAsia="ja-JP"/>
        </w:rPr>
        <w:t xml:space="preserve">(5) </w:t>
      </w:r>
      <w:r w:rsidRPr="004325B5" w:rsidR="004325B5">
        <w:rPr>
          <w:rFonts w:cs="Times New Roman"/>
          <w:szCs w:val="18"/>
          <w:lang w:val="nl-NL" w:eastAsia="ja-JP"/>
        </w:rPr>
        <w:t>en het versnellen van de digitale en AI-</w:t>
      </w:r>
      <w:r w:rsidR="00F32A6E">
        <w:rPr>
          <w:rFonts w:cs="Times New Roman"/>
          <w:szCs w:val="18"/>
          <w:lang w:val="nl-NL" w:eastAsia="ja-JP"/>
        </w:rPr>
        <w:t xml:space="preserve"> </w:t>
      </w:r>
      <w:r w:rsidRPr="004325B5" w:rsidR="004325B5">
        <w:rPr>
          <w:rFonts w:cs="Times New Roman"/>
          <w:szCs w:val="18"/>
          <w:lang w:val="nl-NL" w:eastAsia="ja-JP"/>
        </w:rPr>
        <w:t>transformatie.</w:t>
      </w:r>
      <w:r w:rsidR="004325B5">
        <w:rPr>
          <w:rFonts w:cs="Times New Roman"/>
          <w:szCs w:val="18"/>
          <w:lang w:val="nl-NL" w:eastAsia="ja-JP"/>
        </w:rPr>
        <w:t xml:space="preserve"> Het kabinet </w:t>
      </w:r>
      <w:r w:rsidRPr="004325B5" w:rsidR="004325B5">
        <w:rPr>
          <w:rFonts w:cs="Times New Roman"/>
          <w:szCs w:val="18"/>
          <w:lang w:val="nl-NL" w:eastAsia="ja-JP"/>
        </w:rPr>
        <w:t>steun</w:t>
      </w:r>
      <w:r w:rsidR="004325B5">
        <w:rPr>
          <w:rFonts w:cs="Times New Roman"/>
          <w:szCs w:val="18"/>
          <w:lang w:val="nl-NL" w:eastAsia="ja-JP"/>
        </w:rPr>
        <w:t>t</w:t>
      </w:r>
      <w:r w:rsidRPr="004325B5" w:rsidR="004325B5">
        <w:rPr>
          <w:rFonts w:cs="Times New Roman"/>
          <w:szCs w:val="18"/>
          <w:lang w:val="nl-NL" w:eastAsia="ja-JP"/>
        </w:rPr>
        <w:t xml:space="preserve"> de </w:t>
      </w:r>
      <w:r w:rsidRPr="00DE1757" w:rsidR="004325B5">
        <w:rPr>
          <w:rFonts w:cs="Times New Roman"/>
          <w:i/>
          <w:szCs w:val="18"/>
          <w:lang w:val="nl-NL" w:eastAsia="ja-JP"/>
        </w:rPr>
        <w:t>Roadmap</w:t>
      </w:r>
      <w:r w:rsidRPr="004325B5" w:rsidR="004325B5">
        <w:rPr>
          <w:rFonts w:cs="Times New Roman"/>
          <w:szCs w:val="18"/>
          <w:lang w:val="nl-NL" w:eastAsia="ja-JP"/>
        </w:rPr>
        <w:t xml:space="preserve"> en verwelkom</w:t>
      </w:r>
      <w:r w:rsidR="004325B5">
        <w:rPr>
          <w:rFonts w:cs="Times New Roman"/>
          <w:szCs w:val="18"/>
          <w:lang w:val="nl-NL" w:eastAsia="ja-JP"/>
        </w:rPr>
        <w:t>t</w:t>
      </w:r>
      <w:r w:rsidRPr="004325B5" w:rsidR="004325B5">
        <w:rPr>
          <w:rFonts w:cs="Times New Roman"/>
          <w:szCs w:val="18"/>
          <w:lang w:val="nl-NL" w:eastAsia="ja-JP"/>
        </w:rPr>
        <w:t xml:space="preserve"> </w:t>
      </w:r>
      <w:r w:rsidR="00462ACE">
        <w:rPr>
          <w:rFonts w:cs="Times New Roman"/>
          <w:szCs w:val="18"/>
          <w:lang w:val="nl-NL" w:eastAsia="ja-JP"/>
        </w:rPr>
        <w:t>het</w:t>
      </w:r>
      <w:r w:rsidRPr="004325B5" w:rsidR="004325B5">
        <w:rPr>
          <w:rFonts w:cs="Times New Roman"/>
          <w:szCs w:val="18"/>
          <w:lang w:val="nl-NL" w:eastAsia="ja-JP"/>
        </w:rPr>
        <w:t xml:space="preserve"> gezamenlijke </w:t>
      </w:r>
      <w:r w:rsidRPr="00D22F9D" w:rsidR="004325B5">
        <w:rPr>
          <w:rFonts w:cs="Times New Roman"/>
          <w:i/>
          <w:szCs w:val="18"/>
          <w:lang w:val="nl-NL" w:eastAsia="ja-JP"/>
        </w:rPr>
        <w:t>commitment</w:t>
      </w:r>
      <w:r w:rsidRPr="004325B5" w:rsidR="004325B5">
        <w:rPr>
          <w:rFonts w:cs="Times New Roman"/>
          <w:szCs w:val="18"/>
          <w:lang w:val="nl-NL" w:eastAsia="ja-JP"/>
        </w:rPr>
        <w:t xml:space="preserve"> van </w:t>
      </w:r>
      <w:r w:rsidR="00D22F9D">
        <w:rPr>
          <w:rFonts w:cs="Times New Roman"/>
          <w:szCs w:val="18"/>
          <w:lang w:val="nl-NL" w:eastAsia="ja-JP"/>
        </w:rPr>
        <w:t xml:space="preserve">de </w:t>
      </w:r>
      <w:r w:rsidRPr="004325B5" w:rsidR="004325B5">
        <w:rPr>
          <w:rFonts w:cs="Times New Roman"/>
          <w:szCs w:val="18"/>
          <w:lang w:val="nl-NL" w:eastAsia="ja-JP"/>
        </w:rPr>
        <w:t>Raad,</w:t>
      </w:r>
      <w:r w:rsidR="00F32A6E">
        <w:rPr>
          <w:rFonts w:cs="Times New Roman"/>
          <w:szCs w:val="18"/>
          <w:lang w:val="nl-NL" w:eastAsia="ja-JP"/>
        </w:rPr>
        <w:t xml:space="preserve"> </w:t>
      </w:r>
      <w:r w:rsidRPr="004325B5" w:rsidR="004325B5">
        <w:rPr>
          <w:rFonts w:cs="Times New Roman"/>
          <w:szCs w:val="18"/>
          <w:lang w:val="nl-NL" w:eastAsia="ja-JP"/>
        </w:rPr>
        <w:t xml:space="preserve">Commissie en </w:t>
      </w:r>
      <w:r w:rsidR="00F32A6E">
        <w:rPr>
          <w:rFonts w:cs="Times New Roman"/>
          <w:szCs w:val="18"/>
          <w:lang w:val="nl-NL" w:eastAsia="ja-JP"/>
        </w:rPr>
        <w:t>het EP</w:t>
      </w:r>
      <w:r w:rsidRPr="004325B5" w:rsidR="004325B5">
        <w:rPr>
          <w:rFonts w:cs="Times New Roman"/>
          <w:szCs w:val="18"/>
          <w:lang w:val="nl-NL" w:eastAsia="ja-JP"/>
        </w:rPr>
        <w:t xml:space="preserve"> waarmee het aanpakken van ongerechtvaardigde</w:t>
      </w:r>
      <w:r w:rsidR="00F32A6E">
        <w:rPr>
          <w:rFonts w:cs="Times New Roman"/>
          <w:szCs w:val="18"/>
          <w:lang w:val="nl-NL" w:eastAsia="ja-JP"/>
        </w:rPr>
        <w:t xml:space="preserve"> </w:t>
      </w:r>
      <w:r w:rsidRPr="004325B5" w:rsidR="004325B5">
        <w:rPr>
          <w:rFonts w:cs="Times New Roman"/>
          <w:szCs w:val="18"/>
          <w:lang w:val="nl-NL" w:eastAsia="ja-JP"/>
        </w:rPr>
        <w:t xml:space="preserve">belemmeringen hoog op de agenda blijft. </w:t>
      </w:r>
      <w:r w:rsidR="000B3932">
        <w:rPr>
          <w:rFonts w:cs="Times New Roman"/>
          <w:szCs w:val="18"/>
          <w:lang w:val="nl-NL" w:eastAsia="ja-JP"/>
        </w:rPr>
        <w:t xml:space="preserve">Het kabinet </w:t>
      </w:r>
      <w:r w:rsidRPr="004325B5" w:rsidR="004325B5">
        <w:rPr>
          <w:rFonts w:cs="Times New Roman"/>
          <w:szCs w:val="18"/>
          <w:lang w:val="nl-NL" w:eastAsia="ja-JP"/>
        </w:rPr>
        <w:t>zal in dit kader blijvend aandacht vragen voor</w:t>
      </w:r>
      <w:r w:rsidR="00F32A6E">
        <w:rPr>
          <w:rFonts w:cs="Times New Roman"/>
          <w:szCs w:val="18"/>
          <w:lang w:val="nl-NL" w:eastAsia="ja-JP"/>
        </w:rPr>
        <w:t xml:space="preserve"> </w:t>
      </w:r>
      <w:r w:rsidRPr="004325B5" w:rsidR="004325B5">
        <w:rPr>
          <w:rFonts w:cs="Times New Roman"/>
          <w:szCs w:val="18"/>
          <w:lang w:val="nl-NL" w:eastAsia="ja-JP"/>
        </w:rPr>
        <w:t xml:space="preserve">goede en transparante handhaving en voor het voorkomen van </w:t>
      </w:r>
      <w:r w:rsidR="00462ACE">
        <w:rPr>
          <w:rFonts w:cs="Times New Roman"/>
          <w:szCs w:val="18"/>
          <w:lang w:val="nl-NL" w:eastAsia="ja-JP"/>
        </w:rPr>
        <w:t xml:space="preserve">onnodige </w:t>
      </w:r>
      <w:r w:rsidRPr="004325B5" w:rsidR="004325B5">
        <w:rPr>
          <w:rFonts w:cs="Times New Roman"/>
          <w:szCs w:val="18"/>
          <w:lang w:val="nl-NL" w:eastAsia="ja-JP"/>
        </w:rPr>
        <w:t>nieuwe belemmeringen</w:t>
      </w:r>
      <w:r w:rsidR="00462ACE">
        <w:rPr>
          <w:rFonts w:cs="Times New Roman"/>
          <w:szCs w:val="18"/>
          <w:lang w:val="nl-NL" w:eastAsia="ja-JP"/>
        </w:rPr>
        <w:t xml:space="preserve"> op alle beleidsterreinen</w:t>
      </w:r>
      <w:r w:rsidRPr="004325B5" w:rsidR="004325B5">
        <w:rPr>
          <w:rFonts w:cs="Times New Roman"/>
          <w:szCs w:val="18"/>
          <w:lang w:val="nl-NL" w:eastAsia="ja-JP"/>
        </w:rPr>
        <w:t>.</w:t>
      </w:r>
    </w:p>
    <w:p w:rsidRPr="00654149" w:rsidR="00654149" w:rsidDel="00DE71E0" w:rsidP="004325B5" w:rsidRDefault="00DE71E0" w14:paraId="3DE7A40A" w14:textId="31BDD944">
      <w:pPr>
        <w:contextualSpacing/>
        <w:rPr>
          <w:rFonts w:cs="Times New Roman"/>
          <w:b/>
          <w:bCs/>
          <w:szCs w:val="18"/>
          <w:lang w:val="nl-NL" w:eastAsia="ja-JP"/>
        </w:rPr>
      </w:pPr>
      <w:r>
        <w:rPr>
          <w:rFonts w:cs="Times New Roman"/>
          <w:b/>
          <w:bCs/>
          <w:szCs w:val="18"/>
          <w:lang w:val="nl-NL" w:eastAsia="ja-JP"/>
        </w:rPr>
        <w:t>Wetgevingsprogramma</w:t>
      </w:r>
    </w:p>
    <w:p w:rsidRPr="00FF4A83" w:rsidR="00FF4A83" w:rsidP="00FF4A83" w:rsidRDefault="00DE71E0" w14:paraId="387B72B0" w14:textId="7AA25747">
      <w:pPr>
        <w:contextualSpacing/>
        <w:rPr>
          <w:rFonts w:cs="Times New Roman"/>
          <w:szCs w:val="18"/>
          <w:lang w:val="nl-NL" w:eastAsia="ja-JP"/>
        </w:rPr>
      </w:pPr>
      <w:r w:rsidRPr="00DE71E0">
        <w:rPr>
          <w:rFonts w:cs="Times New Roman"/>
          <w:szCs w:val="18"/>
          <w:lang w:val="nl-NL" w:eastAsia="ja-JP"/>
        </w:rPr>
        <w:t xml:space="preserve">De Raad </w:t>
      </w:r>
      <w:r>
        <w:rPr>
          <w:rFonts w:cs="Times New Roman"/>
          <w:szCs w:val="18"/>
          <w:lang w:val="nl-NL" w:eastAsia="ja-JP"/>
        </w:rPr>
        <w:t xml:space="preserve">zal </w:t>
      </w:r>
      <w:r w:rsidR="000F279D">
        <w:rPr>
          <w:rFonts w:cs="Times New Roman"/>
          <w:szCs w:val="18"/>
          <w:lang w:val="nl-NL" w:eastAsia="ja-JP"/>
        </w:rPr>
        <w:t>spreken over</w:t>
      </w:r>
      <w:r>
        <w:rPr>
          <w:rFonts w:cs="Times New Roman"/>
          <w:szCs w:val="18"/>
          <w:lang w:val="nl-NL" w:eastAsia="ja-JP"/>
        </w:rPr>
        <w:t xml:space="preserve"> de </w:t>
      </w:r>
      <w:r w:rsidR="000F279D">
        <w:rPr>
          <w:rFonts w:cs="Times New Roman"/>
          <w:szCs w:val="18"/>
          <w:lang w:val="nl-NL" w:eastAsia="ja-JP"/>
        </w:rPr>
        <w:t>uitvoering</w:t>
      </w:r>
      <w:r>
        <w:rPr>
          <w:rFonts w:cs="Times New Roman"/>
          <w:szCs w:val="18"/>
          <w:lang w:val="nl-NL" w:eastAsia="ja-JP"/>
        </w:rPr>
        <w:t xml:space="preserve"> van het wetgevingsprogramma. </w:t>
      </w:r>
      <w:r w:rsidRPr="003C5C67">
        <w:rPr>
          <w:rFonts w:cs="Times New Roman"/>
          <w:szCs w:val="18"/>
          <w:lang w:val="nl-NL" w:eastAsia="ja-JP"/>
        </w:rPr>
        <w:t xml:space="preserve">Tijdens de ER van 18 en 19 december </w:t>
      </w:r>
      <w:r>
        <w:rPr>
          <w:rFonts w:cs="Times New Roman"/>
          <w:szCs w:val="18"/>
          <w:lang w:val="nl-NL" w:eastAsia="ja-JP"/>
        </w:rPr>
        <w:t>jl.</w:t>
      </w:r>
      <w:r w:rsidRPr="003C5C67">
        <w:rPr>
          <w:rFonts w:cs="Times New Roman"/>
          <w:szCs w:val="18"/>
          <w:lang w:val="nl-NL" w:eastAsia="ja-JP"/>
        </w:rPr>
        <w:t xml:space="preserve"> is </w:t>
      </w:r>
      <w:r w:rsidRPr="00151DA9">
        <w:rPr>
          <w:rFonts w:cs="Times New Roman"/>
          <w:szCs w:val="18"/>
          <w:lang w:val="nl-NL" w:eastAsia="ja-JP"/>
        </w:rPr>
        <w:t xml:space="preserve">de gezamenlijke verklaring </w:t>
      </w:r>
      <w:r>
        <w:rPr>
          <w:rFonts w:cs="Times New Roman"/>
          <w:szCs w:val="18"/>
          <w:lang w:val="nl-NL" w:eastAsia="ja-JP"/>
        </w:rPr>
        <w:t xml:space="preserve">van de Raad, </w:t>
      </w:r>
      <w:r w:rsidRPr="00151DA9">
        <w:rPr>
          <w:rFonts w:cs="Times New Roman"/>
          <w:szCs w:val="18"/>
          <w:lang w:val="nl-NL" w:eastAsia="ja-JP"/>
        </w:rPr>
        <w:t>het EP en de Commissie</w:t>
      </w:r>
      <w:r>
        <w:rPr>
          <w:rStyle w:val="FootnoteReference"/>
          <w:rFonts w:cs="Times New Roman"/>
          <w:szCs w:val="18"/>
          <w:lang w:val="nl-NL" w:eastAsia="ja-JP"/>
        </w:rPr>
        <w:footnoteReference w:id="1"/>
      </w:r>
      <w:r w:rsidRPr="00DE71E0">
        <w:rPr>
          <w:rFonts w:cs="Times New Roman"/>
          <w:szCs w:val="18"/>
          <w:lang w:val="nl-NL" w:eastAsia="ja-JP"/>
        </w:rPr>
        <w:t xml:space="preserve"> </w:t>
      </w:r>
      <w:r w:rsidRPr="003C5C67">
        <w:rPr>
          <w:rFonts w:cs="Times New Roman"/>
          <w:szCs w:val="18"/>
          <w:lang w:val="nl-NL" w:eastAsia="ja-JP"/>
        </w:rPr>
        <w:t>onderteken</w:t>
      </w:r>
      <w:r>
        <w:rPr>
          <w:rFonts w:cs="Times New Roman"/>
          <w:szCs w:val="18"/>
          <w:lang w:val="nl-NL" w:eastAsia="ja-JP"/>
        </w:rPr>
        <w:t xml:space="preserve">d </w:t>
      </w:r>
      <w:r w:rsidRPr="003C5C67">
        <w:rPr>
          <w:rFonts w:cs="Times New Roman"/>
          <w:szCs w:val="18"/>
          <w:lang w:val="nl-NL" w:eastAsia="ja-JP"/>
        </w:rPr>
        <w:t xml:space="preserve">door de voorzitters van </w:t>
      </w:r>
      <w:r>
        <w:rPr>
          <w:rFonts w:cs="Times New Roman"/>
          <w:szCs w:val="18"/>
          <w:lang w:val="nl-NL" w:eastAsia="ja-JP"/>
        </w:rPr>
        <w:t>de drie instellingen</w:t>
      </w:r>
      <w:r w:rsidRPr="003C5C67">
        <w:rPr>
          <w:rFonts w:cs="Times New Roman"/>
          <w:szCs w:val="18"/>
          <w:lang w:val="nl-NL" w:eastAsia="ja-JP"/>
        </w:rPr>
        <w:t>.</w:t>
      </w:r>
      <w:r>
        <w:rPr>
          <w:rFonts w:cs="Times New Roman"/>
          <w:szCs w:val="18"/>
          <w:lang w:val="nl-NL" w:eastAsia="ja-JP"/>
        </w:rPr>
        <w:t xml:space="preserve"> </w:t>
      </w:r>
      <w:r w:rsidRPr="00151DA9">
        <w:rPr>
          <w:rFonts w:cs="Times New Roman"/>
          <w:szCs w:val="18"/>
          <w:lang w:val="nl-NL" w:eastAsia="ja-JP"/>
        </w:rPr>
        <w:t>Deze verklaring voor wetgevende prioriteiten 2026 concentreert zich op zes gebieden</w:t>
      </w:r>
      <w:r w:rsidR="00C73200">
        <w:rPr>
          <w:rFonts w:cs="Times New Roman"/>
          <w:szCs w:val="18"/>
          <w:lang w:val="nl-NL" w:eastAsia="ja-JP"/>
        </w:rPr>
        <w:t>, waaronder D</w:t>
      </w:r>
      <w:r w:rsidR="00CF2B93">
        <w:rPr>
          <w:rFonts w:cs="Times New Roman"/>
          <w:szCs w:val="18"/>
          <w:lang w:val="nl-NL" w:eastAsia="ja-JP"/>
        </w:rPr>
        <w:t xml:space="preserve">efensie en </w:t>
      </w:r>
      <w:r w:rsidR="00847E42">
        <w:rPr>
          <w:rFonts w:cs="Times New Roman"/>
          <w:szCs w:val="18"/>
          <w:lang w:val="nl-NL" w:eastAsia="ja-JP"/>
        </w:rPr>
        <w:t>veiligheid</w:t>
      </w:r>
      <w:r w:rsidR="00CF2B93">
        <w:rPr>
          <w:rFonts w:cs="Times New Roman"/>
          <w:szCs w:val="18"/>
          <w:lang w:val="nl-NL" w:eastAsia="ja-JP"/>
        </w:rPr>
        <w:t>, simplificatie en de bescherming van democratie en waarden.</w:t>
      </w:r>
      <w:r w:rsidRPr="00151DA9">
        <w:rPr>
          <w:rFonts w:cs="Times New Roman"/>
          <w:szCs w:val="18"/>
          <w:lang w:val="nl-NL" w:eastAsia="ja-JP"/>
        </w:rPr>
        <w:t xml:space="preserve"> </w:t>
      </w:r>
      <w:r w:rsidRPr="00151DA9" w:rsidR="00847E42">
        <w:rPr>
          <w:rFonts w:cs="Times New Roman"/>
          <w:szCs w:val="18"/>
          <w:lang w:val="nl-NL" w:eastAsia="ja-JP"/>
        </w:rPr>
        <w:t>Daarnaast is er een lijst met prioritaire voorstellen bijgevoegd.</w:t>
      </w:r>
      <w:r w:rsidR="00847E42">
        <w:rPr>
          <w:rFonts w:cs="Times New Roman"/>
          <w:szCs w:val="18"/>
          <w:lang w:val="nl-NL" w:eastAsia="ja-JP"/>
        </w:rPr>
        <w:t xml:space="preserve"> </w:t>
      </w:r>
      <w:r w:rsidR="00FF4A83">
        <w:rPr>
          <w:rFonts w:cs="Times New Roman"/>
          <w:szCs w:val="18"/>
          <w:lang w:val="nl-NL" w:eastAsia="ja-JP"/>
        </w:rPr>
        <w:t>I</w:t>
      </w:r>
      <w:r w:rsidRPr="00FF4A83" w:rsidR="00FF4A83">
        <w:rPr>
          <w:rFonts w:cs="Times New Roman"/>
          <w:szCs w:val="18"/>
          <w:lang w:val="nl-NL" w:eastAsia="ja-JP"/>
        </w:rPr>
        <w:t>n een tijd van geopolitieke instabiliteit</w:t>
      </w:r>
      <w:r w:rsidR="00FF4A83">
        <w:rPr>
          <w:rFonts w:cs="Times New Roman"/>
          <w:szCs w:val="18"/>
          <w:lang w:val="nl-NL" w:eastAsia="ja-JP"/>
        </w:rPr>
        <w:t xml:space="preserve">, moet de EU </w:t>
      </w:r>
      <w:r w:rsidRPr="00FF4A83" w:rsidR="00FF4A83">
        <w:rPr>
          <w:rFonts w:cs="Times New Roman"/>
          <w:szCs w:val="18"/>
          <w:lang w:val="nl-NL" w:eastAsia="ja-JP"/>
        </w:rPr>
        <w:t xml:space="preserve">slagvaardig, welvarend en veilig blijven. Nederland </w:t>
      </w:r>
      <w:r w:rsidR="00FF4A83">
        <w:rPr>
          <w:rFonts w:cs="Times New Roman"/>
          <w:szCs w:val="18"/>
          <w:lang w:val="nl-NL" w:eastAsia="ja-JP"/>
        </w:rPr>
        <w:t xml:space="preserve">ziet </w:t>
      </w:r>
      <w:r w:rsidRPr="00FF4A83" w:rsidR="00FF4A83">
        <w:rPr>
          <w:rFonts w:cs="Times New Roman"/>
          <w:szCs w:val="18"/>
          <w:lang w:val="nl-NL" w:eastAsia="ja-JP"/>
        </w:rPr>
        <w:t xml:space="preserve">daarbij prioriteiten zoals het versterken van de concurrentiekracht; een modern, betaalbaar en eerlijk MFK; investeringen in defensie en veiligheid; het verminderen van migratiedruk en stimulatie van terugkeer. </w:t>
      </w:r>
      <w:r w:rsidR="000F279D">
        <w:rPr>
          <w:rFonts w:cs="Times New Roman"/>
          <w:szCs w:val="18"/>
          <w:lang w:val="nl-NL" w:eastAsia="ja-JP"/>
        </w:rPr>
        <w:t xml:space="preserve">Ook zal Nederland aandacht vragen voor de problematiek van ruimtelijke ordening en versimpeling van regelgeving. </w:t>
      </w:r>
    </w:p>
    <w:p w:rsidRPr="00846E25" w:rsidR="00654149" w:rsidP="004325B5" w:rsidRDefault="00654149" w14:paraId="7DC3D8C6" w14:textId="77777777">
      <w:pPr>
        <w:contextualSpacing/>
        <w:rPr>
          <w:rFonts w:cs="Times New Roman"/>
          <w:szCs w:val="18"/>
          <w:lang w:val="nl-NL" w:eastAsia="ja-JP"/>
        </w:rPr>
      </w:pPr>
    </w:p>
    <w:p w:rsidR="00D0060E" w:rsidRDefault="00D0060E" w14:paraId="07810FCF" w14:textId="01DB56A4">
      <w:pPr>
        <w:contextualSpacing/>
        <w:rPr>
          <w:rFonts w:cs="Times New Roman"/>
          <w:szCs w:val="18"/>
          <w:lang w:val="nl-NL" w:eastAsia="ja-JP"/>
        </w:rPr>
      </w:pPr>
      <w:r>
        <w:rPr>
          <w:rFonts w:cs="Times New Roman"/>
          <w:b/>
          <w:bCs/>
          <w:szCs w:val="18"/>
          <w:lang w:val="nl-NL" w:eastAsia="ja-JP"/>
        </w:rPr>
        <w:t>Artikel 7-procedure Hongarije</w:t>
      </w:r>
    </w:p>
    <w:p w:rsidR="00B05FEE" w:rsidRDefault="00C92119" w14:paraId="1BC6371A" w14:textId="1429507E">
      <w:pPr>
        <w:contextualSpacing/>
        <w:rPr>
          <w:rFonts w:cs="Times New Roman"/>
          <w:szCs w:val="18"/>
          <w:lang w:val="nl-NL" w:eastAsia="ja-JP"/>
        </w:rPr>
      </w:pPr>
      <w:r>
        <w:rPr>
          <w:rFonts w:cs="Times New Roman"/>
          <w:szCs w:val="18"/>
          <w:lang w:val="nl-NL" w:eastAsia="ja-JP"/>
        </w:rPr>
        <w:t xml:space="preserve">De Raad zal opnieuw </w:t>
      </w:r>
      <w:r w:rsidR="00C76E27">
        <w:rPr>
          <w:rFonts w:cs="Times New Roman"/>
          <w:szCs w:val="18"/>
          <w:lang w:val="nl-NL" w:eastAsia="ja-JP"/>
        </w:rPr>
        <w:t>d</w:t>
      </w:r>
      <w:r>
        <w:rPr>
          <w:rFonts w:cs="Times New Roman"/>
          <w:szCs w:val="18"/>
          <w:lang w:val="nl-NL" w:eastAsia="ja-JP"/>
        </w:rPr>
        <w:t xml:space="preserve">e artikel 7-procedure procedure </w:t>
      </w:r>
      <w:r w:rsidR="00C76E27">
        <w:rPr>
          <w:rFonts w:cs="Times New Roman"/>
          <w:szCs w:val="18"/>
          <w:lang w:val="nl-NL" w:eastAsia="ja-JP"/>
        </w:rPr>
        <w:t xml:space="preserve">bespreken </w:t>
      </w:r>
      <w:r>
        <w:rPr>
          <w:rFonts w:cs="Times New Roman"/>
          <w:szCs w:val="18"/>
          <w:lang w:val="nl-NL" w:eastAsia="ja-JP"/>
        </w:rPr>
        <w:t xml:space="preserve">die tegen Hongarije in 2018 is gestart. </w:t>
      </w:r>
      <w:r w:rsidRPr="00C92119">
        <w:rPr>
          <w:rFonts w:cs="Times New Roman"/>
          <w:szCs w:val="18"/>
          <w:lang w:val="nl-NL" w:eastAsia="ja-JP"/>
        </w:rPr>
        <w:t xml:space="preserve">De artikel 7-procedure tegen Hongarije </w:t>
      </w:r>
      <w:r>
        <w:rPr>
          <w:rFonts w:cs="Times New Roman"/>
          <w:szCs w:val="18"/>
          <w:lang w:val="nl-NL" w:eastAsia="ja-JP"/>
        </w:rPr>
        <w:t>is gericht op de aanhoudende zorgen</w:t>
      </w:r>
      <w:r w:rsidRPr="00C92119">
        <w:rPr>
          <w:rFonts w:cs="Times New Roman"/>
          <w:szCs w:val="18"/>
          <w:lang w:val="nl-NL" w:eastAsia="ja-JP"/>
        </w:rPr>
        <w:t xml:space="preserve"> over onder meer de onafhankelijkheid van de rechterlijke macht, corruptie en belangenverstrengeling, ruimte voor het maatschappelijk middenveld, gelijke rechten voor minderheden, academische vrijheid en mediavrijheid, privacy en gegevensbescherming. </w:t>
      </w:r>
    </w:p>
    <w:p w:rsidR="00201572" w:rsidRDefault="00201572" w14:paraId="156A4089" w14:textId="77777777">
      <w:pPr>
        <w:contextualSpacing/>
        <w:rPr>
          <w:rFonts w:cs="Times New Roman"/>
          <w:szCs w:val="18"/>
          <w:lang w:val="nl-NL" w:eastAsia="ja-JP"/>
        </w:rPr>
      </w:pPr>
    </w:p>
    <w:p w:rsidR="00201572" w:rsidP="00201572" w:rsidRDefault="00201572" w14:paraId="240C6DE9" w14:textId="33ED95FA">
      <w:pPr>
        <w:contextualSpacing/>
        <w:rPr>
          <w:rFonts w:cs="Times New Roman"/>
          <w:szCs w:val="18"/>
          <w:lang w:val="nl-NL" w:eastAsia="ja-JP"/>
        </w:rPr>
      </w:pPr>
      <w:r>
        <w:rPr>
          <w:rFonts w:cs="Times New Roman"/>
          <w:szCs w:val="18"/>
          <w:lang w:val="nl-NL" w:eastAsia="ja-JP"/>
        </w:rPr>
        <w:t xml:space="preserve">Tijdens de Raad van 26 mei jl. gaf Hongarije al een toelichting op de maatregelen waar de nieuwe Hongaarse regering aan werkt om de Europese waarden te beschermen en de rechtsstaat te herstellen. Naar verwachting zal Hongarije tijdens deze Raad de voortgang van deze en andere maatregelen toelichten en zullen de Commissie en de lidstaten daarop reageren.  </w:t>
      </w:r>
    </w:p>
    <w:p w:rsidR="00C92119" w:rsidRDefault="00C92119" w14:paraId="1872B8BA" w14:textId="77777777">
      <w:pPr>
        <w:contextualSpacing/>
        <w:rPr>
          <w:rFonts w:cs="Times New Roman"/>
          <w:szCs w:val="18"/>
          <w:lang w:val="nl-NL" w:eastAsia="ja-JP"/>
        </w:rPr>
      </w:pPr>
    </w:p>
    <w:p w:rsidR="00201572" w:rsidRDefault="0029699D" w14:paraId="04759B5A" w14:textId="49165D12">
      <w:pPr>
        <w:contextualSpacing/>
        <w:rPr>
          <w:rFonts w:cs="Times New Roman"/>
          <w:szCs w:val="18"/>
          <w:lang w:val="nl-NL" w:eastAsia="ja-JP"/>
        </w:rPr>
      </w:pPr>
      <w:r>
        <w:rPr>
          <w:rFonts w:cs="Times New Roman"/>
          <w:szCs w:val="18"/>
          <w:lang w:val="nl-NL" w:eastAsia="ja-JP"/>
        </w:rPr>
        <w:t xml:space="preserve">Er </w:t>
      </w:r>
      <w:r w:rsidR="00201572">
        <w:rPr>
          <w:rFonts w:cs="Times New Roman"/>
          <w:szCs w:val="18"/>
          <w:lang w:val="nl-NL" w:eastAsia="ja-JP"/>
        </w:rPr>
        <w:t xml:space="preserve">bestaan serieuze zorgen over de </w:t>
      </w:r>
      <w:r w:rsidRPr="008B3AC0" w:rsidR="008B3AC0">
        <w:rPr>
          <w:rFonts w:cs="Times New Roman"/>
          <w:szCs w:val="18"/>
          <w:lang w:val="nl-NL" w:eastAsia="ja-JP"/>
        </w:rPr>
        <w:t>rechtsstaat in Hongarije. Daarover is uw Kamer onder meer geïnformeerd in de kabinetsappreciatie van 29 augustus jl. over het horizontale deel van het rechtsstaatrapport 2025.</w:t>
      </w:r>
      <w:r w:rsidR="008B3AC0">
        <w:rPr>
          <w:rStyle w:val="FootnoteReference"/>
          <w:rFonts w:cs="Times New Roman"/>
          <w:szCs w:val="18"/>
          <w:lang w:val="nl-NL" w:eastAsia="ja-JP"/>
        </w:rPr>
        <w:footnoteReference w:id="2"/>
      </w:r>
      <w:r w:rsidRPr="008B3AC0" w:rsidR="008B3AC0">
        <w:rPr>
          <w:rFonts w:cs="Times New Roman"/>
          <w:szCs w:val="18"/>
          <w:lang w:val="nl-NL" w:eastAsia="ja-JP"/>
        </w:rPr>
        <w:t xml:space="preserve"> </w:t>
      </w:r>
      <w:r w:rsidRPr="00201572">
        <w:rPr>
          <w:rFonts w:cs="Times New Roman"/>
          <w:szCs w:val="18"/>
          <w:lang w:val="nl-NL" w:eastAsia="ja-JP"/>
        </w:rPr>
        <w:t xml:space="preserve">De uitslag van de Hongaarse verkiezingen is een hoopgevende ontwikkeling. Het markeert een nieuwe richting voor Hongarije binnen de EU. </w:t>
      </w:r>
      <w:r>
        <w:rPr>
          <w:rFonts w:cs="Times New Roman"/>
          <w:szCs w:val="18"/>
          <w:lang w:val="nl-NL" w:eastAsia="ja-JP"/>
        </w:rPr>
        <w:t xml:space="preserve">Op basis van de eerste stappen is het kabinet positief over de tot nu toe getoonde inzet. </w:t>
      </w:r>
      <w:r w:rsidRPr="00201572">
        <w:rPr>
          <w:rFonts w:cs="Times New Roman"/>
          <w:szCs w:val="18"/>
          <w:lang w:val="nl-NL" w:eastAsia="ja-JP"/>
        </w:rPr>
        <w:t>Het kabinet kijkt positief uit naar de samenwerking met de regering onder leiding van premier Magyar.</w:t>
      </w:r>
      <w:r>
        <w:rPr>
          <w:rFonts w:cs="Times New Roman"/>
          <w:szCs w:val="18"/>
          <w:lang w:val="nl-NL" w:eastAsia="ja-JP"/>
        </w:rPr>
        <w:t xml:space="preserve"> </w:t>
      </w:r>
      <w:r w:rsidR="005415D2">
        <w:rPr>
          <w:rFonts w:cs="Times New Roman"/>
          <w:szCs w:val="18"/>
          <w:lang w:val="nl-NL" w:eastAsia="ja-JP"/>
        </w:rPr>
        <w:t xml:space="preserve">Om de relatie tussen Hongarije en Nederland opnieuw vorm te geven zal de </w:t>
      </w:r>
      <w:r w:rsidR="002D5316">
        <w:rPr>
          <w:rFonts w:cs="Times New Roman"/>
          <w:szCs w:val="18"/>
          <w:lang w:val="nl-NL" w:eastAsia="ja-JP"/>
        </w:rPr>
        <w:t>m</w:t>
      </w:r>
      <w:r w:rsidR="005415D2">
        <w:rPr>
          <w:rFonts w:cs="Times New Roman"/>
          <w:szCs w:val="18"/>
          <w:lang w:val="nl-NL" w:eastAsia="ja-JP"/>
        </w:rPr>
        <w:t xml:space="preserve">inister van Buitenlandse Zaken op 1 juni ook Boedapest bezoeken om met de nieuwe collega’s en maatschappelijke organisaties gesprekken te voeren. </w:t>
      </w:r>
      <w:r>
        <w:rPr>
          <w:rFonts w:cs="Times New Roman"/>
          <w:szCs w:val="18"/>
          <w:lang w:val="nl-NL" w:eastAsia="ja-JP"/>
        </w:rPr>
        <w:t xml:space="preserve">Tegelijkertijd is het kabinet van mening dat eerst alle benodigde hervormingen doorgevoerd moeten worden voordat de artikel 7-procedure kan worden afgerond. </w:t>
      </w:r>
    </w:p>
    <w:p w:rsidR="0029699D" w:rsidRDefault="0029699D" w14:paraId="7AFF79BF" w14:textId="75FE993B">
      <w:pPr>
        <w:contextualSpacing/>
        <w:rPr>
          <w:rFonts w:cs="Times New Roman"/>
          <w:szCs w:val="18"/>
          <w:lang w:val="nl-NL" w:eastAsia="ja-JP"/>
        </w:rPr>
      </w:pPr>
    </w:p>
    <w:p w:rsidRPr="008B3AC0" w:rsidR="008B3AC0" w:rsidRDefault="00201572" w14:paraId="423A8C89" w14:textId="022F89E9">
      <w:pPr>
        <w:contextualSpacing/>
        <w:rPr>
          <w:rFonts w:cs="Times New Roman"/>
          <w:szCs w:val="18"/>
          <w:lang w:val="nl-NL" w:eastAsia="ja-JP"/>
        </w:rPr>
      </w:pPr>
      <w:r w:rsidRPr="00C76E27">
        <w:rPr>
          <w:rFonts w:cs="Times New Roman"/>
          <w:szCs w:val="18"/>
          <w:lang w:val="nl-NL" w:eastAsia="ja-JP"/>
        </w:rPr>
        <w:t>Conform de motie-Van Lanschot</w:t>
      </w:r>
      <w:r>
        <w:rPr>
          <w:rStyle w:val="FootnoteReference"/>
          <w:rFonts w:cs="Times New Roman"/>
          <w:szCs w:val="18"/>
          <w:lang w:val="nl-NL" w:eastAsia="ja-JP"/>
        </w:rPr>
        <w:footnoteReference w:id="3"/>
      </w:r>
      <w:r w:rsidRPr="00C76E27">
        <w:rPr>
          <w:rFonts w:cs="Times New Roman"/>
          <w:szCs w:val="18"/>
          <w:lang w:val="nl-NL" w:eastAsia="ja-JP"/>
        </w:rPr>
        <w:t xml:space="preserve"> is het voor het kabinet van belang dat Hongarije de rechtsstaat duurzaam herstelt</w:t>
      </w:r>
      <w:r>
        <w:rPr>
          <w:rFonts w:cs="Times New Roman"/>
          <w:szCs w:val="18"/>
          <w:lang w:val="nl-NL" w:eastAsia="ja-JP"/>
        </w:rPr>
        <w:t xml:space="preserve">, </w:t>
      </w:r>
      <w:r w:rsidRPr="00C76E27">
        <w:rPr>
          <w:rFonts w:cs="Times New Roman"/>
          <w:szCs w:val="18"/>
          <w:lang w:val="nl-NL" w:eastAsia="ja-JP"/>
        </w:rPr>
        <w:t>zich opnieuw aansluit bij de Europese waarden</w:t>
      </w:r>
      <w:r>
        <w:rPr>
          <w:rFonts w:cs="Times New Roman"/>
          <w:szCs w:val="18"/>
          <w:lang w:val="nl-NL" w:eastAsia="ja-JP"/>
        </w:rPr>
        <w:t xml:space="preserve"> en </w:t>
      </w:r>
      <w:r w:rsidRPr="0029699D" w:rsidR="0029699D">
        <w:rPr>
          <w:rFonts w:cs="Times New Roman"/>
          <w:szCs w:val="18"/>
          <w:lang w:val="nl-NL" w:eastAsia="ja-JP"/>
        </w:rPr>
        <w:t xml:space="preserve">het Gemeenschappelijk buitenlands- en veiligheidsbeleid. Dit betekent onder meer steun aan Oekraïne en sancties tegen Rusland en het doorvoeren van </w:t>
      </w:r>
      <w:r>
        <w:rPr>
          <w:rFonts w:cs="Times New Roman"/>
          <w:szCs w:val="18"/>
          <w:lang w:val="nl-NL" w:eastAsia="ja-JP"/>
        </w:rPr>
        <w:t xml:space="preserve">hervormingen om te voldoen aan de voorwaarden voor Europese financiering. In een gezamenlijke Benelux-interventie zal deze lijn dan ook worden uitgedragen en zal aandacht worden gevraagd voor </w:t>
      </w:r>
      <w:r w:rsidR="00330495">
        <w:rPr>
          <w:rFonts w:cs="Times New Roman"/>
          <w:szCs w:val="18"/>
          <w:lang w:val="nl-NL" w:eastAsia="ja-JP"/>
        </w:rPr>
        <w:t xml:space="preserve">de </w:t>
      </w:r>
      <w:r>
        <w:rPr>
          <w:rFonts w:cs="Times New Roman"/>
          <w:szCs w:val="18"/>
          <w:lang w:val="nl-NL" w:eastAsia="ja-JP"/>
        </w:rPr>
        <w:t>verschillende thema’s waarover nog steeds zorgen bestaan</w:t>
      </w:r>
      <w:r w:rsidR="00330495">
        <w:rPr>
          <w:rFonts w:cs="Times New Roman"/>
          <w:szCs w:val="18"/>
          <w:lang w:val="nl-NL" w:eastAsia="ja-JP"/>
        </w:rPr>
        <w:t xml:space="preserve">. </w:t>
      </w:r>
    </w:p>
    <w:p w:rsidR="006979F1" w:rsidRDefault="006979F1" w14:paraId="35E5B1F0" w14:textId="77777777">
      <w:pPr>
        <w:contextualSpacing/>
        <w:rPr>
          <w:rFonts w:cs="Times New Roman"/>
          <w:szCs w:val="18"/>
          <w:lang w:val="nl-NL" w:eastAsia="ja-JP"/>
        </w:rPr>
      </w:pPr>
    </w:p>
    <w:p w:rsidR="000B4464" w:rsidRDefault="001C0503" w14:paraId="7AB7CA81" w14:textId="77777777">
      <w:pPr>
        <w:contextualSpacing/>
        <w:rPr>
          <w:rFonts w:cs="Times New Roman"/>
          <w:szCs w:val="18"/>
          <w:lang w:val="nl-NL" w:eastAsia="ja-JP"/>
        </w:rPr>
      </w:pPr>
      <w:bookmarkStart w:name="_Hlk230933977" w:id="3"/>
      <w:r w:rsidRPr="003C5C67">
        <w:rPr>
          <w:rFonts w:cs="Times New Roman"/>
          <w:b/>
          <w:szCs w:val="18"/>
          <w:lang w:val="nl-NL" w:eastAsia="ja-JP"/>
        </w:rPr>
        <w:lastRenderedPageBreak/>
        <w:t>EU-toetredingsproces Montenegro</w:t>
      </w:r>
      <w:bookmarkEnd w:id="3"/>
      <w:r w:rsidRPr="003C5C67">
        <w:rPr>
          <w:rFonts w:cs="Times New Roman"/>
          <w:b/>
          <w:szCs w:val="18"/>
          <w:lang w:val="nl-NL" w:eastAsia="ja-JP"/>
        </w:rPr>
        <w:t>: onder voorbehoud sluiten van een hoofdstuk</w:t>
      </w:r>
      <w:r w:rsidRPr="003C5C67">
        <w:rPr>
          <w:rFonts w:cs="Times New Roman"/>
          <w:szCs w:val="18"/>
          <w:lang w:val="nl-NL" w:eastAsia="ja-JP"/>
        </w:rPr>
        <w:t xml:space="preserve"> </w:t>
      </w:r>
      <w:r>
        <w:rPr>
          <w:rFonts w:cs="Times New Roman"/>
          <w:szCs w:val="18"/>
          <w:lang w:val="nl-NL" w:eastAsia="ja-JP"/>
        </w:rPr>
        <w:br/>
      </w:r>
      <w:r w:rsidRPr="003C5C67">
        <w:rPr>
          <w:rFonts w:cs="Times New Roman"/>
          <w:szCs w:val="18"/>
          <w:lang w:val="nl-NL" w:eastAsia="ja-JP"/>
        </w:rPr>
        <w:t>De Commissie heeft voorgesteld om in de toetredingsonderhandelingen met Montenegro hoofdstuk 2</w:t>
      </w:r>
      <w:r>
        <w:rPr>
          <w:rFonts w:cs="Times New Roman"/>
          <w:szCs w:val="18"/>
          <w:lang w:val="nl-NL" w:eastAsia="ja-JP"/>
        </w:rPr>
        <w:t>8</w:t>
      </w:r>
      <w:r w:rsidRPr="003C5C67">
        <w:rPr>
          <w:rFonts w:cs="Times New Roman"/>
          <w:szCs w:val="18"/>
          <w:lang w:val="nl-NL" w:eastAsia="ja-JP"/>
        </w:rPr>
        <w:t xml:space="preserve"> over </w:t>
      </w:r>
      <w:r>
        <w:rPr>
          <w:rFonts w:cs="Times New Roman"/>
          <w:szCs w:val="18"/>
          <w:lang w:val="nl-NL" w:eastAsia="ja-JP"/>
        </w:rPr>
        <w:t>consumenten- en gezondheidsbescherming</w:t>
      </w:r>
      <w:r w:rsidRPr="003C5C67">
        <w:rPr>
          <w:rFonts w:cs="Times New Roman"/>
          <w:szCs w:val="18"/>
          <w:lang w:val="nl-NL" w:eastAsia="ja-JP"/>
        </w:rPr>
        <w:t xml:space="preserve"> onder voorbehoud te sluiten. Dit hoofdstuk omvat onder andere het EU-acquis over </w:t>
      </w:r>
      <w:r>
        <w:rPr>
          <w:rFonts w:cs="Times New Roman"/>
          <w:szCs w:val="18"/>
          <w:lang w:val="nl-NL" w:eastAsia="ja-JP"/>
        </w:rPr>
        <w:t>productveiligheid en consumentenbescherming</w:t>
      </w:r>
      <w:r w:rsidR="00845B79">
        <w:rPr>
          <w:rFonts w:cs="Times New Roman"/>
          <w:szCs w:val="18"/>
          <w:lang w:val="nl-NL" w:eastAsia="ja-JP"/>
        </w:rPr>
        <w:t>, grensoverschrijdende gezondheidsdreigingen, en over lichaamsmateriaal</w:t>
      </w:r>
      <w:r w:rsidR="00584537">
        <w:rPr>
          <w:rFonts w:cs="Times New Roman"/>
          <w:szCs w:val="18"/>
          <w:lang w:val="nl-NL" w:eastAsia="ja-JP"/>
        </w:rPr>
        <w:t>,</w:t>
      </w:r>
      <w:r w:rsidR="00845B79">
        <w:rPr>
          <w:rFonts w:cs="Times New Roman"/>
          <w:szCs w:val="18"/>
          <w:lang w:val="nl-NL" w:eastAsia="ja-JP"/>
        </w:rPr>
        <w:t xml:space="preserve"> zoals toezicht op bloed en organen</w:t>
      </w:r>
      <w:r w:rsidRPr="003C5C67">
        <w:rPr>
          <w:rFonts w:cs="Times New Roman"/>
          <w:szCs w:val="18"/>
          <w:lang w:val="nl-NL" w:eastAsia="ja-JP"/>
        </w:rPr>
        <w:t xml:space="preserve">. </w:t>
      </w:r>
    </w:p>
    <w:p w:rsidR="000B4464" w:rsidRDefault="000B4464" w14:paraId="0A506252" w14:textId="77777777">
      <w:pPr>
        <w:contextualSpacing/>
        <w:rPr>
          <w:rFonts w:cs="Times New Roman"/>
          <w:szCs w:val="18"/>
          <w:lang w:val="nl-NL" w:eastAsia="ja-JP"/>
        </w:rPr>
      </w:pPr>
    </w:p>
    <w:p w:rsidR="00C92119" w:rsidRDefault="001C0503" w14:paraId="103CFA2E" w14:textId="09578E73">
      <w:pPr>
        <w:contextualSpacing/>
        <w:rPr>
          <w:rFonts w:cs="Times New Roman"/>
          <w:szCs w:val="18"/>
          <w:lang w:val="nl-NL" w:eastAsia="ja-JP"/>
        </w:rPr>
      </w:pPr>
      <w:r w:rsidRPr="003C5C67">
        <w:rPr>
          <w:rFonts w:cs="Times New Roman"/>
          <w:szCs w:val="18"/>
          <w:lang w:val="nl-NL" w:eastAsia="ja-JP"/>
        </w:rPr>
        <w:t>Het kabinet weegt de bredere (rechtsstaats-)situatie in Montenegro zodanig dat het een kritisch</w:t>
      </w:r>
      <w:r w:rsidR="00845B79">
        <w:rPr>
          <w:rFonts w:cs="Times New Roman"/>
          <w:szCs w:val="18"/>
          <w:lang w:val="nl-NL" w:eastAsia="ja-JP"/>
        </w:rPr>
        <w:t>-</w:t>
      </w:r>
      <w:r w:rsidRPr="003C5C67">
        <w:rPr>
          <w:rFonts w:cs="Times New Roman"/>
          <w:szCs w:val="18"/>
          <w:lang w:val="nl-NL" w:eastAsia="ja-JP"/>
        </w:rPr>
        <w:t xml:space="preserve">constructieve grondhouding heeft ten aanzien van voorstellen van de Commissie voor het onder voorbehoud sluiten van individuele hoofdstukken. Het kabinet kan deze steunen, mits Montenegro blijvend investeert in versterking van </w:t>
      </w:r>
      <w:r w:rsidR="000B4464">
        <w:rPr>
          <w:rFonts w:cs="Times New Roman"/>
          <w:szCs w:val="18"/>
          <w:lang w:val="nl-NL" w:eastAsia="ja-JP"/>
        </w:rPr>
        <w:t xml:space="preserve">de </w:t>
      </w:r>
      <w:r w:rsidRPr="003C5C67">
        <w:rPr>
          <w:rFonts w:cs="Times New Roman"/>
          <w:szCs w:val="18"/>
          <w:lang w:val="nl-NL" w:eastAsia="ja-JP"/>
        </w:rPr>
        <w:t xml:space="preserve">administratieve en personele capaciteit, en aan de beleidsinhoudelijke </w:t>
      </w:r>
      <w:r w:rsidRPr="003C5C67">
        <w:rPr>
          <w:rFonts w:cs="Times New Roman"/>
          <w:i/>
          <w:szCs w:val="18"/>
          <w:lang w:val="nl-NL" w:eastAsia="ja-JP"/>
        </w:rPr>
        <w:t>closing benchmarks</w:t>
      </w:r>
      <w:r w:rsidRPr="003C5C67">
        <w:rPr>
          <w:rFonts w:cs="Times New Roman"/>
          <w:szCs w:val="18"/>
          <w:lang w:val="nl-NL" w:eastAsia="ja-JP"/>
        </w:rPr>
        <w:t xml:space="preserve"> voor individuele hoofdstukken is voldaan.</w:t>
      </w:r>
      <w:r w:rsidR="00845B79">
        <w:rPr>
          <w:rStyle w:val="FootnoteReference"/>
          <w:rFonts w:cs="Times New Roman"/>
          <w:szCs w:val="18"/>
          <w:lang w:val="nl-NL" w:eastAsia="ja-JP"/>
        </w:rPr>
        <w:footnoteReference w:id="4"/>
      </w:r>
      <w:r w:rsidRPr="003C5C67">
        <w:rPr>
          <w:rFonts w:cs="Times New Roman"/>
          <w:szCs w:val="18"/>
          <w:lang w:val="nl-NL" w:eastAsia="ja-JP"/>
        </w:rPr>
        <w:t xml:space="preserve"> De </w:t>
      </w:r>
      <w:r w:rsidRPr="003C5C67">
        <w:rPr>
          <w:rFonts w:cs="Times New Roman"/>
          <w:i/>
          <w:szCs w:val="18"/>
          <w:lang w:val="nl-NL" w:eastAsia="ja-JP"/>
        </w:rPr>
        <w:t>benchmarks</w:t>
      </w:r>
      <w:r w:rsidRPr="003C5C67">
        <w:rPr>
          <w:rFonts w:cs="Times New Roman"/>
          <w:szCs w:val="18"/>
          <w:lang w:val="nl-NL" w:eastAsia="ja-JP"/>
        </w:rPr>
        <w:t xml:space="preserve"> voor hoofdstuk 2</w:t>
      </w:r>
      <w:r w:rsidR="00845B79">
        <w:rPr>
          <w:rFonts w:cs="Times New Roman"/>
          <w:szCs w:val="18"/>
          <w:lang w:val="nl-NL" w:eastAsia="ja-JP"/>
        </w:rPr>
        <w:t>8</w:t>
      </w:r>
      <w:r w:rsidRPr="003C5C67">
        <w:rPr>
          <w:rFonts w:cs="Times New Roman"/>
          <w:szCs w:val="18"/>
          <w:lang w:val="nl-NL" w:eastAsia="ja-JP"/>
        </w:rPr>
        <w:t xml:space="preserve"> zien </w:t>
      </w:r>
      <w:r w:rsidR="00845B79">
        <w:rPr>
          <w:rFonts w:cs="Times New Roman"/>
          <w:szCs w:val="18"/>
          <w:lang w:val="nl-NL" w:eastAsia="ja-JP"/>
        </w:rPr>
        <w:t xml:space="preserve">op het </w:t>
      </w:r>
      <w:r w:rsidR="00584537">
        <w:rPr>
          <w:rFonts w:cs="Times New Roman"/>
          <w:szCs w:val="18"/>
          <w:lang w:val="nl-NL" w:eastAsia="ja-JP"/>
        </w:rPr>
        <w:t>omzetten</w:t>
      </w:r>
      <w:r w:rsidR="00845B79">
        <w:rPr>
          <w:rFonts w:cs="Times New Roman"/>
          <w:szCs w:val="18"/>
          <w:lang w:val="nl-NL" w:eastAsia="ja-JP"/>
        </w:rPr>
        <w:t xml:space="preserve"> van </w:t>
      </w:r>
      <w:r w:rsidR="00584537">
        <w:rPr>
          <w:rFonts w:cs="Times New Roman"/>
          <w:szCs w:val="18"/>
          <w:lang w:val="nl-NL" w:eastAsia="ja-JP"/>
        </w:rPr>
        <w:t>regels</w:t>
      </w:r>
      <w:r w:rsidR="00845B79">
        <w:rPr>
          <w:rFonts w:cs="Times New Roman"/>
          <w:szCs w:val="18"/>
          <w:lang w:val="nl-NL" w:eastAsia="ja-JP"/>
        </w:rPr>
        <w:t xml:space="preserve"> over consumentenrechten</w:t>
      </w:r>
      <w:r w:rsidR="00584537">
        <w:rPr>
          <w:rFonts w:cs="Times New Roman"/>
          <w:szCs w:val="18"/>
          <w:lang w:val="nl-NL" w:eastAsia="ja-JP"/>
        </w:rPr>
        <w:t>, overdraagbare ziekten en lichaamsmateriaal in wetgeving en het realiseren van voldoende capaciteit</w:t>
      </w:r>
      <w:r w:rsidR="000B4464">
        <w:rPr>
          <w:rFonts w:cs="Times New Roman"/>
          <w:szCs w:val="18"/>
          <w:lang w:val="nl-NL" w:eastAsia="ja-JP"/>
        </w:rPr>
        <w:t xml:space="preserve"> voor de uitvoering en handhaving van het </w:t>
      </w:r>
      <w:proofErr w:type="spellStart"/>
      <w:r w:rsidR="000B4464">
        <w:rPr>
          <w:rFonts w:cs="Times New Roman"/>
          <w:szCs w:val="18"/>
          <w:lang w:val="nl-NL" w:eastAsia="ja-JP"/>
        </w:rPr>
        <w:t>acquis</w:t>
      </w:r>
      <w:proofErr w:type="spellEnd"/>
      <w:r w:rsidR="00584537">
        <w:rPr>
          <w:rFonts w:cs="Times New Roman"/>
          <w:szCs w:val="18"/>
          <w:lang w:val="nl-NL" w:eastAsia="ja-JP"/>
        </w:rPr>
        <w:t xml:space="preserve">. </w:t>
      </w:r>
      <w:r w:rsidRPr="003C5C67">
        <w:rPr>
          <w:rFonts w:cs="Times New Roman"/>
          <w:szCs w:val="18"/>
          <w:lang w:val="nl-NL" w:eastAsia="ja-JP"/>
        </w:rPr>
        <w:t xml:space="preserve">Nederland heeft tijdens de behandeling </w:t>
      </w:r>
      <w:r w:rsidR="001C3F30">
        <w:rPr>
          <w:rFonts w:cs="Times New Roman"/>
          <w:szCs w:val="18"/>
          <w:lang w:val="nl-NL" w:eastAsia="ja-JP"/>
        </w:rPr>
        <w:t xml:space="preserve">van de </w:t>
      </w:r>
      <w:r w:rsidR="001C3F30">
        <w:rPr>
          <w:rFonts w:cs="Times New Roman"/>
          <w:i/>
          <w:iCs/>
          <w:szCs w:val="18"/>
          <w:lang w:val="nl-NL" w:eastAsia="ja-JP"/>
        </w:rPr>
        <w:t xml:space="preserve">Draft Common </w:t>
      </w:r>
      <w:proofErr w:type="spellStart"/>
      <w:r w:rsidR="001C3F30">
        <w:rPr>
          <w:rFonts w:cs="Times New Roman"/>
          <w:i/>
          <w:iCs/>
          <w:szCs w:val="18"/>
          <w:lang w:val="nl-NL" w:eastAsia="ja-JP"/>
        </w:rPr>
        <w:t>Position</w:t>
      </w:r>
      <w:proofErr w:type="spellEnd"/>
      <w:r w:rsidR="001C3F30">
        <w:rPr>
          <w:rFonts w:cs="Times New Roman"/>
          <w:i/>
          <w:iCs/>
          <w:szCs w:val="18"/>
          <w:lang w:val="nl-NL" w:eastAsia="ja-JP"/>
        </w:rPr>
        <w:t xml:space="preserve"> </w:t>
      </w:r>
      <w:r w:rsidRPr="003C5C67">
        <w:rPr>
          <w:rFonts w:cs="Times New Roman"/>
          <w:szCs w:val="18"/>
          <w:lang w:val="nl-NL" w:eastAsia="ja-JP"/>
        </w:rPr>
        <w:t>in Brussel opgeroepen tot deugdelijke implementatie van hervormingen en nauwe, blijvende monitoring door de Commissie van resterende stappen</w:t>
      </w:r>
      <w:r w:rsidR="00584537">
        <w:rPr>
          <w:rFonts w:cs="Times New Roman"/>
          <w:szCs w:val="18"/>
          <w:lang w:val="nl-NL" w:eastAsia="ja-JP"/>
        </w:rPr>
        <w:t xml:space="preserve">, in het bijzonder de </w:t>
      </w:r>
      <w:r w:rsidR="001C3F30">
        <w:rPr>
          <w:rFonts w:cs="Times New Roman"/>
          <w:szCs w:val="18"/>
          <w:lang w:val="nl-NL" w:eastAsia="ja-JP"/>
        </w:rPr>
        <w:t>uitvoering</w:t>
      </w:r>
      <w:r w:rsidR="00584537">
        <w:rPr>
          <w:rFonts w:cs="Times New Roman"/>
          <w:szCs w:val="18"/>
          <w:lang w:val="nl-NL" w:eastAsia="ja-JP"/>
        </w:rPr>
        <w:t xml:space="preserve"> van </w:t>
      </w:r>
      <w:r w:rsidR="001C3F30">
        <w:rPr>
          <w:rFonts w:cs="Times New Roman"/>
          <w:szCs w:val="18"/>
          <w:lang w:val="nl-NL" w:eastAsia="ja-JP"/>
        </w:rPr>
        <w:t>het Montenegrijns</w:t>
      </w:r>
      <w:r w:rsidR="00584537">
        <w:rPr>
          <w:rFonts w:cs="Times New Roman"/>
          <w:szCs w:val="18"/>
          <w:lang w:val="nl-NL" w:eastAsia="ja-JP"/>
        </w:rPr>
        <w:t xml:space="preserve"> actieplan gericht op administratieve en personele capaciteit voor consumentenbescherming en productveiligheid. </w:t>
      </w:r>
      <w:r w:rsidRPr="003C5C67">
        <w:rPr>
          <w:rFonts w:cs="Times New Roman"/>
          <w:szCs w:val="18"/>
          <w:lang w:val="nl-NL" w:eastAsia="ja-JP"/>
        </w:rPr>
        <w:t>Het kabinet steunt het onder voorbehoud sluiten van dit hoofdstuk, nu de Commissie dit bevestigt. Naar verwachting zal er in de Raad unanieme steun zijn voor deze stap. Afhankelijk van instemming van EU-lidstaten zal en marge van de RAZ van 1</w:t>
      </w:r>
      <w:r w:rsidR="00584537">
        <w:rPr>
          <w:rFonts w:cs="Times New Roman"/>
          <w:szCs w:val="18"/>
          <w:lang w:val="nl-NL" w:eastAsia="ja-JP"/>
        </w:rPr>
        <w:t>6</w:t>
      </w:r>
      <w:r w:rsidRPr="003C5C67">
        <w:rPr>
          <w:rFonts w:cs="Times New Roman"/>
          <w:szCs w:val="18"/>
          <w:lang w:val="nl-NL" w:eastAsia="ja-JP"/>
        </w:rPr>
        <w:t xml:space="preserve"> </w:t>
      </w:r>
      <w:r w:rsidR="00584537">
        <w:rPr>
          <w:rFonts w:cs="Times New Roman"/>
          <w:szCs w:val="18"/>
          <w:lang w:val="nl-NL" w:eastAsia="ja-JP"/>
        </w:rPr>
        <w:t>juni</w:t>
      </w:r>
      <w:r w:rsidRPr="003C5C67">
        <w:rPr>
          <w:rFonts w:cs="Times New Roman"/>
          <w:szCs w:val="18"/>
          <w:lang w:val="nl-NL" w:eastAsia="ja-JP"/>
        </w:rPr>
        <w:t xml:space="preserve"> een Intergouvernementele Conferentie worden georganiseerd</w:t>
      </w:r>
      <w:r w:rsidR="001C3F30">
        <w:rPr>
          <w:rFonts w:cs="Times New Roman"/>
          <w:szCs w:val="18"/>
          <w:lang w:val="nl-NL" w:eastAsia="ja-JP"/>
        </w:rPr>
        <w:t xml:space="preserve"> om deze stap te markeren</w:t>
      </w:r>
      <w:r w:rsidRPr="003C5C67">
        <w:rPr>
          <w:rFonts w:cs="Times New Roman"/>
          <w:szCs w:val="18"/>
          <w:lang w:val="nl-NL" w:eastAsia="ja-JP"/>
        </w:rPr>
        <w:t>.</w:t>
      </w:r>
      <w:r w:rsidRPr="001C0503" w:rsidR="0029699D">
        <w:rPr>
          <w:rFonts w:cs="Times New Roman"/>
          <w:szCs w:val="18"/>
          <w:lang w:val="nl-NL" w:eastAsia="ja-JP"/>
        </w:rPr>
        <w:t xml:space="preserve"> </w:t>
      </w:r>
      <w:r w:rsidR="00584537">
        <w:rPr>
          <w:rFonts w:cs="Times New Roman"/>
          <w:szCs w:val="18"/>
          <w:lang w:val="nl-NL" w:eastAsia="ja-JP"/>
        </w:rPr>
        <w:br/>
      </w:r>
      <w:r w:rsidR="00584537">
        <w:rPr>
          <w:rFonts w:cs="Times New Roman"/>
          <w:szCs w:val="18"/>
          <w:lang w:val="nl-NL" w:eastAsia="ja-JP"/>
        </w:rPr>
        <w:br/>
        <w:t xml:space="preserve">De Commissie heeft ook voorgesteld om hoofdstuk 2 over vrij verkeer van werknemers onder voorbehoud te sluiten. De </w:t>
      </w:r>
      <w:r w:rsidR="000563B9">
        <w:rPr>
          <w:rFonts w:cs="Times New Roman"/>
          <w:szCs w:val="18"/>
          <w:lang w:val="nl-NL" w:eastAsia="ja-JP"/>
        </w:rPr>
        <w:t>behandeling</w:t>
      </w:r>
      <w:r w:rsidR="00584537">
        <w:rPr>
          <w:rFonts w:cs="Times New Roman"/>
          <w:szCs w:val="18"/>
          <w:lang w:val="nl-NL" w:eastAsia="ja-JP"/>
        </w:rPr>
        <w:t xml:space="preserve"> van dit voorstel is nog gaande</w:t>
      </w:r>
      <w:r w:rsidR="000563B9">
        <w:rPr>
          <w:rFonts w:cs="Times New Roman"/>
          <w:szCs w:val="18"/>
          <w:lang w:val="nl-NL" w:eastAsia="ja-JP"/>
        </w:rPr>
        <w:t xml:space="preserve"> in de Raad</w:t>
      </w:r>
      <w:r w:rsidR="00584537">
        <w:rPr>
          <w:rFonts w:cs="Times New Roman"/>
          <w:szCs w:val="18"/>
          <w:lang w:val="nl-NL" w:eastAsia="ja-JP"/>
        </w:rPr>
        <w:t xml:space="preserve">. </w:t>
      </w:r>
      <w:r w:rsidR="000563B9">
        <w:rPr>
          <w:rFonts w:cs="Times New Roman"/>
          <w:szCs w:val="18"/>
          <w:lang w:val="nl-NL" w:eastAsia="ja-JP"/>
        </w:rPr>
        <w:t xml:space="preserve">In het geval afronding van de behandeling ook hier in zicht komt voorafgaand aan de RAZ, </w:t>
      </w:r>
      <w:r w:rsidR="001C3F30">
        <w:rPr>
          <w:rFonts w:cs="Times New Roman"/>
          <w:szCs w:val="18"/>
          <w:lang w:val="nl-NL" w:eastAsia="ja-JP"/>
        </w:rPr>
        <w:t xml:space="preserve">zal dit worden gecommuniceerd aan </w:t>
      </w:r>
      <w:r w:rsidR="000563B9">
        <w:rPr>
          <w:rFonts w:cs="Times New Roman"/>
          <w:szCs w:val="18"/>
          <w:lang w:val="nl-NL" w:eastAsia="ja-JP"/>
        </w:rPr>
        <w:t>uw Kamer.</w:t>
      </w:r>
    </w:p>
    <w:sectPr w:rsidR="00C9211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26F7" w14:textId="77777777" w:rsidR="00A400A5" w:rsidRDefault="00A400A5" w:rsidP="003E101F">
      <w:pPr>
        <w:spacing w:after="0"/>
      </w:pPr>
      <w:r>
        <w:separator/>
      </w:r>
    </w:p>
  </w:endnote>
  <w:endnote w:type="continuationSeparator" w:id="0">
    <w:p w14:paraId="2EA0D1EB" w14:textId="77777777" w:rsidR="00A400A5" w:rsidRDefault="00A400A5" w:rsidP="003E1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840" w14:textId="77777777" w:rsidR="00B95234" w:rsidRDefault="00B95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4799" w14:textId="77777777" w:rsidR="00B95234" w:rsidRDefault="00B95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B585" w14:textId="77777777" w:rsidR="00A400A5" w:rsidRDefault="00A400A5" w:rsidP="003E101F">
      <w:pPr>
        <w:spacing w:after="0"/>
      </w:pPr>
      <w:r>
        <w:separator/>
      </w:r>
    </w:p>
  </w:footnote>
  <w:footnote w:type="continuationSeparator" w:id="0">
    <w:p w14:paraId="36242C8A" w14:textId="77777777" w:rsidR="00A400A5" w:rsidRDefault="00A400A5" w:rsidP="003E101F">
      <w:pPr>
        <w:spacing w:after="0"/>
      </w:pPr>
      <w:r>
        <w:continuationSeparator/>
      </w:r>
    </w:p>
  </w:footnote>
  <w:footnote w:id="1">
    <w:p w14:paraId="072F819C" w14:textId="48C1C01D" w:rsidR="00DE71E0" w:rsidRPr="00A06122" w:rsidRDefault="00DE71E0">
      <w:pPr>
        <w:pStyle w:val="FootnoteText"/>
        <w:rPr>
          <w:sz w:val="16"/>
          <w:szCs w:val="16"/>
        </w:rPr>
      </w:pPr>
      <w:r w:rsidRPr="00A06122">
        <w:rPr>
          <w:sz w:val="16"/>
          <w:szCs w:val="16"/>
          <w:vertAlign w:val="superscript"/>
          <w:lang w:val="nl-NL"/>
        </w:rPr>
        <w:footnoteRef/>
      </w:r>
      <w:r w:rsidRPr="00A06122">
        <w:rPr>
          <w:sz w:val="16"/>
          <w:szCs w:val="16"/>
          <w:lang w:val="nl-NL"/>
        </w:rPr>
        <w:t xml:space="preserve"> https://data.consilium.europa.eu/doc/document/ST-16737-2025-INIT/nl/pdf</w:t>
      </w:r>
    </w:p>
  </w:footnote>
  <w:footnote w:id="2">
    <w:p w14:paraId="32718C0B" w14:textId="4755FC6D" w:rsidR="008B3AC0" w:rsidRPr="00A06122" w:rsidRDefault="008B3AC0">
      <w:pPr>
        <w:pStyle w:val="FootnoteText"/>
        <w:rPr>
          <w:sz w:val="16"/>
          <w:szCs w:val="16"/>
          <w:lang w:val="nl-NL"/>
        </w:rPr>
      </w:pPr>
      <w:r w:rsidRPr="00A06122">
        <w:rPr>
          <w:rStyle w:val="FootnoteReference"/>
          <w:sz w:val="16"/>
          <w:szCs w:val="16"/>
        </w:rPr>
        <w:footnoteRef/>
      </w:r>
      <w:r w:rsidRPr="00A06122">
        <w:rPr>
          <w:sz w:val="16"/>
          <w:szCs w:val="16"/>
          <w:lang w:val="nl-NL"/>
        </w:rPr>
        <w:t xml:space="preserve"> Kamerstuk 21</w:t>
      </w:r>
      <w:r w:rsidR="00A06122" w:rsidRPr="00A06122">
        <w:rPr>
          <w:sz w:val="16"/>
          <w:szCs w:val="16"/>
          <w:lang w:val="nl-NL"/>
        </w:rPr>
        <w:t xml:space="preserve"> </w:t>
      </w:r>
      <w:r w:rsidRPr="00A06122">
        <w:rPr>
          <w:sz w:val="16"/>
          <w:szCs w:val="16"/>
          <w:lang w:val="nl-NL"/>
        </w:rPr>
        <w:t>501-02, nr. 3223</w:t>
      </w:r>
    </w:p>
  </w:footnote>
  <w:footnote w:id="3">
    <w:p w14:paraId="2327C32F" w14:textId="01391335" w:rsidR="00201572" w:rsidRPr="00B95234" w:rsidRDefault="00201572" w:rsidP="00201572">
      <w:pPr>
        <w:pStyle w:val="FootnoteText"/>
        <w:rPr>
          <w:sz w:val="16"/>
          <w:szCs w:val="16"/>
          <w:lang w:val="nl-NL"/>
        </w:rPr>
      </w:pPr>
      <w:r w:rsidRPr="00A06122">
        <w:rPr>
          <w:rStyle w:val="FootnoteReference"/>
          <w:sz w:val="16"/>
          <w:szCs w:val="16"/>
        </w:rPr>
        <w:footnoteRef/>
      </w:r>
      <w:r w:rsidRPr="00A06122">
        <w:rPr>
          <w:sz w:val="16"/>
          <w:szCs w:val="16"/>
          <w:lang w:val="nl-NL"/>
        </w:rPr>
        <w:t xml:space="preserve"> Motie van Lanschot c.s., Kamerstuk 21 501-02, nr. 3383</w:t>
      </w:r>
    </w:p>
  </w:footnote>
  <w:footnote w:id="4">
    <w:p w14:paraId="0308A9A0" w14:textId="767DC592" w:rsidR="00845B79" w:rsidRPr="00B95234" w:rsidRDefault="00845B79">
      <w:pPr>
        <w:pStyle w:val="FootnoteText"/>
        <w:rPr>
          <w:sz w:val="16"/>
          <w:szCs w:val="16"/>
          <w:lang w:val="nl-NL"/>
        </w:rPr>
      </w:pPr>
      <w:r w:rsidRPr="00B95234">
        <w:rPr>
          <w:rStyle w:val="FootnoteReference"/>
          <w:sz w:val="16"/>
          <w:szCs w:val="16"/>
        </w:rPr>
        <w:footnoteRef/>
      </w:r>
      <w:r w:rsidRPr="00B95234">
        <w:rPr>
          <w:sz w:val="16"/>
          <w:szCs w:val="16"/>
        </w:rPr>
        <w:t xml:space="preserve"> </w:t>
      </w:r>
      <w:r w:rsidRPr="00B95234">
        <w:rPr>
          <w:sz w:val="16"/>
          <w:szCs w:val="16"/>
          <w:lang w:val="nl-NL"/>
        </w:rPr>
        <w:t>Kamerstuk 23</w:t>
      </w:r>
      <w:r w:rsidR="00A06122">
        <w:rPr>
          <w:sz w:val="16"/>
          <w:szCs w:val="16"/>
          <w:lang w:val="nl-NL"/>
        </w:rPr>
        <w:t xml:space="preserve"> </w:t>
      </w:r>
      <w:r w:rsidRPr="00B95234">
        <w:rPr>
          <w:sz w:val="16"/>
          <w:szCs w:val="16"/>
          <w:lang w:val="nl-NL"/>
        </w:rPr>
        <w:t>987, nr. 398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7256" w14:textId="77777777" w:rsidR="00B95234" w:rsidRDefault="00B95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774F" w14:textId="77777777" w:rsidR="00B95234" w:rsidRDefault="00B95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C67F" w14:textId="77777777" w:rsidR="00B95234" w:rsidRDefault="00B95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68D"/>
    <w:multiLevelType w:val="multilevel"/>
    <w:tmpl w:val="B33EF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78724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00C58"/>
    <w:rsid w:val="00021A49"/>
    <w:rsid w:val="00042ED8"/>
    <w:rsid w:val="000563B9"/>
    <w:rsid w:val="0009134F"/>
    <w:rsid w:val="00095A71"/>
    <w:rsid w:val="00096D88"/>
    <w:rsid w:val="000A44FB"/>
    <w:rsid w:val="000B3932"/>
    <w:rsid w:val="000B4464"/>
    <w:rsid w:val="000C6978"/>
    <w:rsid w:val="000C7BEB"/>
    <w:rsid w:val="000E5394"/>
    <w:rsid w:val="000F279D"/>
    <w:rsid w:val="001515FE"/>
    <w:rsid w:val="00164DED"/>
    <w:rsid w:val="00190E33"/>
    <w:rsid w:val="001C0503"/>
    <w:rsid w:val="001C1C77"/>
    <w:rsid w:val="001C3F30"/>
    <w:rsid w:val="001D4861"/>
    <w:rsid w:val="001D7F23"/>
    <w:rsid w:val="001E0BF1"/>
    <w:rsid w:val="001E28C2"/>
    <w:rsid w:val="001F5132"/>
    <w:rsid w:val="00201572"/>
    <w:rsid w:val="00201C22"/>
    <w:rsid w:val="002142B1"/>
    <w:rsid w:val="002175B7"/>
    <w:rsid w:val="00237549"/>
    <w:rsid w:val="00294C0D"/>
    <w:rsid w:val="0029699D"/>
    <w:rsid w:val="002D5316"/>
    <w:rsid w:val="002D57AE"/>
    <w:rsid w:val="002E1D1E"/>
    <w:rsid w:val="002F7DAF"/>
    <w:rsid w:val="00306BDB"/>
    <w:rsid w:val="00330495"/>
    <w:rsid w:val="00330698"/>
    <w:rsid w:val="00332FA1"/>
    <w:rsid w:val="00344200"/>
    <w:rsid w:val="00345960"/>
    <w:rsid w:val="0037558C"/>
    <w:rsid w:val="003846E9"/>
    <w:rsid w:val="003C0A80"/>
    <w:rsid w:val="003C2F8B"/>
    <w:rsid w:val="003C5C67"/>
    <w:rsid w:val="003E07E5"/>
    <w:rsid w:val="003E101F"/>
    <w:rsid w:val="003E6FE0"/>
    <w:rsid w:val="00422371"/>
    <w:rsid w:val="004277BB"/>
    <w:rsid w:val="00427837"/>
    <w:rsid w:val="004325B5"/>
    <w:rsid w:val="00451A16"/>
    <w:rsid w:val="00460DBA"/>
    <w:rsid w:val="00462ACE"/>
    <w:rsid w:val="00481179"/>
    <w:rsid w:val="00496A88"/>
    <w:rsid w:val="00497FAE"/>
    <w:rsid w:val="004B10C5"/>
    <w:rsid w:val="005022A8"/>
    <w:rsid w:val="00510638"/>
    <w:rsid w:val="005166F6"/>
    <w:rsid w:val="005415D2"/>
    <w:rsid w:val="0055116B"/>
    <w:rsid w:val="00557419"/>
    <w:rsid w:val="005755C2"/>
    <w:rsid w:val="005768F4"/>
    <w:rsid w:val="00584537"/>
    <w:rsid w:val="00587735"/>
    <w:rsid w:val="005960AD"/>
    <w:rsid w:val="005A7174"/>
    <w:rsid w:val="005C4A1A"/>
    <w:rsid w:val="005D131D"/>
    <w:rsid w:val="005D2D53"/>
    <w:rsid w:val="005E2ED7"/>
    <w:rsid w:val="00606097"/>
    <w:rsid w:val="006401FD"/>
    <w:rsid w:val="00645145"/>
    <w:rsid w:val="00654149"/>
    <w:rsid w:val="0066757F"/>
    <w:rsid w:val="00685151"/>
    <w:rsid w:val="006908F3"/>
    <w:rsid w:val="006979F1"/>
    <w:rsid w:val="00697E2E"/>
    <w:rsid w:val="006D7DA6"/>
    <w:rsid w:val="007174BE"/>
    <w:rsid w:val="0073579F"/>
    <w:rsid w:val="00760090"/>
    <w:rsid w:val="00764FCF"/>
    <w:rsid w:val="00774CA8"/>
    <w:rsid w:val="0079018F"/>
    <w:rsid w:val="007D708B"/>
    <w:rsid w:val="007E7A62"/>
    <w:rsid w:val="00820EDA"/>
    <w:rsid w:val="00845B79"/>
    <w:rsid w:val="00846E25"/>
    <w:rsid w:val="00847E42"/>
    <w:rsid w:val="00857584"/>
    <w:rsid w:val="008A6930"/>
    <w:rsid w:val="008A73E3"/>
    <w:rsid w:val="008B3224"/>
    <w:rsid w:val="008B3AC0"/>
    <w:rsid w:val="008C1C75"/>
    <w:rsid w:val="008C31EB"/>
    <w:rsid w:val="008C6F44"/>
    <w:rsid w:val="008D4B49"/>
    <w:rsid w:val="008E0D51"/>
    <w:rsid w:val="008F7202"/>
    <w:rsid w:val="00901097"/>
    <w:rsid w:val="00917790"/>
    <w:rsid w:val="00922F73"/>
    <w:rsid w:val="00937F56"/>
    <w:rsid w:val="009475AF"/>
    <w:rsid w:val="00981F7F"/>
    <w:rsid w:val="00986BC7"/>
    <w:rsid w:val="009B6F00"/>
    <w:rsid w:val="009C1EB1"/>
    <w:rsid w:val="009C53C7"/>
    <w:rsid w:val="009F6A86"/>
    <w:rsid w:val="009F713F"/>
    <w:rsid w:val="00A06122"/>
    <w:rsid w:val="00A26844"/>
    <w:rsid w:val="00A400A5"/>
    <w:rsid w:val="00A4134D"/>
    <w:rsid w:val="00A5104A"/>
    <w:rsid w:val="00A53024"/>
    <w:rsid w:val="00A548A1"/>
    <w:rsid w:val="00A55572"/>
    <w:rsid w:val="00A62E7E"/>
    <w:rsid w:val="00A66901"/>
    <w:rsid w:val="00A72A34"/>
    <w:rsid w:val="00A969C9"/>
    <w:rsid w:val="00A97B88"/>
    <w:rsid w:val="00AB07CA"/>
    <w:rsid w:val="00AB2D79"/>
    <w:rsid w:val="00AC52C5"/>
    <w:rsid w:val="00AE7872"/>
    <w:rsid w:val="00B05FEE"/>
    <w:rsid w:val="00B21CDB"/>
    <w:rsid w:val="00B23EC2"/>
    <w:rsid w:val="00B32099"/>
    <w:rsid w:val="00B43326"/>
    <w:rsid w:val="00B47A01"/>
    <w:rsid w:val="00B545DF"/>
    <w:rsid w:val="00B82401"/>
    <w:rsid w:val="00B839FC"/>
    <w:rsid w:val="00B87E4A"/>
    <w:rsid w:val="00B9329F"/>
    <w:rsid w:val="00B95234"/>
    <w:rsid w:val="00BA22EB"/>
    <w:rsid w:val="00BB2BC0"/>
    <w:rsid w:val="00BB606B"/>
    <w:rsid w:val="00BB67AC"/>
    <w:rsid w:val="00BC65E6"/>
    <w:rsid w:val="00C11EDA"/>
    <w:rsid w:val="00C25C7B"/>
    <w:rsid w:val="00C43C77"/>
    <w:rsid w:val="00C46A45"/>
    <w:rsid w:val="00C47645"/>
    <w:rsid w:val="00C55CB6"/>
    <w:rsid w:val="00C73200"/>
    <w:rsid w:val="00C76E27"/>
    <w:rsid w:val="00C77115"/>
    <w:rsid w:val="00C857E3"/>
    <w:rsid w:val="00C92119"/>
    <w:rsid w:val="00CA2597"/>
    <w:rsid w:val="00CD6EDF"/>
    <w:rsid w:val="00CE32E4"/>
    <w:rsid w:val="00CF1B4C"/>
    <w:rsid w:val="00CF22E1"/>
    <w:rsid w:val="00CF2B93"/>
    <w:rsid w:val="00CF690A"/>
    <w:rsid w:val="00D0060E"/>
    <w:rsid w:val="00D02848"/>
    <w:rsid w:val="00D13964"/>
    <w:rsid w:val="00D22F9D"/>
    <w:rsid w:val="00D309B7"/>
    <w:rsid w:val="00D30BDC"/>
    <w:rsid w:val="00D517F7"/>
    <w:rsid w:val="00D63D65"/>
    <w:rsid w:val="00D72581"/>
    <w:rsid w:val="00D74DC1"/>
    <w:rsid w:val="00D80F2B"/>
    <w:rsid w:val="00DA6660"/>
    <w:rsid w:val="00DB6CA7"/>
    <w:rsid w:val="00DE1757"/>
    <w:rsid w:val="00DE71E0"/>
    <w:rsid w:val="00E00222"/>
    <w:rsid w:val="00E0556B"/>
    <w:rsid w:val="00E21317"/>
    <w:rsid w:val="00E315DA"/>
    <w:rsid w:val="00E46BAF"/>
    <w:rsid w:val="00E6324F"/>
    <w:rsid w:val="00E743AE"/>
    <w:rsid w:val="00E82D00"/>
    <w:rsid w:val="00EA0B86"/>
    <w:rsid w:val="00EE741A"/>
    <w:rsid w:val="00F075A4"/>
    <w:rsid w:val="00F07C7C"/>
    <w:rsid w:val="00F27E16"/>
    <w:rsid w:val="00F32A6E"/>
    <w:rsid w:val="00F47729"/>
    <w:rsid w:val="00F84564"/>
    <w:rsid w:val="00F93F4C"/>
    <w:rsid w:val="00FA1F82"/>
    <w:rsid w:val="00FC42DD"/>
    <w:rsid w:val="00FD2E07"/>
    <w:rsid w:val="00FF4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paragraph" w:styleId="FootnoteText">
    <w:name w:val="footnote text"/>
    <w:basedOn w:val="Normal"/>
    <w:link w:val="FootnoteTextChar"/>
    <w:uiPriority w:val="99"/>
    <w:semiHidden/>
    <w:unhideWhenUsed/>
    <w:rsid w:val="00C76E27"/>
    <w:pPr>
      <w:spacing w:after="0"/>
    </w:pPr>
    <w:rPr>
      <w:sz w:val="20"/>
      <w:szCs w:val="20"/>
    </w:rPr>
  </w:style>
  <w:style w:type="character" w:customStyle="1" w:styleId="FootnoteTextChar">
    <w:name w:val="Footnote Text Char"/>
    <w:basedOn w:val="DefaultParagraphFont"/>
    <w:link w:val="FootnoteText"/>
    <w:uiPriority w:val="99"/>
    <w:semiHidden/>
    <w:rsid w:val="00C76E27"/>
    <w:rPr>
      <w:sz w:val="20"/>
      <w:szCs w:val="20"/>
    </w:rPr>
  </w:style>
  <w:style w:type="character" w:styleId="FootnoteReference">
    <w:name w:val="footnote reference"/>
    <w:basedOn w:val="DefaultParagraphFont"/>
    <w:uiPriority w:val="99"/>
    <w:semiHidden/>
    <w:unhideWhenUsed/>
    <w:rsid w:val="00C76E27"/>
    <w:rPr>
      <w:vertAlign w:val="superscript"/>
    </w:rPr>
  </w:style>
  <w:style w:type="character" w:styleId="CommentReference">
    <w:name w:val="annotation reference"/>
    <w:basedOn w:val="DefaultParagraphFont"/>
    <w:uiPriority w:val="99"/>
    <w:semiHidden/>
    <w:unhideWhenUsed/>
    <w:rsid w:val="00981F7F"/>
    <w:rPr>
      <w:sz w:val="16"/>
      <w:szCs w:val="16"/>
    </w:rPr>
  </w:style>
  <w:style w:type="paragraph" w:styleId="CommentText">
    <w:name w:val="annotation text"/>
    <w:basedOn w:val="Normal"/>
    <w:link w:val="CommentTextChar"/>
    <w:uiPriority w:val="99"/>
    <w:unhideWhenUsed/>
    <w:rsid w:val="00981F7F"/>
    <w:rPr>
      <w:sz w:val="20"/>
      <w:szCs w:val="20"/>
    </w:rPr>
  </w:style>
  <w:style w:type="character" w:customStyle="1" w:styleId="CommentTextChar">
    <w:name w:val="Comment Text Char"/>
    <w:basedOn w:val="DefaultParagraphFont"/>
    <w:link w:val="CommentText"/>
    <w:uiPriority w:val="99"/>
    <w:rsid w:val="00981F7F"/>
    <w:rPr>
      <w:sz w:val="20"/>
      <w:szCs w:val="20"/>
    </w:rPr>
  </w:style>
  <w:style w:type="paragraph" w:styleId="CommentSubject">
    <w:name w:val="annotation subject"/>
    <w:basedOn w:val="CommentText"/>
    <w:next w:val="CommentText"/>
    <w:link w:val="CommentSubjectChar"/>
    <w:uiPriority w:val="99"/>
    <w:semiHidden/>
    <w:unhideWhenUsed/>
    <w:rsid w:val="00981F7F"/>
    <w:rPr>
      <w:b/>
      <w:bCs/>
    </w:rPr>
  </w:style>
  <w:style w:type="character" w:customStyle="1" w:styleId="CommentSubjectChar">
    <w:name w:val="Comment Subject Char"/>
    <w:basedOn w:val="CommentTextChar"/>
    <w:link w:val="CommentSubject"/>
    <w:uiPriority w:val="99"/>
    <w:semiHidden/>
    <w:rsid w:val="00981F7F"/>
    <w:rPr>
      <w:b/>
      <w:bCs/>
      <w:sz w:val="20"/>
      <w:szCs w:val="20"/>
    </w:rPr>
  </w:style>
  <w:style w:type="paragraph" w:styleId="Revision">
    <w:name w:val="Revision"/>
    <w:hidden/>
    <w:uiPriority w:val="99"/>
    <w:semiHidden/>
    <w:rsid w:val="00981F7F"/>
    <w:pPr>
      <w:spacing w:after="0"/>
    </w:pPr>
  </w:style>
  <w:style w:type="character" w:styleId="Hyperlink">
    <w:name w:val="Hyperlink"/>
    <w:basedOn w:val="DefaultParagraphFont"/>
    <w:uiPriority w:val="99"/>
    <w:unhideWhenUsed/>
    <w:rsid w:val="00981F7F"/>
    <w:rPr>
      <w:color w:val="0000FF" w:themeColor="hyperlink"/>
      <w:u w:val="single"/>
    </w:rPr>
  </w:style>
  <w:style w:type="character" w:styleId="UnresolvedMention">
    <w:name w:val="Unresolved Mention"/>
    <w:basedOn w:val="DefaultParagraphFont"/>
    <w:uiPriority w:val="99"/>
    <w:semiHidden/>
    <w:unhideWhenUsed/>
    <w:rsid w:val="00981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7176">
      <w:bodyDiv w:val="1"/>
      <w:marLeft w:val="0"/>
      <w:marRight w:val="0"/>
      <w:marTop w:val="0"/>
      <w:marBottom w:val="0"/>
      <w:divBdr>
        <w:top w:val="none" w:sz="0" w:space="0" w:color="auto"/>
        <w:left w:val="none" w:sz="0" w:space="0" w:color="auto"/>
        <w:bottom w:val="none" w:sz="0" w:space="0" w:color="auto"/>
        <w:right w:val="none" w:sz="0" w:space="0" w:color="auto"/>
      </w:divBdr>
    </w:div>
    <w:div w:id="320962289">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122848497">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 w:id="192132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1702</ap:Words>
  <ap:Characters>9364</ap:Characters>
  <ap:DocSecurity>0</ap:DocSecurity>
  <ap:Lines>78</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2026-06-01T11:45:00.0000000Z</dcterms:created>
  <dcterms:modified xsi:type="dcterms:W3CDTF">2026-06-01T11:45:00.0000000Z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a91c6854-cd1b-4cfe-88ac-a70082490a6d</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https://247.plaza.buzaservices.nl/subject/PV-RK2026042026/BZ2628573/GA%20RAZ.docx,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BZDossierTemplate">
    <vt:lpwstr>ReguliereKamerbrief</vt:lpwstr>
  </property>
  <property fmtid="{D5CDD505-2E9C-101B-9397-08002B2CF9AE}" pid="64" name="_docset_NoMedatataSyncRequired">
    <vt:lpwstr>False</vt:lpwstr>
  </property>
</Properties>
</file>