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6211" w:rsidR="001A1829" w:rsidRDefault="001A1829" w14:paraId="520502E9" w14:textId="77777777"/>
    <w:p w:rsidR="001A1829" w:rsidRDefault="001A1829" w14:paraId="2C612589" w14:textId="77777777"/>
    <w:p w:rsidR="00C0016C" w:rsidRDefault="00F6143D" w14:paraId="348E258D" w14:textId="3FBBAE96">
      <w:r>
        <w:t>Geachte voorzitter,</w:t>
      </w:r>
    </w:p>
    <w:p w:rsidR="00CB5390" w:rsidP="005671B4" w:rsidRDefault="00CB5390" w14:paraId="1EABD821" w14:textId="77777777"/>
    <w:p w:rsidR="00816E3B" w:rsidP="00CC3978" w:rsidRDefault="00040D62" w14:paraId="28AC255E" w14:textId="754ADEB1">
      <w:pPr>
        <w:autoSpaceDN/>
        <w:spacing w:after="160" w:line="278" w:lineRule="auto"/>
        <w:textAlignment w:val="auto"/>
      </w:pPr>
      <w:r>
        <w:t xml:space="preserve">Deze brief </w:t>
      </w:r>
      <w:r w:rsidR="005133D2">
        <w:t xml:space="preserve">is een vervolg op de </w:t>
      </w:r>
      <w:r w:rsidR="0000217F">
        <w:t>K</w:t>
      </w:r>
      <w:r w:rsidR="005133D2">
        <w:t>amerbrief (</w:t>
      </w:r>
      <w:r w:rsidRPr="0041552D" w:rsidR="005133D2">
        <w:t>36800-XVII-16</w:t>
      </w:r>
      <w:r w:rsidR="005133D2">
        <w:t>)</w:t>
      </w:r>
      <w:r w:rsidRPr="00CC3978" w:rsidR="005133D2">
        <w:t xml:space="preserve"> </w:t>
      </w:r>
      <w:r w:rsidR="005133D2">
        <w:t xml:space="preserve">van december jl. over revolverende fondsen en de reactie hierop van de rapporteurs van de Commissie Buitenlandse Handel en Ontwikkelingssamenwerking (BHOS) </w:t>
      </w:r>
      <w:r w:rsidRPr="00B0529C" w:rsidR="00706818">
        <w:t>(</w:t>
      </w:r>
      <w:r w:rsidRPr="004B4228" w:rsidR="00B0529C">
        <w:t>2025Z22061/2025D53268</w:t>
      </w:r>
      <w:r w:rsidR="00B0529C">
        <w:t>)</w:t>
      </w:r>
      <w:r w:rsidR="005133D2">
        <w:t xml:space="preserve">. Hiermee wordt uitvoering gegeven aan </w:t>
      </w:r>
      <w:r>
        <w:t xml:space="preserve">de </w:t>
      </w:r>
      <w:r w:rsidRPr="00CB5390" w:rsidR="00CB5390">
        <w:t>motie Ram over een heldere exit</w:t>
      </w:r>
      <w:r w:rsidR="00FA1D72">
        <w:t>-</w:t>
      </w:r>
      <w:r w:rsidRPr="00CB5390" w:rsidR="00CB5390">
        <w:t xml:space="preserve">strategie voor revolverende fondsen </w:t>
      </w:r>
      <w:r w:rsidR="00D85336">
        <w:t>(</w:t>
      </w:r>
      <w:r w:rsidR="000A5D2D">
        <w:t>36725 XVII, nr. 39</w:t>
      </w:r>
      <w:r w:rsidRPr="00CB5390" w:rsidR="00CB5390">
        <w:t xml:space="preserve">) en de motie Ram en Hirsch over </w:t>
      </w:r>
      <w:r>
        <w:t xml:space="preserve">een </w:t>
      </w:r>
      <w:r w:rsidRPr="00CB5390" w:rsidR="00CB5390">
        <w:t>beter</w:t>
      </w:r>
      <w:r>
        <w:t>e</w:t>
      </w:r>
      <w:r w:rsidRPr="00CB5390" w:rsidR="00CB5390">
        <w:t xml:space="preserve"> inform</w:t>
      </w:r>
      <w:r>
        <w:t>atievoorziening</w:t>
      </w:r>
      <w:r w:rsidRPr="00CB5390" w:rsidR="00CB5390">
        <w:t xml:space="preserve"> (36725-XVII-</w:t>
      </w:r>
      <w:r w:rsidR="00706818">
        <w:t>38</w:t>
      </w:r>
      <w:r w:rsidRPr="00CB5390" w:rsidR="00CB5390">
        <w:t>)</w:t>
      </w:r>
      <w:r w:rsidR="00CB5390">
        <w:t xml:space="preserve">. </w:t>
      </w:r>
    </w:p>
    <w:p w:rsidR="00BF5E6E" w:rsidP="005A3543" w:rsidRDefault="00CC3978" w14:paraId="213F4571" w14:textId="2368C261">
      <w:r w:rsidRPr="00CC3978">
        <w:t xml:space="preserve">In </w:t>
      </w:r>
      <w:r w:rsidR="009D5F4C">
        <w:t xml:space="preserve">december </w:t>
      </w:r>
      <w:r w:rsidR="00345D69">
        <w:t xml:space="preserve">heeft mijn voorganger </w:t>
      </w:r>
      <w:r w:rsidRPr="00CC3978">
        <w:t xml:space="preserve">uw Kamer een voorstel gedaan voor de elementen van een exit-strategie voor de revolverende fondsen die vanuit de begroting voor </w:t>
      </w:r>
      <w:r w:rsidR="008330F6">
        <w:t>B</w:t>
      </w:r>
      <w:r w:rsidR="00CC354E">
        <w:t>HOS</w:t>
      </w:r>
      <w:r w:rsidRPr="00CC3978">
        <w:t xml:space="preserve"> worden gefinancierd.</w:t>
      </w:r>
      <w:r>
        <w:t xml:space="preserve"> </w:t>
      </w:r>
      <w:r w:rsidR="00F03962">
        <w:t>Deze exit-strategie zal voor nieuwe fondsen bij o</w:t>
      </w:r>
      <w:r w:rsidRPr="002023CA" w:rsidR="00F03962">
        <w:t xml:space="preserve">prichting </w:t>
      </w:r>
      <w:r w:rsidR="00F03962">
        <w:t xml:space="preserve">worden opgesteld en </w:t>
      </w:r>
      <w:r w:rsidRPr="002023CA" w:rsidR="00F03962">
        <w:t>contractueel vastgelegd.</w:t>
      </w:r>
      <w:r w:rsidRPr="00F03962" w:rsidR="00F03962">
        <w:t xml:space="preserve"> </w:t>
      </w:r>
      <w:r w:rsidR="00F03962">
        <w:t xml:space="preserve">Voor bestaande fondsen moet implementatie binnen bestaande contractuele afspraken gebeuren. </w:t>
      </w:r>
      <w:r w:rsidR="00345D69">
        <w:t xml:space="preserve">Mijn voorganger heeft in </w:t>
      </w:r>
      <w:r w:rsidR="00F03962">
        <w:t xml:space="preserve">december </w:t>
      </w:r>
      <w:r w:rsidR="00AC45DD">
        <w:t xml:space="preserve">aangegeven </w:t>
      </w:r>
      <w:r w:rsidR="00F03962">
        <w:t xml:space="preserve">uw Kamer te informeren </w:t>
      </w:r>
      <w:r w:rsidR="00CC354E">
        <w:t>over de m</w:t>
      </w:r>
      <w:r w:rsidR="00AC45DD">
        <w:t xml:space="preserve">ogelijkheden </w:t>
      </w:r>
      <w:r w:rsidR="00F03962">
        <w:t xml:space="preserve">hiertoe </w:t>
      </w:r>
      <w:r w:rsidR="00AC45DD">
        <w:t xml:space="preserve">en </w:t>
      </w:r>
      <w:r w:rsidR="00F03962">
        <w:t xml:space="preserve">de </w:t>
      </w:r>
      <w:r w:rsidR="00AC45DD">
        <w:t>tijdspanne</w:t>
      </w:r>
      <w:r w:rsidR="00F03962">
        <w:t xml:space="preserve"> daarvoor</w:t>
      </w:r>
      <w:r w:rsidR="00AC45DD">
        <w:t xml:space="preserve">. </w:t>
      </w:r>
      <w:r w:rsidR="008330F6">
        <w:t xml:space="preserve">De </w:t>
      </w:r>
      <w:r w:rsidR="00CC354E">
        <w:t>r</w:t>
      </w:r>
      <w:r w:rsidR="008330F6">
        <w:t xml:space="preserve">apporteurs van de commissie BHOS hebben </w:t>
      </w:r>
      <w:r w:rsidR="003F0CDE">
        <w:t xml:space="preserve">daarnaast </w:t>
      </w:r>
      <w:r w:rsidR="00AC45DD">
        <w:t>een aantal zaken genoemd</w:t>
      </w:r>
      <w:r w:rsidR="003F0CDE">
        <w:t xml:space="preserve">, </w:t>
      </w:r>
      <w:r w:rsidR="00813A9E">
        <w:t>waaronder duidelijke afspraken over de wijze waarop het fonds bij beëindiging wordt uitgefaseerd</w:t>
      </w:r>
      <w:r w:rsidR="00FD395B">
        <w:t>, de afspraken in het kader van de begrotingsregels</w:t>
      </w:r>
      <w:r w:rsidR="00813A9E">
        <w:t xml:space="preserve"> en </w:t>
      </w:r>
      <w:r w:rsidR="003F0CDE">
        <w:t xml:space="preserve">onderwerpen voor betere informatievoorziening, die </w:t>
      </w:r>
      <w:r w:rsidR="00AC45DD">
        <w:t xml:space="preserve">hierbij zijn meegenomen. </w:t>
      </w:r>
      <w:r w:rsidR="00F962FD">
        <w:t xml:space="preserve">Dit is ook besproken in een werksessie met de rapporteurs en de Algemene Rekenkamer </w:t>
      </w:r>
      <w:r w:rsidR="00DE3611">
        <w:t xml:space="preserve">(AR) </w:t>
      </w:r>
      <w:r w:rsidR="00F962FD">
        <w:t xml:space="preserve">op </w:t>
      </w:r>
      <w:r w:rsidR="00E03110">
        <w:t xml:space="preserve">2 </w:t>
      </w:r>
      <w:r w:rsidR="00CC354E">
        <w:t>a</w:t>
      </w:r>
      <w:r w:rsidR="00E03110">
        <w:t xml:space="preserve">pril </w:t>
      </w:r>
      <w:r w:rsidR="00CC354E">
        <w:t xml:space="preserve">jl. </w:t>
      </w:r>
      <w:r w:rsidR="00DE3611">
        <w:t xml:space="preserve">Ik </w:t>
      </w:r>
      <w:r w:rsidR="00CC354E">
        <w:t xml:space="preserve">wil de rapporteurs en de AR bedanken voor </w:t>
      </w:r>
      <w:r w:rsidR="00DE3611">
        <w:t xml:space="preserve">de nuttige uitwisseling </w:t>
      </w:r>
      <w:r w:rsidR="00CC354E">
        <w:t>hierover</w:t>
      </w:r>
      <w:r w:rsidR="0065709D">
        <w:t xml:space="preserve"> </w:t>
      </w:r>
      <w:r w:rsidR="00BE44C6">
        <w:t>tijdens</w:t>
      </w:r>
      <w:r w:rsidR="0065709D">
        <w:t xml:space="preserve"> de afgelopen periode</w:t>
      </w:r>
      <w:r w:rsidR="00CC354E">
        <w:t xml:space="preserve">. </w:t>
      </w:r>
    </w:p>
    <w:p w:rsidR="00BF5E6E" w:rsidP="005A3543" w:rsidRDefault="00BF5E6E" w14:paraId="5BB0D458" w14:textId="77777777"/>
    <w:p w:rsidRPr="008C2888" w:rsidR="008330F6" w:rsidP="005A3543" w:rsidRDefault="00BF5E6E" w14:paraId="071DAAC3" w14:textId="01D3C6FB">
      <w:r>
        <w:t xml:space="preserve">In deze brief wordt </w:t>
      </w:r>
      <w:r w:rsidR="00CC354E">
        <w:t xml:space="preserve">achtereenvolgens </w:t>
      </w:r>
      <w:r>
        <w:t xml:space="preserve">ingegaan op </w:t>
      </w:r>
      <w:r w:rsidR="008C2888">
        <w:t>revolverende fondsen als beleidsinstrument voor BHOS</w:t>
      </w:r>
      <w:r w:rsidR="00CC354E">
        <w:t xml:space="preserve">, </w:t>
      </w:r>
      <w:r w:rsidR="00156BE3">
        <w:t xml:space="preserve">de </w:t>
      </w:r>
      <w:r w:rsidR="00CC354E">
        <w:t xml:space="preserve">uitwerking van </w:t>
      </w:r>
      <w:r w:rsidR="008C2888">
        <w:t>de elementen van een exit</w:t>
      </w:r>
      <w:r w:rsidR="00CC354E">
        <w:t>-</w:t>
      </w:r>
      <w:r w:rsidR="008C2888">
        <w:t>strategie</w:t>
      </w:r>
      <w:r w:rsidR="00CC354E">
        <w:t xml:space="preserve">, het proces van </w:t>
      </w:r>
      <w:r w:rsidR="008C2888">
        <w:t xml:space="preserve">implementatie </w:t>
      </w:r>
      <w:r w:rsidR="00CC354E">
        <w:t xml:space="preserve">voor bestaande fondsen, de </w:t>
      </w:r>
      <w:r w:rsidR="005955C5">
        <w:t xml:space="preserve">verbetering van de </w:t>
      </w:r>
      <w:r w:rsidR="00CC354E">
        <w:t xml:space="preserve">informatievoorziening en </w:t>
      </w:r>
      <w:r w:rsidR="00005882">
        <w:t xml:space="preserve">het </w:t>
      </w:r>
      <w:r w:rsidR="008C2888">
        <w:t xml:space="preserve">terugvloeien </w:t>
      </w:r>
      <w:r w:rsidR="00005882">
        <w:t xml:space="preserve">van middelen </w:t>
      </w:r>
      <w:r w:rsidR="00CC354E">
        <w:t xml:space="preserve">naar de begroting </w:t>
      </w:r>
      <w:r w:rsidR="008C2888">
        <w:t>bij de be</w:t>
      </w:r>
      <w:r w:rsidRPr="008C2888" w:rsidR="008C2888">
        <w:t>ë</w:t>
      </w:r>
      <w:r w:rsidR="008C2888">
        <w:t xml:space="preserve">indiging van een </w:t>
      </w:r>
      <w:proofErr w:type="spellStart"/>
      <w:r w:rsidR="008C2888">
        <w:t>revolverend</w:t>
      </w:r>
      <w:proofErr w:type="spellEnd"/>
      <w:r w:rsidR="008C2888">
        <w:t xml:space="preserve"> fonds.</w:t>
      </w:r>
    </w:p>
    <w:p w:rsidR="00B40DEF" w:rsidP="005671B4" w:rsidRDefault="00B40DEF" w14:paraId="618CCD89" w14:textId="77777777">
      <w:pPr>
        <w:rPr>
          <w:b/>
          <w:bCs/>
        </w:rPr>
      </w:pPr>
    </w:p>
    <w:p w:rsidR="00A65D6C" w:rsidP="005671B4" w:rsidRDefault="00A65D6C" w14:paraId="68251683" w14:textId="77777777">
      <w:pPr>
        <w:rPr>
          <w:b/>
          <w:bCs/>
        </w:rPr>
      </w:pPr>
    </w:p>
    <w:p w:rsidR="00A65D6C" w:rsidP="005671B4" w:rsidRDefault="00A65D6C" w14:paraId="59B05550" w14:textId="77777777">
      <w:pPr>
        <w:rPr>
          <w:b/>
          <w:bCs/>
        </w:rPr>
      </w:pPr>
    </w:p>
    <w:p w:rsidR="009D5F4C" w:rsidP="005671B4" w:rsidRDefault="009D5F4C" w14:paraId="2937E70E" w14:textId="50EAD9C0">
      <w:pPr>
        <w:rPr>
          <w:b/>
          <w:bCs/>
        </w:rPr>
      </w:pPr>
      <w:r>
        <w:rPr>
          <w:b/>
          <w:bCs/>
        </w:rPr>
        <w:lastRenderedPageBreak/>
        <w:t>Revolverende fondsen bij BHOS</w:t>
      </w:r>
    </w:p>
    <w:p w:rsidRPr="00A65D6C" w:rsidR="00A65D6C" w:rsidP="00A65D6C" w:rsidRDefault="009D5F4C" w14:paraId="0733F532" w14:textId="11075F7E">
      <w:r w:rsidRPr="000D2D80">
        <w:t xml:space="preserve">Revolverende fondsen zijn voor het kabinet een belangrijk instrument voor het behalen van de beleidsdoelen op het terrein van </w:t>
      </w:r>
      <w:r w:rsidRPr="00CC3978">
        <w:t>BHO</w:t>
      </w:r>
      <w:r>
        <w:t>S</w:t>
      </w:r>
      <w:r w:rsidRPr="000D2D80">
        <w:t>. Momenteel worden veertien revolverende fondsen vanuit artikel 1 en 2 van de BHO</w:t>
      </w:r>
      <w:r>
        <w:t>S</w:t>
      </w:r>
      <w:r w:rsidRPr="000D2D80">
        <w:t>-begroting gefinancierd. Deze fondsen</w:t>
      </w:r>
      <w:r w:rsidR="009A397C">
        <w:t xml:space="preserve"> zijn belangrijk voor het</w:t>
      </w:r>
      <w:r w:rsidRPr="000D2D80">
        <w:t xml:space="preserve"> realiseren</w:t>
      </w:r>
      <w:r w:rsidR="009A397C">
        <w:t xml:space="preserve"> van</w:t>
      </w:r>
      <w:r w:rsidRPr="000D2D80">
        <w:t xml:space="preserve"> beleidsdoelen met behulp van de private sector, op de terreinen van </w:t>
      </w:r>
      <w:r w:rsidR="00DD476B">
        <w:t xml:space="preserve">onder meer </w:t>
      </w:r>
      <w:r w:rsidRPr="004C5976" w:rsidR="00EF23BC">
        <w:t>handel</w:t>
      </w:r>
      <w:r w:rsidRPr="00601862" w:rsidR="0041238D">
        <w:t xml:space="preserve"> en</w:t>
      </w:r>
      <w:r w:rsidRPr="004C5976" w:rsidR="0041238D">
        <w:t xml:space="preserve"> </w:t>
      </w:r>
      <w:r w:rsidRPr="004C5976" w:rsidR="00EF23BC">
        <w:t>ontwikkelingssamenwerking</w:t>
      </w:r>
      <w:r w:rsidR="00BF1BE4">
        <w:t xml:space="preserve">, klimaat en </w:t>
      </w:r>
      <w:r w:rsidR="00DD476B">
        <w:t>voedselzekerheid</w:t>
      </w:r>
      <w:r w:rsidR="00A65D6C">
        <w:t xml:space="preserve">. </w:t>
      </w:r>
      <w:r w:rsidR="009A397C">
        <w:t xml:space="preserve">Ook </w:t>
      </w:r>
      <w:r w:rsidRPr="00A65D6C" w:rsidR="00A65D6C">
        <w:t xml:space="preserve">dragen </w:t>
      </w:r>
      <w:r w:rsidR="009A397C">
        <w:t xml:space="preserve">ze </w:t>
      </w:r>
      <w:r w:rsidRPr="00A65D6C" w:rsidR="00A65D6C">
        <w:t>bij aan het versterken van de financiële sector in partnerlanden en het verbeteren van toegang tot financiering, een belangrijk onderdeel van de economische partnerschappen waar Nederland op inzet.</w:t>
      </w:r>
    </w:p>
    <w:p w:rsidRPr="00A65D6C" w:rsidR="00A65D6C" w:rsidP="00A65D6C" w:rsidRDefault="00A65D6C" w14:paraId="6F523CAD" w14:textId="77777777"/>
    <w:p w:rsidR="009D5F4C" w:rsidP="00A65D6C" w:rsidRDefault="00A65D6C" w14:paraId="3568936D" w14:textId="2AD5E334">
      <w:r w:rsidRPr="00A65D6C">
        <w:t>Inzet van revolverende fondsen is op projecten</w:t>
      </w:r>
      <w:r w:rsidR="00BF1BE4">
        <w:t xml:space="preserve"> </w:t>
      </w:r>
      <w:r w:rsidRPr="000D2D80" w:rsidR="009D5F4C">
        <w:t xml:space="preserve">waar sprake is van een op termijn rendabel </w:t>
      </w:r>
      <w:r w:rsidRPr="003029B2" w:rsidR="009D5F4C">
        <w:t>bedrijfsmodel. De focus is hierbij op projecten waarvoor onvoldoende financiering in de markt beschikbaar is, maar waarbij wel de verwachting is dat de investering wordt terugbetaald.</w:t>
      </w:r>
      <w:r w:rsidRPr="000D2D80" w:rsidR="009D5F4C">
        <w:t xml:space="preserve"> </w:t>
      </w:r>
    </w:p>
    <w:p w:rsidR="009D5F4C" w:rsidP="009D5F4C" w:rsidRDefault="009D5F4C" w14:paraId="07EC9218" w14:textId="77777777"/>
    <w:p w:rsidRPr="00EF23BC" w:rsidR="009D5F4C" w:rsidP="005671B4" w:rsidRDefault="009D5F4C" w14:paraId="7EEEB110" w14:textId="373EE3B2">
      <w:r w:rsidRPr="000D2D80">
        <w:t xml:space="preserve">Doordat middelen uit een </w:t>
      </w:r>
      <w:proofErr w:type="spellStart"/>
      <w:r w:rsidRPr="000D2D80">
        <w:t>revolverend</w:t>
      </w:r>
      <w:proofErr w:type="spellEnd"/>
      <w:r w:rsidRPr="000D2D80">
        <w:t xml:space="preserve"> fonds meerdere keren kunnen worden ingezet, wordt met hetzelfde budget meer ontwikkelingsimpact bereikt</w:t>
      </w:r>
      <w:r w:rsidR="00255751">
        <w:t xml:space="preserve">; </w:t>
      </w:r>
      <w:r w:rsidRPr="00255751" w:rsidR="00255751">
        <w:t>terugvloeiende middelen kunnen opnieuw worden ingezet om duurzame lokale marktontwikkeling en private investeringen structureel te versterken.</w:t>
      </w:r>
      <w:r w:rsidRPr="000D2D80">
        <w:t xml:space="preserve"> </w:t>
      </w:r>
      <w:r w:rsidR="007E547F">
        <w:t>R</w:t>
      </w:r>
      <w:r w:rsidRPr="000D2D80">
        <w:t xml:space="preserve">evolverende fondsen </w:t>
      </w:r>
      <w:r w:rsidR="00781A3A">
        <w:t xml:space="preserve">kunnen </w:t>
      </w:r>
      <w:r w:rsidRPr="000D2D80">
        <w:t>ook private financiering</w:t>
      </w:r>
      <w:r w:rsidR="00781A3A">
        <w:t xml:space="preserve"> mobiliseren</w:t>
      </w:r>
      <w:r w:rsidR="006672A2">
        <w:t>, bijvoorbeeld</w:t>
      </w:r>
      <w:r w:rsidRPr="000D2D80">
        <w:t xml:space="preserve"> door het aantrekken van private financiers die zonder betrokkenheid van de overheid niet in het fonds geïnvesteerd zouden hebben.</w:t>
      </w:r>
    </w:p>
    <w:p w:rsidR="00436697" w:rsidP="005671B4" w:rsidRDefault="00436697" w14:paraId="6125B44A" w14:textId="77777777">
      <w:pPr>
        <w:rPr>
          <w:b/>
          <w:bCs/>
        </w:rPr>
      </w:pPr>
    </w:p>
    <w:p w:rsidRPr="00CC7911" w:rsidR="005671B4" w:rsidP="005671B4" w:rsidRDefault="005955C5" w14:paraId="4E3F47E9" w14:textId="2E052371">
      <w:pPr>
        <w:rPr>
          <w:b/>
        </w:rPr>
      </w:pPr>
      <w:r>
        <w:rPr>
          <w:b/>
        </w:rPr>
        <w:t>Uitwerking e</w:t>
      </w:r>
      <w:r w:rsidRPr="00CC7911" w:rsidR="005671B4">
        <w:rPr>
          <w:b/>
        </w:rPr>
        <w:t>lementen exit</w:t>
      </w:r>
      <w:r w:rsidRPr="00CC7911" w:rsidR="00FA1D72">
        <w:rPr>
          <w:b/>
        </w:rPr>
        <w:t>-</w:t>
      </w:r>
      <w:r w:rsidRPr="00CC7911" w:rsidR="005671B4">
        <w:rPr>
          <w:b/>
        </w:rPr>
        <w:t xml:space="preserve">strategie </w:t>
      </w:r>
    </w:p>
    <w:p w:rsidR="00FA25AA" w:rsidP="005671B4" w:rsidRDefault="00436697" w14:paraId="34B90BAA" w14:textId="58E71DE8">
      <w:r w:rsidRPr="00EA26BF">
        <w:t xml:space="preserve">In </w:t>
      </w:r>
      <w:r w:rsidRPr="00EA26BF" w:rsidR="00EA26BF">
        <w:t>mijn</w:t>
      </w:r>
      <w:r w:rsidRPr="00EA26BF">
        <w:t xml:space="preserve"> brief </w:t>
      </w:r>
      <w:r w:rsidRPr="00EA26BF" w:rsidR="00EA26BF">
        <w:t>van december</w:t>
      </w:r>
      <w:r w:rsidR="00C67473">
        <w:t xml:space="preserve"> jl.</w:t>
      </w:r>
      <w:r w:rsidRPr="00EA26BF" w:rsidR="00EA26BF">
        <w:t xml:space="preserve"> he</w:t>
      </w:r>
      <w:r w:rsidR="00C67473">
        <w:t>eft mijn voorganger</w:t>
      </w:r>
      <w:r w:rsidRPr="00EA26BF" w:rsidR="00EA26BF">
        <w:t xml:space="preserve"> aangegeven voor revolverende fondsen </w:t>
      </w:r>
      <w:r w:rsidR="00EA26BF">
        <w:t xml:space="preserve">meer eenduidige </w:t>
      </w:r>
      <w:r w:rsidRPr="00EA26BF" w:rsidR="00EA26BF">
        <w:t>exit-strategieën te gaan hanteren, met heldere einddata</w:t>
      </w:r>
      <w:r w:rsidR="00EA26BF">
        <w:t xml:space="preserve"> en </w:t>
      </w:r>
      <w:r w:rsidRPr="00EA26BF" w:rsidR="00EA26BF">
        <w:t>wegingsmomenten</w:t>
      </w:r>
      <w:r w:rsidR="00EA26BF">
        <w:t>,</w:t>
      </w:r>
      <w:r w:rsidRPr="00EA26BF" w:rsidR="00EA26BF">
        <w:t xml:space="preserve"> en </w:t>
      </w:r>
      <w:r w:rsidR="00EA26BF">
        <w:t xml:space="preserve">duidelijke </w:t>
      </w:r>
      <w:r w:rsidRPr="00EA26BF" w:rsidR="00EA26BF">
        <w:t xml:space="preserve">afspraken </w:t>
      </w:r>
      <w:r w:rsidR="00EA26BF">
        <w:t xml:space="preserve">met uitvoerders </w:t>
      </w:r>
      <w:r w:rsidRPr="00EA26BF" w:rsidR="00EA26BF">
        <w:t xml:space="preserve">over wat er gebeurt bij </w:t>
      </w:r>
      <w:r w:rsidR="00973F6C">
        <w:t xml:space="preserve">eventuele </w:t>
      </w:r>
      <w:r w:rsidRPr="00EA26BF" w:rsidR="00EA26BF">
        <w:t xml:space="preserve">beëindiging van een fonds en het terugvloeien van middelen. </w:t>
      </w:r>
    </w:p>
    <w:p w:rsidR="00FA25AA" w:rsidP="005671B4" w:rsidRDefault="00FA25AA" w14:paraId="6080C302" w14:textId="77777777"/>
    <w:p w:rsidR="00FA25AA" w:rsidP="005671B4" w:rsidRDefault="0038559C" w14:paraId="07949439" w14:textId="55771A3E">
      <w:r>
        <w:t>Het kabi</w:t>
      </w:r>
      <w:r w:rsidR="002B225B">
        <w:t>ne</w:t>
      </w:r>
      <w:r>
        <w:t>t</w:t>
      </w:r>
      <w:r w:rsidR="00DC5AC1">
        <w:t xml:space="preserve"> gaf daarbij reeds aan dat het hanteren van de exit-strategieën niet betekent dat een fonds op de einddatum perse beëindigd wordt. De opzet van een fonds kost tijd en een fonds</w:t>
      </w:r>
      <w:r w:rsidRPr="00FA25AA" w:rsidR="00FA25AA">
        <w:t xml:space="preserve"> bereik</w:t>
      </w:r>
      <w:r w:rsidR="00DC5AC1">
        <w:t xml:space="preserve">t </w:t>
      </w:r>
      <w:r w:rsidRPr="00FA25AA" w:rsidR="00FA25AA">
        <w:t>meer impact en word</w:t>
      </w:r>
      <w:r w:rsidR="00DC5AC1">
        <w:t>t</w:t>
      </w:r>
      <w:r w:rsidRPr="00FA25AA" w:rsidR="00FA25AA">
        <w:t xml:space="preserve"> doelmatiger naarmate er meer investeringsrondes plaatsvinden. </w:t>
      </w:r>
      <w:r w:rsidR="00DC5AC1">
        <w:t xml:space="preserve">Om die redenen </w:t>
      </w:r>
      <w:r w:rsidRPr="00FA25AA" w:rsidR="00FA25AA">
        <w:t xml:space="preserve">heeft het de voorkeur een fonds </w:t>
      </w:r>
      <w:r w:rsidR="00DC5AC1">
        <w:t>t</w:t>
      </w:r>
      <w:r w:rsidRPr="00FA25AA" w:rsidR="00FA25AA">
        <w:t>e verlengen</w:t>
      </w:r>
      <w:r w:rsidR="00DC5AC1">
        <w:t xml:space="preserve"> voor een extra investeringsperiode</w:t>
      </w:r>
      <w:r w:rsidRPr="00FA25AA" w:rsidR="00FA25AA">
        <w:t xml:space="preserve"> wanneer het goede resultaten behaalt en bijdraagt aan de BHO</w:t>
      </w:r>
      <w:r w:rsidR="00E85C9A">
        <w:t>S</w:t>
      </w:r>
      <w:r w:rsidRPr="00FA25AA" w:rsidR="00FA25AA">
        <w:t xml:space="preserve">-beleidsdoelen. </w:t>
      </w:r>
    </w:p>
    <w:p w:rsidR="00FA25AA" w:rsidP="005671B4" w:rsidRDefault="00FA25AA" w14:paraId="0336DB6D" w14:textId="77777777"/>
    <w:p w:rsidR="00AD62AE" w:rsidP="005671B4" w:rsidRDefault="005D6D10" w14:paraId="1CC2DB6F" w14:textId="65B50E69">
      <w:r w:rsidRPr="00915C43">
        <w:t xml:space="preserve">Voor de bestaande revolverende fondsen zijn </w:t>
      </w:r>
      <w:r>
        <w:t>de</w:t>
      </w:r>
      <w:r w:rsidRPr="00915C43">
        <w:t xml:space="preserve"> elementen </w:t>
      </w:r>
      <w:r w:rsidR="006A5645">
        <w:t xml:space="preserve">van de exit-strategie </w:t>
      </w:r>
      <w:r w:rsidRPr="00915C43">
        <w:t xml:space="preserve">deels reeds opgenomen in de afspraken met de uitvoerders. Tegelijkertijd zijn er verschillen tussen fondsen en in de </w:t>
      </w:r>
      <w:r>
        <w:t xml:space="preserve">precieze </w:t>
      </w:r>
      <w:r w:rsidRPr="00915C43">
        <w:t>afspraken die zijn gemaakt.</w:t>
      </w:r>
      <w:r>
        <w:t xml:space="preserve"> </w:t>
      </w:r>
      <w:r w:rsidR="00AD62AE">
        <w:t xml:space="preserve">De afgelopen periode zijn deze elementen op basis van </w:t>
      </w:r>
      <w:r w:rsidRPr="00AD62AE" w:rsidR="00AD62AE">
        <w:rPr>
          <w:i/>
          <w:iCs/>
        </w:rPr>
        <w:t xml:space="preserve">best </w:t>
      </w:r>
      <w:proofErr w:type="spellStart"/>
      <w:r w:rsidRPr="00AD62AE" w:rsidR="00AD62AE">
        <w:rPr>
          <w:i/>
          <w:iCs/>
        </w:rPr>
        <w:t>practices</w:t>
      </w:r>
      <w:proofErr w:type="spellEnd"/>
      <w:r w:rsidR="00AD62AE">
        <w:t xml:space="preserve"> uitgewerkt</w:t>
      </w:r>
      <w:r w:rsidR="006C23CD">
        <w:t xml:space="preserve"> en zijn de elementen getoetst op uitvoerbaarheid</w:t>
      </w:r>
      <w:r w:rsidR="00AD62AE">
        <w:t xml:space="preserve">. Daarnaast is gekeken </w:t>
      </w:r>
      <w:r w:rsidR="00C869E2">
        <w:t xml:space="preserve">in hoeverre bestaande fondsen al dan niet voldoen, en </w:t>
      </w:r>
      <w:r w:rsidR="00AD62AE">
        <w:t xml:space="preserve">wat de mogelijkheden en tijdspanne </w:t>
      </w:r>
      <w:r w:rsidR="00A6624E">
        <w:t>zijn</w:t>
      </w:r>
      <w:r w:rsidR="00AD62AE">
        <w:t xml:space="preserve"> voor </w:t>
      </w:r>
      <w:r w:rsidR="00C869E2">
        <w:t xml:space="preserve">eventuele aanpassingen </w:t>
      </w:r>
      <w:r w:rsidR="00A6624E">
        <w:t xml:space="preserve">om bestaande afspraken </w:t>
      </w:r>
      <w:r w:rsidR="00813A9E">
        <w:t xml:space="preserve">zo veel mogelijk </w:t>
      </w:r>
      <w:r w:rsidR="00A6624E">
        <w:t xml:space="preserve">in lijn te brengen met bovenstaande elementen. </w:t>
      </w:r>
    </w:p>
    <w:p w:rsidR="00915C43" w:rsidP="005671B4" w:rsidRDefault="00915C43" w14:paraId="46C34336" w14:textId="4852F38D">
      <w:pPr>
        <w:rPr>
          <w:i/>
          <w:iCs/>
        </w:rPr>
      </w:pPr>
    </w:p>
    <w:p w:rsidRPr="0014330D" w:rsidR="0014330D" w:rsidP="005671B4" w:rsidRDefault="0014330D" w14:paraId="40F8F671" w14:textId="68B1AED1">
      <w:pPr>
        <w:rPr>
          <w:i/>
          <w:iCs/>
        </w:rPr>
      </w:pPr>
      <w:r>
        <w:rPr>
          <w:i/>
          <w:iCs/>
        </w:rPr>
        <w:t>Einddatum</w:t>
      </w:r>
    </w:p>
    <w:p w:rsidR="00043B39" w:rsidP="005671B4" w:rsidRDefault="00A12463" w14:paraId="6B9A5FC4" w14:textId="5A71A5BF">
      <w:r>
        <w:t>De meeste fondsen hebben een einddatum</w:t>
      </w:r>
      <w:r w:rsidR="000F5B06">
        <w:t>,</w:t>
      </w:r>
      <w:r>
        <w:t xml:space="preserve"> maar het gebruik ervan verschilt</w:t>
      </w:r>
      <w:r w:rsidRPr="009D1F67" w:rsidR="009D1F67">
        <w:t xml:space="preserve">. </w:t>
      </w:r>
      <w:r w:rsidR="008E366A">
        <w:t>Voor een deel van de fondsen is de einddatum het moment waarop de investeringsperiode beëindigd is, voor een ander deel zijn op dat moment ook de uitstaande investeringen al afgewikkeld en betalingen terug in het fonds</w:t>
      </w:r>
      <w:r w:rsidR="00006AEC">
        <w:t xml:space="preserve"> gestort</w:t>
      </w:r>
      <w:r w:rsidR="008E366A">
        <w:t xml:space="preserve">. </w:t>
      </w:r>
      <w:r w:rsidR="008E366A">
        <w:lastRenderedPageBreak/>
        <w:t xml:space="preserve">Er is besloten de einddatum </w:t>
      </w:r>
      <w:r w:rsidR="003F4034">
        <w:t>eenduidig toe</w:t>
      </w:r>
      <w:r w:rsidR="008E366A">
        <w:t xml:space="preserve"> te gaan </w:t>
      </w:r>
      <w:r w:rsidR="003F4034">
        <w:t>pass</w:t>
      </w:r>
      <w:r w:rsidR="008E366A">
        <w:t>en: het</w:t>
      </w:r>
      <w:r w:rsidR="00712EB3">
        <w:t xml:space="preserve"> </w:t>
      </w:r>
      <w:r w:rsidR="008E366A">
        <w:t>betreft</w:t>
      </w:r>
      <w:r w:rsidR="00712EB3">
        <w:t xml:space="preserve"> </w:t>
      </w:r>
      <w:r w:rsidR="003F534E">
        <w:t>d</w:t>
      </w:r>
      <w:r w:rsidR="00712EB3">
        <w:t>e datum waarop</w:t>
      </w:r>
      <w:r w:rsidR="0002799F">
        <w:t xml:space="preserve"> de financieringsportefeuille is afgewikkeld en</w:t>
      </w:r>
      <w:r w:rsidR="00712EB3">
        <w:t xml:space="preserve"> alle middelen van de uitvoerder teruggevloeid moeten zijn naar BHO</w:t>
      </w:r>
      <w:r w:rsidR="00D35FDB">
        <w:t>S</w:t>
      </w:r>
      <w:r w:rsidR="00BB7C6D">
        <w:t xml:space="preserve"> </w:t>
      </w:r>
      <w:r w:rsidR="00AC5853">
        <w:t xml:space="preserve">indien het fonds niet verlengd </w:t>
      </w:r>
      <w:r w:rsidR="00B51FDC">
        <w:t>zou worden</w:t>
      </w:r>
      <w:r w:rsidR="00712EB3">
        <w:t xml:space="preserve">. </w:t>
      </w:r>
    </w:p>
    <w:p w:rsidR="00494DE2" w:rsidP="005671B4" w:rsidRDefault="00494DE2" w14:paraId="67337603" w14:textId="77777777"/>
    <w:p w:rsidRPr="00071BD7" w:rsidR="00071BD7" w:rsidP="005671B4" w:rsidRDefault="00071BD7" w14:paraId="081C56DC" w14:textId="4A995E90">
      <w:pPr>
        <w:rPr>
          <w:i/>
          <w:iCs/>
        </w:rPr>
      </w:pPr>
      <w:r>
        <w:rPr>
          <w:i/>
          <w:iCs/>
        </w:rPr>
        <w:t>Wegingsmomenten en besluitvorming</w:t>
      </w:r>
    </w:p>
    <w:p w:rsidR="00677F34" w:rsidP="005E5025" w:rsidRDefault="00FF0D6E" w14:paraId="57C6F714" w14:textId="6C22CF86">
      <w:pPr>
        <w:autoSpaceDN/>
        <w:spacing w:after="160" w:line="278" w:lineRule="auto"/>
        <w:textAlignment w:val="auto"/>
      </w:pPr>
      <w:r>
        <w:t>Ook</w:t>
      </w:r>
      <w:r w:rsidR="00B87A07">
        <w:t xml:space="preserve"> </w:t>
      </w:r>
      <w:r w:rsidR="00C55306">
        <w:t xml:space="preserve">de </w:t>
      </w:r>
      <w:r w:rsidR="00B87A07">
        <w:t xml:space="preserve">wegingsmomenten voor besluitvorming </w:t>
      </w:r>
      <w:r>
        <w:t xml:space="preserve">over het continueren dan wel beëindigen van een fonds worden </w:t>
      </w:r>
      <w:r w:rsidR="00191B4D">
        <w:t>meer eenduidig gemaakt</w:t>
      </w:r>
      <w:r w:rsidR="00C55306">
        <w:t xml:space="preserve">. </w:t>
      </w:r>
      <w:r>
        <w:t>Na de investeringsperiode vindt zo’n wegingsmoment plaats.</w:t>
      </w:r>
      <w:r w:rsidR="00AE7C49">
        <w:t xml:space="preserve"> </w:t>
      </w:r>
      <w:r w:rsidR="00666276">
        <w:t>Besluitvorming over</w:t>
      </w:r>
      <w:r w:rsidRPr="00677F34" w:rsidR="00666276">
        <w:t xml:space="preserve"> </w:t>
      </w:r>
      <w:r w:rsidR="00666276">
        <w:t>het continueren dan wel beëindigen vindt plaats op basis van onder andere de gerealiseerde en verwachte effectiviteit, de efficiëntie van het fonds (waaronder financi</w:t>
      </w:r>
      <w:r w:rsidRPr="00494DE2" w:rsidR="00666276">
        <w:t>ël</w:t>
      </w:r>
      <w:r w:rsidR="00666276">
        <w:t>e duurzaamheid) en aansluiting bij BHOS-beleidsdoelstellingen</w:t>
      </w:r>
      <w:r w:rsidR="00F57EC1">
        <w:t xml:space="preserve">. </w:t>
      </w:r>
      <w:r w:rsidR="004B4228">
        <w:t xml:space="preserve">Daarbij wordt onder meer gebruik gemaakt van de eindevaluatie en eventuele informatie uit tussentijdse evaluaties. </w:t>
      </w:r>
      <w:r w:rsidR="00677F34">
        <w:t xml:space="preserve">Wanneer wordt besloten tot het continueren van een fonds, wordt de einddatum verlengd om een nieuwe investeringsperiode mogelijk te maken. Wanneer wordt besloten het fonds te beëindigen, vindt afwikkeling plaats. </w:t>
      </w:r>
    </w:p>
    <w:p w:rsidR="000A5650" w:rsidP="005E5025" w:rsidRDefault="000A5650" w14:paraId="2B7AF1BC" w14:textId="7F5C61F9">
      <w:pPr>
        <w:autoSpaceDN/>
        <w:spacing w:after="160" w:line="278" w:lineRule="auto"/>
        <w:textAlignment w:val="auto"/>
        <w:rPr>
          <w:i/>
          <w:iCs/>
        </w:rPr>
      </w:pPr>
      <w:r>
        <w:rPr>
          <w:i/>
          <w:iCs/>
        </w:rPr>
        <w:t>Afspraken bij beëindiging</w:t>
      </w:r>
    </w:p>
    <w:p w:rsidRPr="0072457D" w:rsidR="005E5025" w:rsidP="005E5025" w:rsidRDefault="00303920" w14:paraId="4381FCA8" w14:textId="0A862DB0">
      <w:pPr>
        <w:autoSpaceDN/>
        <w:spacing w:after="160" w:line="278" w:lineRule="auto"/>
        <w:textAlignment w:val="auto"/>
      </w:pPr>
      <w:r>
        <w:t xml:space="preserve">Bij een besluit tot beëindiging, </w:t>
      </w:r>
      <w:r w:rsidR="002B591C">
        <w:t>moet de fondsbeheerder voor de einddatum het fonds afwikkelen</w:t>
      </w:r>
      <w:r>
        <w:t xml:space="preserve"> en resterende middelen terugstorten naar de BHOS-begroting</w:t>
      </w:r>
      <w:r w:rsidR="002B591C">
        <w:t xml:space="preserve">. </w:t>
      </w:r>
      <w:r w:rsidR="00DC1B24">
        <w:t xml:space="preserve">Met de uitvoerder worden hierover duidelijke afspraken gemaakt. </w:t>
      </w:r>
      <w:r w:rsidR="00156BE3">
        <w:t xml:space="preserve">Ook over de termijn waarop en het ritme waarin deze middelen terugvloeien naar BHOS worden afspraken gemaakt met een fondsbeheerder, die mede afhankelijk zijn van het aflopen van uitstaande investeringen en de afwikkeltermijn van het fonds. </w:t>
      </w:r>
      <w:r w:rsidR="009D7CAC">
        <w:t xml:space="preserve">Voor afwikkeling van de portefeuille moet rekening worden gehouden met de looptijd van de uitstaande investeringen. </w:t>
      </w:r>
      <w:r w:rsidR="002B591C">
        <w:t>Een jaar voor de einddatum doet de fondsbeheerder een voorstel over hoe er omgegaan</w:t>
      </w:r>
      <w:r w:rsidR="006B064C">
        <w:t xml:space="preserve"> </w:t>
      </w:r>
      <w:r w:rsidR="002B591C">
        <w:t>wordt met resterende activa</w:t>
      </w:r>
      <w:r w:rsidR="009D7CAC">
        <w:t>, die op dat moment nog niet afgewikkeld zijn</w:t>
      </w:r>
      <w:r w:rsidR="00937C0C">
        <w:rPr>
          <w:rStyle w:val="FootnoteReference"/>
        </w:rPr>
        <w:footnoteReference w:id="1"/>
      </w:r>
      <w:r w:rsidR="002B591C">
        <w:t xml:space="preserve">. </w:t>
      </w:r>
      <w:r w:rsidR="009D7CAC">
        <w:t>De uitvoerder ontvangt op basis hiervan uiterlijk</w:t>
      </w:r>
      <w:r w:rsidR="002B591C">
        <w:t xml:space="preserve"> 6 maanden voor de einddatum instructies </w:t>
      </w:r>
      <w:r w:rsidR="001B2E73">
        <w:t xml:space="preserve">van het ministerie </w:t>
      </w:r>
      <w:r w:rsidR="002B591C">
        <w:t xml:space="preserve">over wat er moet gebeuren met </w:t>
      </w:r>
      <w:r w:rsidR="00006971">
        <w:t xml:space="preserve">de </w:t>
      </w:r>
      <w:r w:rsidR="002B591C">
        <w:t>resterende activa.</w:t>
      </w:r>
      <w:r w:rsidR="0072457D">
        <w:t xml:space="preserve"> </w:t>
      </w:r>
    </w:p>
    <w:p w:rsidRPr="00E70AC2" w:rsidR="00314149" w:rsidP="00E17413" w:rsidRDefault="00314149" w14:paraId="3586A796" w14:textId="50F89DB8">
      <w:pPr>
        <w:rPr>
          <w:i/>
          <w:iCs/>
        </w:rPr>
      </w:pPr>
      <w:r w:rsidRPr="00E70AC2">
        <w:rPr>
          <w:i/>
          <w:iCs/>
        </w:rPr>
        <w:t xml:space="preserve">Ter illustratie: IDH </w:t>
      </w:r>
      <w:proofErr w:type="spellStart"/>
      <w:r w:rsidRPr="00E70AC2">
        <w:rPr>
          <w:i/>
          <w:iCs/>
        </w:rPr>
        <w:t>Farmfit</w:t>
      </w:r>
      <w:proofErr w:type="spellEnd"/>
      <w:r w:rsidRPr="00E70AC2">
        <w:rPr>
          <w:i/>
          <w:iCs/>
        </w:rPr>
        <w:t xml:space="preserve"> Fund</w:t>
      </w:r>
    </w:p>
    <w:p w:rsidR="00E17413" w:rsidP="00E17413" w:rsidRDefault="00E70AC2" w14:paraId="49CCECFC" w14:textId="28081E75">
      <w:r>
        <w:t>H</w:t>
      </w:r>
      <w:r w:rsidR="00E17413">
        <w:t xml:space="preserve">et IDH </w:t>
      </w:r>
      <w:proofErr w:type="spellStart"/>
      <w:r w:rsidR="00E17413">
        <w:t>Farmfit</w:t>
      </w:r>
      <w:proofErr w:type="spellEnd"/>
      <w:r w:rsidR="00E17413">
        <w:t xml:space="preserve"> Fund</w:t>
      </w:r>
      <w:r>
        <w:t xml:space="preserve"> voldoet aan de hier</w:t>
      </w:r>
      <w:r w:rsidR="00E17413">
        <w:t>boven beschreven exit-strategie</w:t>
      </w:r>
      <w:r>
        <w:t>. Dit</w:t>
      </w:r>
      <w:r w:rsidRPr="005E5025" w:rsidR="00E17413">
        <w:t xml:space="preserve"> publiek-privaat fonds van EUR 100 miljoen</w:t>
      </w:r>
      <w:r w:rsidR="00E17413">
        <w:t xml:space="preserve"> </w:t>
      </w:r>
      <w:r>
        <w:t xml:space="preserve">is opgericht in 2019 met als doel </w:t>
      </w:r>
      <w:r w:rsidRPr="005E5025" w:rsidR="00E17413">
        <w:t>duurzame impact voor kleinschalige boeren en risicoreductie in de landbouwketen</w:t>
      </w:r>
      <w:r w:rsidR="00E17413">
        <w:t xml:space="preserve"> </w:t>
      </w:r>
      <w:r>
        <w:t xml:space="preserve">te </w:t>
      </w:r>
      <w:r w:rsidR="00E17413">
        <w:t>bewerkstelligen</w:t>
      </w:r>
      <w:r w:rsidRPr="005E5025" w:rsidR="00E17413">
        <w:t xml:space="preserve">. Het fonds is mogelijk gemaakt </w:t>
      </w:r>
      <w:r w:rsidR="00E17413">
        <w:t xml:space="preserve">door </w:t>
      </w:r>
      <w:r w:rsidRPr="005E5025" w:rsidR="00E17413">
        <w:t xml:space="preserve">een subsidie </w:t>
      </w:r>
      <w:r>
        <w:t xml:space="preserve">van BHOS </w:t>
      </w:r>
      <w:r w:rsidRPr="005E5025" w:rsidR="00E17413">
        <w:t>(</w:t>
      </w:r>
      <w:r w:rsidR="00E17413">
        <w:t xml:space="preserve">in de vorm van een zogenaamde </w:t>
      </w:r>
      <w:r w:rsidRPr="00E70AC2" w:rsidR="00E17413">
        <w:rPr>
          <w:i/>
          <w:iCs/>
        </w:rPr>
        <w:t>first-</w:t>
      </w:r>
      <w:proofErr w:type="spellStart"/>
      <w:r w:rsidRPr="00E70AC2" w:rsidR="00E17413">
        <w:rPr>
          <w:i/>
          <w:iCs/>
        </w:rPr>
        <w:t>loss</w:t>
      </w:r>
      <w:proofErr w:type="spellEnd"/>
      <w:r w:rsidRPr="005E5025" w:rsidR="00E17413">
        <w:t xml:space="preserve"> bijdrage) van EUR 50 m</w:t>
      </w:r>
      <w:r w:rsidR="00E17413">
        <w:t xml:space="preserve">iljoen. </w:t>
      </w:r>
      <w:r w:rsidRPr="0078265F" w:rsidR="00E17413">
        <w:t>De einddatum</w:t>
      </w:r>
      <w:r w:rsidR="00E17413">
        <w:t xml:space="preserve"> van het fonds</w:t>
      </w:r>
      <w:r w:rsidRPr="0078265F" w:rsidR="00E17413">
        <w:t xml:space="preserve"> is 1 juli 2034. </w:t>
      </w:r>
      <w:r>
        <w:t>De i</w:t>
      </w:r>
      <w:r w:rsidRPr="0078265F">
        <w:t>nvesteerders</w:t>
      </w:r>
      <w:r>
        <w:t xml:space="preserve"> hebben</w:t>
      </w:r>
      <w:r w:rsidRPr="0078265F">
        <w:t xml:space="preserve"> </w:t>
      </w:r>
      <w:r>
        <w:t xml:space="preserve">in 2025 gezamenlijk </w:t>
      </w:r>
      <w:r w:rsidRPr="0078265F">
        <w:t xml:space="preserve">besloten </w:t>
      </w:r>
      <w:r>
        <w:t xml:space="preserve">de investeringsperiode </w:t>
      </w:r>
      <w:r w:rsidRPr="0078265F">
        <w:t>niet te verlengen</w:t>
      </w:r>
      <w:r>
        <w:t xml:space="preserve"> na 2026</w:t>
      </w:r>
      <w:r w:rsidRPr="0078265F">
        <w:t xml:space="preserve">. </w:t>
      </w:r>
      <w:r w:rsidR="006D653B">
        <w:t xml:space="preserve">De op dat moment uitstaande investeringen worden over een langere periode terugbetaald. </w:t>
      </w:r>
      <w:r w:rsidRPr="0078265F">
        <w:t xml:space="preserve">De fondsmanager zal per juli 2031 beginnen met </w:t>
      </w:r>
      <w:r w:rsidR="006D653B">
        <w:t xml:space="preserve">het terugbetalen </w:t>
      </w:r>
      <w:r w:rsidR="00093F60">
        <w:t>aan BHOS</w:t>
      </w:r>
      <w:r w:rsidRPr="0078265F">
        <w:t>.</w:t>
      </w:r>
      <w:r>
        <w:t xml:space="preserve"> </w:t>
      </w:r>
      <w:r w:rsidR="00BD0697">
        <w:t>Op</w:t>
      </w:r>
      <w:r w:rsidR="00E17413">
        <w:t xml:space="preserve"> de </w:t>
      </w:r>
      <w:r w:rsidR="00FE4A2E">
        <w:t>eind</w:t>
      </w:r>
      <w:r w:rsidR="00E17413">
        <w:t>datum</w:t>
      </w:r>
      <w:r w:rsidRPr="0078265F" w:rsidR="00E17413">
        <w:t xml:space="preserve"> </w:t>
      </w:r>
      <w:r w:rsidR="00FE4A2E">
        <w:t xml:space="preserve">van 1 juli 2034 </w:t>
      </w:r>
      <w:r w:rsidR="00E17413">
        <w:t xml:space="preserve">moet het fonds zijn afgewikkeld en </w:t>
      </w:r>
      <w:r w:rsidRPr="0078265F" w:rsidR="00E17413">
        <w:t xml:space="preserve">moeten overgebleven middelen aan het ministerie </w:t>
      </w:r>
      <w:r w:rsidR="00FE4A2E">
        <w:t>zijn</w:t>
      </w:r>
      <w:r w:rsidRPr="0078265F" w:rsidR="00E17413">
        <w:t xml:space="preserve"> terugbetaald. </w:t>
      </w:r>
    </w:p>
    <w:p w:rsidR="001971FC" w:rsidP="00DF278F" w:rsidRDefault="001971FC" w14:paraId="58377473" w14:textId="77777777"/>
    <w:p w:rsidRPr="003A7B22" w:rsidR="00DF278F" w:rsidP="00DF278F" w:rsidRDefault="005955C5" w14:paraId="4263510F" w14:textId="20BE9231">
      <w:pPr>
        <w:rPr>
          <w:b/>
          <w:bCs/>
        </w:rPr>
      </w:pPr>
      <w:r>
        <w:rPr>
          <w:b/>
          <w:bCs/>
        </w:rPr>
        <w:t>Proces van i</w:t>
      </w:r>
      <w:r w:rsidRPr="0049390A" w:rsidR="00DF278F">
        <w:rPr>
          <w:b/>
          <w:bCs/>
        </w:rPr>
        <w:t xml:space="preserve">mplementatie </w:t>
      </w:r>
      <w:r w:rsidR="00780522">
        <w:rPr>
          <w:b/>
          <w:bCs/>
        </w:rPr>
        <w:t>bestaande fondsen</w:t>
      </w:r>
    </w:p>
    <w:p w:rsidR="00CE5D9A" w:rsidP="00DF278F" w:rsidRDefault="00CE5D9A" w14:paraId="608BE6CB" w14:textId="5DA7333F">
      <w:pPr>
        <w:autoSpaceDN/>
        <w:spacing w:after="160" w:line="278" w:lineRule="auto"/>
        <w:textAlignment w:val="auto"/>
      </w:pPr>
      <w:r w:rsidRPr="002023CA">
        <w:t xml:space="preserve">Voor </w:t>
      </w:r>
      <w:r w:rsidR="00491E03">
        <w:t xml:space="preserve">de veertien </w:t>
      </w:r>
      <w:r w:rsidRPr="002023CA">
        <w:t xml:space="preserve">bestaande </w:t>
      </w:r>
      <w:r w:rsidR="00491E03">
        <w:t>BHOS-</w:t>
      </w:r>
      <w:r w:rsidRPr="002023CA">
        <w:t xml:space="preserve">fondsen moet </w:t>
      </w:r>
      <w:r w:rsidR="004E35E0">
        <w:t xml:space="preserve">implementatie </w:t>
      </w:r>
      <w:r w:rsidRPr="002023CA">
        <w:t>gebeuren binnen bestaande contractuele verplichtingen</w:t>
      </w:r>
      <w:r w:rsidR="004E35E0">
        <w:t>, tussen overheid en de uitvoerder</w:t>
      </w:r>
      <w:r w:rsidR="00597AE3">
        <w:t>,</w:t>
      </w:r>
      <w:r w:rsidR="004E35E0">
        <w:t xml:space="preserve"> en in </w:t>
      </w:r>
      <w:r w:rsidRPr="00CC3978" w:rsidR="004E35E0">
        <w:lastRenderedPageBreak/>
        <w:t>sommige gevallen ook met andere investeerders</w:t>
      </w:r>
      <w:r w:rsidR="004E35E0">
        <w:t xml:space="preserve">, waardoor </w:t>
      </w:r>
      <w:r>
        <w:t>de ruimte hiervoor per fonds</w:t>
      </w:r>
      <w:r w:rsidR="004E35E0">
        <w:t xml:space="preserve"> verschilt</w:t>
      </w:r>
      <w:r w:rsidR="00491E03">
        <w:t>:</w:t>
      </w:r>
    </w:p>
    <w:p w:rsidR="003944AE" w:rsidP="003944AE" w:rsidRDefault="003944AE" w14:paraId="45FBCA8E" w14:textId="1A88494C">
      <w:pPr>
        <w:pStyle w:val="ListParagraph"/>
        <w:numPr>
          <w:ilvl w:val="0"/>
          <w:numId w:val="27"/>
        </w:numPr>
        <w:autoSpaceDN/>
        <w:spacing w:after="160" w:line="278" w:lineRule="auto"/>
        <w:textAlignment w:val="auto"/>
      </w:pPr>
      <w:r>
        <w:t>Z</w:t>
      </w:r>
      <w:r w:rsidRPr="001D44BF" w:rsidR="001D44BF">
        <w:t xml:space="preserve">es </w:t>
      </w:r>
      <w:r>
        <w:t>z</w:t>
      </w:r>
      <w:r w:rsidR="001275AE">
        <w:t>ijn</w:t>
      </w:r>
      <w:r>
        <w:t xml:space="preserve"> </w:t>
      </w:r>
      <w:r w:rsidRPr="001D44BF" w:rsidR="001D44BF">
        <w:t xml:space="preserve">volledig in lijn </w:t>
      </w:r>
      <w:r w:rsidR="00597AE3">
        <w:t>met de hierboven beschreven elementen, deze fondsen</w:t>
      </w:r>
      <w:r w:rsidRPr="001D44BF" w:rsidR="001D44BF">
        <w:t xml:space="preserve"> behoeven </w:t>
      </w:r>
      <w:r w:rsidR="00D25FB6">
        <w:t xml:space="preserve">sowieso </w:t>
      </w:r>
      <w:r w:rsidRPr="001D44BF" w:rsidR="001D44BF">
        <w:t>geen aanpassing</w:t>
      </w:r>
      <w:r w:rsidRPr="00185E2A" w:rsidR="00200D35">
        <w:rPr>
          <w:rStyle w:val="FootnoteReference"/>
        </w:rPr>
        <w:footnoteReference w:id="2"/>
      </w:r>
      <w:r w:rsidRPr="001D44BF" w:rsidR="001D44BF">
        <w:t>.</w:t>
      </w:r>
      <w:r w:rsidR="00D13EF1">
        <w:t xml:space="preserve"> </w:t>
      </w:r>
    </w:p>
    <w:p w:rsidR="00047C3C" w:rsidP="00047C3C" w:rsidRDefault="0044236B" w14:paraId="78AFDB15" w14:textId="316190DD">
      <w:pPr>
        <w:pStyle w:val="ListParagraph"/>
        <w:numPr>
          <w:ilvl w:val="0"/>
          <w:numId w:val="27"/>
        </w:numPr>
        <w:autoSpaceDN/>
        <w:spacing w:after="160" w:line="278" w:lineRule="auto"/>
        <w:textAlignment w:val="auto"/>
      </w:pPr>
      <w:r>
        <w:t>Drie</w:t>
      </w:r>
      <w:r w:rsidR="00047C3C">
        <w:t xml:space="preserve"> fondsen zijn niet volledig in lijn met de beschreven systematiek</w:t>
      </w:r>
      <w:r w:rsidR="00047C3C">
        <w:rPr>
          <w:rStyle w:val="FootnoteReference"/>
        </w:rPr>
        <w:footnoteReference w:id="3"/>
      </w:r>
      <w:r w:rsidR="00047C3C">
        <w:t xml:space="preserve">, maar kennen een eigen systematiek die beëindiging mogelijk maakt. </w:t>
      </w:r>
      <w:r>
        <w:t>Zo is v</w:t>
      </w:r>
      <w:r w:rsidR="00047C3C">
        <w:t xml:space="preserve">oor </w:t>
      </w:r>
      <w:r>
        <w:t>DGGF1 en DTIF p</w:t>
      </w:r>
      <w:r w:rsidR="00047C3C">
        <w:t>ublicatie in de Staatscourant mogelijk, waarna beëindiging binnen zes</w:t>
      </w:r>
      <w:r w:rsidR="00F62265">
        <w:t xml:space="preserve"> tot twaalf</w:t>
      </w:r>
      <w:r w:rsidR="00047C3C">
        <w:t xml:space="preserve"> maanden plaatsvindt en afspraken met de uitvoerders kunnen worden gemaakt over afwikkeling.</w:t>
      </w:r>
      <w:r w:rsidRPr="003944AE" w:rsidR="00047C3C">
        <w:t xml:space="preserve"> </w:t>
      </w:r>
    </w:p>
    <w:p w:rsidR="001275AE" w:rsidP="005544F8" w:rsidRDefault="003944AE" w14:paraId="7BB48E8D" w14:textId="3D1136E9">
      <w:pPr>
        <w:pStyle w:val="ListParagraph"/>
        <w:numPr>
          <w:ilvl w:val="0"/>
          <w:numId w:val="27"/>
        </w:numPr>
        <w:autoSpaceDN/>
        <w:spacing w:after="160" w:line="278" w:lineRule="auto"/>
        <w:textAlignment w:val="auto"/>
      </w:pPr>
      <w:r w:rsidRPr="001D44BF">
        <w:t xml:space="preserve">Vier fondsen zijn nog niet volledig in lijn en </w:t>
      </w:r>
      <w:r>
        <w:t>kunnen binnen de contractuele afspraken</w:t>
      </w:r>
      <w:r w:rsidR="00FA195E">
        <w:t>, aan het einde van de investeringsperiode,</w:t>
      </w:r>
      <w:r>
        <w:t xml:space="preserve"> worden aangepast</w:t>
      </w:r>
      <w:r w:rsidRPr="00185E2A" w:rsidR="00D25FB6">
        <w:rPr>
          <w:rStyle w:val="FootnoteReference"/>
        </w:rPr>
        <w:footnoteReference w:id="4"/>
      </w:r>
      <w:r w:rsidRPr="001D44BF">
        <w:t>.</w:t>
      </w:r>
      <w:r>
        <w:t xml:space="preserve"> Dit zal de komende drie tot vier jaar plaatsvinden.   </w:t>
      </w:r>
    </w:p>
    <w:p w:rsidR="00DE1633" w:rsidP="005544F8" w:rsidRDefault="00C87237" w14:paraId="3F7767FD" w14:textId="50E9F98C">
      <w:pPr>
        <w:pStyle w:val="ListParagraph"/>
        <w:numPr>
          <w:ilvl w:val="0"/>
          <w:numId w:val="27"/>
        </w:numPr>
        <w:autoSpaceDN/>
        <w:spacing w:after="160" w:line="278" w:lineRule="auto"/>
        <w:textAlignment w:val="auto"/>
      </w:pPr>
      <w:r w:rsidRPr="005664A8">
        <w:t xml:space="preserve">Bij </w:t>
      </w:r>
      <w:r w:rsidR="00261FE1">
        <w:t xml:space="preserve">het </w:t>
      </w:r>
      <w:r w:rsidR="005664A8">
        <w:t>PIDG</w:t>
      </w:r>
      <w:r w:rsidR="00261FE1">
        <w:t>-fonds</w:t>
      </w:r>
      <w:r w:rsidR="005664A8">
        <w:t xml:space="preserve"> </w:t>
      </w:r>
      <w:r w:rsidR="00261FE1">
        <w:t xml:space="preserve">is </w:t>
      </w:r>
      <w:r w:rsidR="005664A8">
        <w:t>implementatie van de hierboven beschreven exit-strategie niet mogelijk</w:t>
      </w:r>
      <w:r w:rsidR="004B4228">
        <w:t>, onder meer omdat meerdere donoren betrokken zijn.</w:t>
      </w:r>
    </w:p>
    <w:p w:rsidRPr="005544F8" w:rsidR="00DE1633" w:rsidP="00DE1633" w:rsidRDefault="00DE1633" w14:paraId="79932D64" w14:textId="489167C5">
      <w:pPr>
        <w:rPr>
          <w:b/>
          <w:bCs/>
        </w:rPr>
      </w:pPr>
      <w:r>
        <w:rPr>
          <w:b/>
          <w:bCs/>
        </w:rPr>
        <w:t>Verbetering informatievoorziening</w:t>
      </w:r>
    </w:p>
    <w:p w:rsidR="006E6B2C" w:rsidP="00DB37D0" w:rsidRDefault="00DB60EB" w14:paraId="0E2A3054" w14:textId="4D67ED8B">
      <w:r>
        <w:t xml:space="preserve">De rapporteurs hebben gevraagd hoe de Tweede Kamer bij begroting en verantwoording inzicht krijgt in de resultaten van revolverende fondsen. </w:t>
      </w:r>
      <w:r w:rsidR="001C2FD2">
        <w:t xml:space="preserve">Revolverende fondsen </w:t>
      </w:r>
      <w:r w:rsidR="00DD3168">
        <w:t xml:space="preserve">zijn slechts een type instrument dat ten behoeve van de beleidsdoelstelling onder </w:t>
      </w:r>
      <w:r w:rsidRPr="000D2D80" w:rsidR="00DD3168">
        <w:t>artikel 1 en 2 van de BHO</w:t>
      </w:r>
      <w:r w:rsidR="00DD3168">
        <w:t>S</w:t>
      </w:r>
      <w:r w:rsidRPr="000D2D80" w:rsidR="00DD3168">
        <w:t>-begroting</w:t>
      </w:r>
      <w:r w:rsidR="00DD3168">
        <w:t xml:space="preserve"> wordt gezet. Verantwoording over de resultaten vindt in beginsel plaats als onderdeel van de reguliere begrotings- en verantwoordingssystematiek.</w:t>
      </w:r>
    </w:p>
    <w:p w:rsidR="00DD3168" w:rsidP="00DB37D0" w:rsidRDefault="00DD3168" w14:paraId="33379DF2" w14:textId="77777777"/>
    <w:p w:rsidR="00BA7475" w:rsidP="00DB37D0" w:rsidRDefault="00DD3168" w14:paraId="7FAB7892" w14:textId="27BFAF82">
      <w:r>
        <w:t>Vanwege de bijzonder</w:t>
      </w:r>
      <w:r w:rsidR="00A26CC8">
        <w:t>e</w:t>
      </w:r>
      <w:r>
        <w:t xml:space="preserve"> aard van de fondsen, wordt er door middel van de </w:t>
      </w:r>
      <w:proofErr w:type="spellStart"/>
      <w:r w:rsidR="003D66D4">
        <w:t>f</w:t>
      </w:r>
      <w:r>
        <w:t>actsheets</w:t>
      </w:r>
      <w:proofErr w:type="spellEnd"/>
      <w:r>
        <w:t xml:space="preserve"> als</w:t>
      </w:r>
      <w:r w:rsidRPr="00CB4626">
        <w:t xml:space="preserve"> bijlage bij de Memorie van Toelichting van de BHO</w:t>
      </w:r>
      <w:r>
        <w:t>S</w:t>
      </w:r>
      <w:r w:rsidRPr="00CB4626">
        <w:t xml:space="preserve">-begroting </w:t>
      </w:r>
      <w:r>
        <w:t xml:space="preserve">over de individuele fondsen </w:t>
      </w:r>
      <w:r w:rsidR="00DB60EB">
        <w:t xml:space="preserve">verdere </w:t>
      </w:r>
      <w:r>
        <w:t>informatie verstrekt. De</w:t>
      </w:r>
      <w:r w:rsidR="00DB60EB">
        <w:t xml:space="preserve"> </w:t>
      </w:r>
      <w:proofErr w:type="spellStart"/>
      <w:r w:rsidR="00A65D6C">
        <w:t>f</w:t>
      </w:r>
      <w:r w:rsidR="00DB60EB">
        <w:t>actsheets</w:t>
      </w:r>
      <w:proofErr w:type="spellEnd"/>
      <w:r w:rsidR="00DB60EB">
        <w:t xml:space="preserve"> zullen </w:t>
      </w:r>
      <w:r w:rsidR="005E1C99">
        <w:t xml:space="preserve">per Ontwerpbegroting 2027 </w:t>
      </w:r>
      <w:r w:rsidR="00C91171">
        <w:t>worden aangevuld</w:t>
      </w:r>
      <w:r w:rsidR="00D731E6">
        <w:t xml:space="preserve"> om de</w:t>
      </w:r>
      <w:r w:rsidR="00DB60EB">
        <w:t>ze</w:t>
      </w:r>
      <w:r w:rsidR="00D731E6">
        <w:t xml:space="preserve"> informatievoorziening verder te verbeteren</w:t>
      </w:r>
      <w:r w:rsidR="00C91171">
        <w:t>.</w:t>
      </w:r>
      <w:r w:rsidR="00BA7475">
        <w:t xml:space="preserve"> </w:t>
      </w:r>
      <w:r w:rsidR="00E75832">
        <w:t xml:space="preserve">Ten aanzien van de exit-strategieën zal </w:t>
      </w:r>
      <w:r w:rsidR="00DB37D0">
        <w:t xml:space="preserve">naast de </w:t>
      </w:r>
      <w:r w:rsidR="00DE1633">
        <w:t xml:space="preserve">einddatum </w:t>
      </w:r>
      <w:r w:rsidR="00DB37D0">
        <w:t xml:space="preserve">ook </w:t>
      </w:r>
      <w:r w:rsidR="0018367A">
        <w:t xml:space="preserve">het einde van de </w:t>
      </w:r>
      <w:r w:rsidR="00DE1633">
        <w:t xml:space="preserve">investeringsperiode </w:t>
      </w:r>
      <w:r w:rsidR="00E75832">
        <w:t>(</w:t>
      </w:r>
      <w:r w:rsidR="00DB37D0">
        <w:t xml:space="preserve">en </w:t>
      </w:r>
      <w:r w:rsidR="0018367A">
        <w:t>daarmee het</w:t>
      </w:r>
      <w:r w:rsidR="00DB37D0">
        <w:t xml:space="preserve"> wegingsmoment</w:t>
      </w:r>
      <w:r w:rsidR="00E75832">
        <w:t>)</w:t>
      </w:r>
      <w:r w:rsidR="00DB37D0">
        <w:t xml:space="preserve"> </w:t>
      </w:r>
      <w:r w:rsidR="00DE1633">
        <w:t>worden opgenomen</w:t>
      </w:r>
      <w:r w:rsidR="00DB37D0">
        <w:t>.</w:t>
      </w:r>
      <w:r w:rsidR="003B1610">
        <w:t xml:space="preserve"> </w:t>
      </w:r>
      <w:r w:rsidR="00FA195E">
        <w:t xml:space="preserve">De </w:t>
      </w:r>
      <w:proofErr w:type="spellStart"/>
      <w:r w:rsidR="00FA195E">
        <w:t>factsheets</w:t>
      </w:r>
      <w:proofErr w:type="spellEnd"/>
      <w:r w:rsidR="00FA195E">
        <w:t xml:space="preserve"> zullen ook worden gebruikt om de Tweede Kamer te informeren over de </w:t>
      </w:r>
      <w:r w:rsidRPr="00BB2A90" w:rsidR="00FA195E">
        <w:t>afwegingen en informatie die aan besluiten voor het continueren</w:t>
      </w:r>
      <w:r w:rsidR="00FA195E">
        <w:t xml:space="preserve"> </w:t>
      </w:r>
      <w:r w:rsidRPr="00BB2A90" w:rsidR="00FA195E">
        <w:t xml:space="preserve">of beëindigen van revolverende fondsen ten grondslag </w:t>
      </w:r>
      <w:r w:rsidR="00FA195E">
        <w:t xml:space="preserve">hebben gelegen. </w:t>
      </w:r>
      <w:r w:rsidR="003B1610">
        <w:t xml:space="preserve">Daarnaast </w:t>
      </w:r>
      <w:r w:rsidR="00BA7475">
        <w:t xml:space="preserve">hebben de rapporteurs </w:t>
      </w:r>
      <w:r w:rsidR="00DB60EB">
        <w:t xml:space="preserve">gevraagd naar </w:t>
      </w:r>
      <w:r w:rsidR="00045224">
        <w:t xml:space="preserve">de mate waarin een fonds </w:t>
      </w:r>
      <w:proofErr w:type="spellStart"/>
      <w:r w:rsidR="00045224">
        <w:t>revolveert</w:t>
      </w:r>
      <w:proofErr w:type="spellEnd"/>
      <w:r w:rsidR="00041B3A">
        <w:t xml:space="preserve"> en</w:t>
      </w:r>
      <w:r w:rsidR="00045224">
        <w:t xml:space="preserve"> </w:t>
      </w:r>
      <w:r w:rsidR="00A40718">
        <w:t xml:space="preserve">inzicht in </w:t>
      </w:r>
      <w:r w:rsidR="00045224">
        <w:t>de uitvoeringskosten</w:t>
      </w:r>
      <w:r w:rsidR="00041B3A">
        <w:t xml:space="preserve">. </w:t>
      </w:r>
    </w:p>
    <w:p w:rsidR="00BA7475" w:rsidP="00DB37D0" w:rsidRDefault="00BA7475" w14:paraId="429D607D" w14:textId="77777777"/>
    <w:p w:rsidR="00DE1633" w:rsidP="00DE1633" w:rsidRDefault="00D43CE1" w14:paraId="320E7ED7" w14:textId="7F2F5B0A">
      <w:pPr>
        <w:autoSpaceDN/>
        <w:spacing w:after="160" w:line="278" w:lineRule="auto"/>
        <w:textAlignment w:val="auto"/>
      </w:pPr>
      <w:r>
        <w:t xml:space="preserve">De mate van </w:t>
      </w:r>
      <w:proofErr w:type="spellStart"/>
      <w:r>
        <w:t>revolverendheid</w:t>
      </w:r>
      <w:proofErr w:type="spellEnd"/>
      <w:r>
        <w:t xml:space="preserve"> zal in evaluaties van de fondsen worden meegenomen. Wanneer zo’n evaluatie leidt tot een aanpassing van de </w:t>
      </w:r>
      <w:proofErr w:type="spellStart"/>
      <w:r>
        <w:t>revolverendheidsdoelstelling</w:t>
      </w:r>
      <w:proofErr w:type="spellEnd"/>
      <w:r>
        <w:t xml:space="preserve">, wordt dit opgenomen en toegelicht in de </w:t>
      </w:r>
      <w:proofErr w:type="spellStart"/>
      <w:r>
        <w:t>factsheets</w:t>
      </w:r>
      <w:proofErr w:type="spellEnd"/>
      <w:r>
        <w:t>. H</w:t>
      </w:r>
      <w:r w:rsidR="006A37B1">
        <w:t xml:space="preserve">et </w:t>
      </w:r>
      <w:r>
        <w:t xml:space="preserve">is </w:t>
      </w:r>
      <w:r w:rsidR="006A37B1">
        <w:t xml:space="preserve">niet zinvol gerealiseerde </w:t>
      </w:r>
      <w:proofErr w:type="spellStart"/>
      <w:r w:rsidR="006A37B1">
        <w:t>revolverendheid</w:t>
      </w:r>
      <w:proofErr w:type="spellEnd"/>
      <w:r w:rsidR="006A37B1">
        <w:t xml:space="preserve"> op te nemen in de jaarlijkse </w:t>
      </w:r>
      <w:proofErr w:type="spellStart"/>
      <w:r w:rsidR="003D66D4">
        <w:t>f</w:t>
      </w:r>
      <w:r w:rsidR="00DA321A">
        <w:t>actsheets</w:t>
      </w:r>
      <w:proofErr w:type="spellEnd"/>
      <w:r w:rsidR="00672AFA">
        <w:t>;</w:t>
      </w:r>
      <w:r w:rsidR="00B562EA">
        <w:t xml:space="preserve"> d</w:t>
      </w:r>
      <w:r w:rsidR="00DA321A">
        <w:t xml:space="preserve">e gerealiseerde </w:t>
      </w:r>
      <w:proofErr w:type="spellStart"/>
      <w:r w:rsidR="00DA321A">
        <w:t>revolverendheid</w:t>
      </w:r>
      <w:proofErr w:type="spellEnd"/>
      <w:r w:rsidR="00DA321A">
        <w:t xml:space="preserve"> hangt sterk af van de fase van het fonds: in de eerste jaren is hierover nog niets te zeggen omdat de portefeuille dan nog wordt opgebouwd en voor latere fasen behoeft dit duiding</w:t>
      </w:r>
      <w:r w:rsidR="001F6F5B">
        <w:t xml:space="preserve">. </w:t>
      </w:r>
    </w:p>
    <w:p w:rsidR="00CE0760" w:rsidP="003B26A1" w:rsidRDefault="004B4228" w14:paraId="4A505FA5" w14:textId="2005D13D">
      <w:r>
        <w:lastRenderedPageBreak/>
        <w:t>I</w:t>
      </w:r>
      <w:r w:rsidR="00B7715C">
        <w:t xml:space="preserve">nformatie over uitvoeringskosten </w:t>
      </w:r>
      <w:r>
        <w:t xml:space="preserve">wordt </w:t>
      </w:r>
      <w:r w:rsidR="00B7715C">
        <w:t xml:space="preserve">niet </w:t>
      </w:r>
      <w:r>
        <w:t>opgenomen</w:t>
      </w:r>
      <w:r w:rsidR="00B7715C">
        <w:t xml:space="preserve"> in de </w:t>
      </w:r>
      <w:proofErr w:type="spellStart"/>
      <w:r w:rsidR="00B7715C">
        <w:t>factsheets</w:t>
      </w:r>
      <w:proofErr w:type="spellEnd"/>
      <w:r w:rsidR="00B7715C">
        <w:t>, omdat de toegevoegde waarde niet opweegt tegen de kosten.</w:t>
      </w:r>
      <w:r w:rsidR="00CF535C">
        <w:t xml:space="preserve"> </w:t>
      </w:r>
      <w:r w:rsidR="00B7715C">
        <w:t>Doordat u</w:t>
      </w:r>
      <w:r w:rsidR="00CF535C">
        <w:t>itvoeringskosten verschillen per sector</w:t>
      </w:r>
      <w:r w:rsidR="00B7715C">
        <w:t>, i</w:t>
      </w:r>
      <w:r w:rsidR="00CF535C">
        <w:t>nvesteringsgrootte en bredere strategie van het fonds</w:t>
      </w:r>
      <w:r w:rsidR="00B7715C">
        <w:t xml:space="preserve"> geven ze slechts beperkt </w:t>
      </w:r>
      <w:r w:rsidR="003B1610">
        <w:t xml:space="preserve">een indicatie van de doelmatigheid van een fonds. </w:t>
      </w:r>
      <w:r w:rsidR="001F6F5B">
        <w:t xml:space="preserve">Daarnaast is het rapporteren hierover </w:t>
      </w:r>
      <w:r>
        <w:t>complex</w:t>
      </w:r>
      <w:r w:rsidR="00B7715C">
        <w:t>.</w:t>
      </w:r>
      <w:r w:rsidR="001F6F5B">
        <w:t xml:space="preserve"> In sommige gevallen zijn er meerdere financiers</w:t>
      </w:r>
      <w:r w:rsidR="00B7715C">
        <w:t xml:space="preserve"> voor </w:t>
      </w:r>
      <w:r w:rsidR="001F6F5B">
        <w:t>verschillende onderdelen van een fonds</w:t>
      </w:r>
      <w:r w:rsidR="00B7715C">
        <w:t xml:space="preserve"> en is </w:t>
      </w:r>
      <w:r>
        <w:t xml:space="preserve">het </w:t>
      </w:r>
      <w:r w:rsidR="00B7715C">
        <w:t xml:space="preserve">maar </w:t>
      </w:r>
      <w:r w:rsidR="001F6F5B">
        <w:t>beperkt mogelijk om te herleiden welke uitvoeringskosten over het</w:t>
      </w:r>
      <w:r>
        <w:t xml:space="preserve"> door het Ministerie financierde</w:t>
      </w:r>
      <w:r w:rsidR="001F6F5B">
        <w:t xml:space="preserve"> gedeelte wor</w:t>
      </w:r>
      <w:r w:rsidR="00672AFA">
        <w:t>den</w:t>
      </w:r>
      <w:r w:rsidR="001F6F5B">
        <w:t xml:space="preserve"> betaald. Het komt daarnaast voor dat </w:t>
      </w:r>
      <w:r w:rsidR="003B1610">
        <w:t xml:space="preserve">een fonds </w:t>
      </w:r>
      <w:r w:rsidR="001F6F5B">
        <w:t xml:space="preserve">via een opdracht </w:t>
      </w:r>
      <w:r w:rsidR="003B1610">
        <w:t xml:space="preserve">is </w:t>
      </w:r>
      <w:r w:rsidR="001F6F5B">
        <w:t>aanbesteed en dat informatie over uitvoeringskosten marktgevoelig is en niet publiek gemaakt kan worden</w:t>
      </w:r>
      <w:r w:rsidR="00DE1633">
        <w:t xml:space="preserve">. </w:t>
      </w:r>
    </w:p>
    <w:p w:rsidR="00AD057D" w:rsidP="003B26A1" w:rsidRDefault="00AD057D" w14:paraId="216FA2A4" w14:textId="77777777"/>
    <w:p w:rsidRPr="00185E2A" w:rsidR="00AD057D" w:rsidP="00AD057D" w:rsidRDefault="00AD057D" w14:paraId="5181FB2C" w14:textId="7FBCC465">
      <w:r>
        <w:t>Tenslotte hebben de rapporteurs gevraagd naar d</w:t>
      </w:r>
      <w:r w:rsidRPr="0065467E">
        <w:t xml:space="preserve">e aansluiting van de cijfers </w:t>
      </w:r>
      <w:r>
        <w:t xml:space="preserve">over revolverende fondsen </w:t>
      </w:r>
      <w:r w:rsidRPr="0065467E">
        <w:t xml:space="preserve">bij </w:t>
      </w:r>
      <w:r>
        <w:t xml:space="preserve">de </w:t>
      </w:r>
      <w:r w:rsidRPr="0065467E">
        <w:t xml:space="preserve">begroting en </w:t>
      </w:r>
      <w:r>
        <w:t xml:space="preserve">het </w:t>
      </w:r>
      <w:r w:rsidRPr="0065467E">
        <w:t>jaarverslag</w:t>
      </w:r>
      <w:r>
        <w:t xml:space="preserve"> en naar h</w:t>
      </w:r>
      <w:r w:rsidRPr="00577197">
        <w:t>et gedeelte van het totale fondsvermogen dat niet geïnvesteerd is</w:t>
      </w:r>
      <w:r>
        <w:t>. D</w:t>
      </w:r>
      <w:r w:rsidR="00E670CD">
        <w:t xml:space="preserve">it zal </w:t>
      </w:r>
      <w:r>
        <w:t xml:space="preserve">vanaf de Ontwerpbegroting 2027 in de </w:t>
      </w:r>
      <w:proofErr w:type="spellStart"/>
      <w:r>
        <w:t>factsheets</w:t>
      </w:r>
      <w:proofErr w:type="spellEnd"/>
      <w:r>
        <w:t xml:space="preserve"> worden opgenomen en toegelicht. </w:t>
      </w:r>
    </w:p>
    <w:p w:rsidR="00DE1633" w:rsidP="005671B4" w:rsidRDefault="00DE1633" w14:paraId="4D8BDFCF" w14:textId="77777777">
      <w:pPr>
        <w:rPr>
          <w:b/>
          <w:bCs/>
        </w:rPr>
      </w:pPr>
    </w:p>
    <w:p w:rsidR="005671B4" w:rsidP="005671B4" w:rsidRDefault="005955C5" w14:paraId="5E5FD28C" w14:textId="1155AAE2">
      <w:pPr>
        <w:rPr>
          <w:b/>
          <w:bCs/>
        </w:rPr>
      </w:pPr>
      <w:r>
        <w:rPr>
          <w:b/>
          <w:bCs/>
        </w:rPr>
        <w:t xml:space="preserve">Terugvloeien van </w:t>
      </w:r>
      <w:r w:rsidRPr="001B03C9" w:rsidR="005671B4">
        <w:rPr>
          <w:b/>
          <w:bCs/>
        </w:rPr>
        <w:t>middelen</w:t>
      </w:r>
      <w:r>
        <w:rPr>
          <w:b/>
          <w:bCs/>
        </w:rPr>
        <w:t xml:space="preserve"> bij beëindiging</w:t>
      </w:r>
    </w:p>
    <w:p w:rsidR="00015A5A" w:rsidP="00015A5A" w:rsidRDefault="00015A5A" w14:paraId="2623D7B8" w14:textId="51F96CE7">
      <w:pPr>
        <w:autoSpaceDN/>
        <w:spacing w:after="160" w:line="278" w:lineRule="auto"/>
        <w:textAlignment w:val="auto"/>
      </w:pPr>
      <w:r>
        <w:t xml:space="preserve">In de </w:t>
      </w:r>
      <w:r w:rsidR="0065504B">
        <w:t>K</w:t>
      </w:r>
      <w:r>
        <w:t xml:space="preserve">amerbrief van 15 december 2025 </w:t>
      </w:r>
      <w:r w:rsidR="0065504B">
        <w:t>is mijn voorganger</w:t>
      </w:r>
      <w:r>
        <w:t xml:space="preserve"> ingegaan op de wijze waarop middelen terugvloeien naar de BHOS-begroting. De rapporteurs hebben in hun brief van 18 december 2025 gevraagd nader in te gaan op onder meer de verschillende financiële opties bij beëindiging van een fonds en de afspraken in het kader van de begrotingsregels. </w:t>
      </w:r>
    </w:p>
    <w:p w:rsidR="00015A5A" w:rsidP="00015A5A" w:rsidRDefault="00015A5A" w14:paraId="4817721A" w14:textId="77777777">
      <w:pPr>
        <w:autoSpaceDN/>
        <w:spacing w:after="160" w:line="278" w:lineRule="auto"/>
        <w:textAlignment w:val="auto"/>
      </w:pPr>
      <w:r>
        <w:t xml:space="preserve">De non-ODA en ODA-ontvangsten die terugvloeien uit een </w:t>
      </w:r>
      <w:proofErr w:type="spellStart"/>
      <w:r>
        <w:t>revolverend</w:t>
      </w:r>
      <w:proofErr w:type="spellEnd"/>
      <w:r>
        <w:t xml:space="preserve"> fonds zullen als niet-belastingontvangst inzichtelijk gemaakt worden op de BHOS-begroting, in lijn met de Rijksbegrotingsvoorschriften. </w:t>
      </w:r>
    </w:p>
    <w:p w:rsidR="00015A5A" w:rsidP="00015A5A" w:rsidRDefault="00015A5A" w14:paraId="46813B7E" w14:textId="77777777">
      <w:pPr>
        <w:autoSpaceDN/>
        <w:spacing w:after="160" w:line="278" w:lineRule="auto"/>
        <w:textAlignment w:val="auto"/>
      </w:pPr>
      <w:r>
        <w:t>Omdat het jaarlijks uitgavenplafond van de begrotingen wordt vastgesteld op basis van de netto-uitgaven (uitgaven minus de niet-belastingontvangsten), kunnen deze ontvangsten opnieuw worden ingezet om – al dan niet nieuwe – uitgaven te bekostigen. Er ontstaat dus budgettaire ruimte onder het uitgavenplafond. Deze ruimte wordt in de regel ingezet om activiteiten te bekostigen op de BHOS-begroting. Een zittend kabinet kan ook anders beslissen over de inzet.</w:t>
      </w:r>
    </w:p>
    <w:p w:rsidR="00015A5A" w:rsidP="00015A5A" w:rsidRDefault="00015A5A" w14:paraId="66D427C3" w14:textId="77777777">
      <w:pPr>
        <w:autoSpaceDN/>
        <w:spacing w:after="160" w:line="278" w:lineRule="auto"/>
        <w:textAlignment w:val="auto"/>
      </w:pPr>
      <w:r>
        <w:t>Uit de richtlijnen van d</w:t>
      </w:r>
      <w:r w:rsidRPr="009C70FA">
        <w:t xml:space="preserve">e </w:t>
      </w:r>
      <w:r w:rsidRPr="00A25F8E">
        <w:rPr>
          <w:i/>
        </w:rPr>
        <w:t>Development Assistance Committee</w:t>
      </w:r>
      <w:r>
        <w:t xml:space="preserve"> (DAC) van de </w:t>
      </w:r>
      <w:r w:rsidRPr="009C70FA">
        <w:t xml:space="preserve">Organisatie voor Economische Samenwerking en Ontwikkeling (OESO) </w:t>
      </w:r>
      <w:r>
        <w:t>volgt dat ontvangsten die voortvloeien uit eerdere ODA-uitgaven als ODA-ontvangsten worden gerapporteerd.</w:t>
      </w:r>
      <w:r w:rsidRPr="000A0CC5">
        <w:t xml:space="preserve"> Dat is dan ook de onder dit kabinet gebruikelijke werkwijze. </w:t>
      </w:r>
      <w:r>
        <w:t xml:space="preserve">Dat betekent ook dat een ODA-ontvangst optreedt bij het beëindigen van een </w:t>
      </w:r>
      <w:proofErr w:type="spellStart"/>
      <w:r>
        <w:t>revolverend</w:t>
      </w:r>
      <w:proofErr w:type="spellEnd"/>
      <w:r>
        <w:t xml:space="preserve"> fonds dat eerder met ODA is gefinancierd. Omdat de jaarlijkse Nederlandse ODA-prestatie – zoals verantwoord in de HGIS-stukken – wordt berekend door de jaarlijkse ODA-ontvangsten van de jaarlijkse ODA-uitgaven af te halen, kan er een effect optreden op de Nederlandse ODA-prestatie indien ODA-ontvangsten niet opnieuw worden ingezet voor ODA. Dit negatieve effect kan voorkomen worden d</w:t>
      </w:r>
      <w:r w:rsidRPr="00CF7076">
        <w:t xml:space="preserve">oor de vrijvallende ODA-middelen in lijn met de ODA-prioriteiten </w:t>
      </w:r>
      <w:r>
        <w:t>in hetzelfde jaar van de ontvangst</w:t>
      </w:r>
      <w:r w:rsidRPr="00CF7076">
        <w:t xml:space="preserve"> </w:t>
      </w:r>
      <w:r>
        <w:t xml:space="preserve">opnieuw in te zetten. Dan is er additionele financiële inzet mogelijk ten behoeve van ontwikkelingssamenwerking. </w:t>
      </w:r>
    </w:p>
    <w:p w:rsidRPr="00DE1633" w:rsidR="00015A5A" w:rsidP="00015A5A" w:rsidRDefault="00015A5A" w14:paraId="74065F9E" w14:textId="67D0989D">
      <w:pPr>
        <w:autoSpaceDN/>
        <w:spacing w:after="160" w:line="278" w:lineRule="auto"/>
        <w:textAlignment w:val="auto"/>
      </w:pPr>
      <w:r>
        <w:t xml:space="preserve">Indien de ODA-ontvangsten in hetzelfde jaar opnieuw worden ingezet voor ODA, zal de ODA-prestatie gelijk blijven. De ODA-uitgaven stijgen dan immers even hard als de ODA-ontvangsten. Voor de rapportage op de ODA-prestatie in de </w:t>
      </w:r>
      <w:r>
        <w:lastRenderedPageBreak/>
        <w:t xml:space="preserve">HGIS-stukken en in de statistische rapportage daarover aan de OESO-DAC is er daarmee geen effect. Dat neemt dus niet weg dat er wél additionele financiële inzet mogelijk is ten behoeve van ontwikkelingssamenwerking. Indien ODA-ontvangsten niet opnieuw worden ingezet voor ODA in het desbetreffende jaar, dan daalt de Nederlandse ODA-prestatie in dat jaar. De reden hiervoor is dat er dan voor de ODA-ontvangsten geen nieuwe uitgaven in hetzelfde jaar tegenover staan. Uw Kamer wordt conform de reguliere begrotingssystematiek geïnformeerd over de budgettaire verwerking van ontvangsten die optreden bij het beëindigen van een </w:t>
      </w:r>
      <w:proofErr w:type="spellStart"/>
      <w:r>
        <w:t>revolverend</w:t>
      </w:r>
      <w:proofErr w:type="spellEnd"/>
      <w:r>
        <w:t xml:space="preserve"> fonds. Via het reguliere begrotingsproces kan uw Kamer hier tevens het budgetrecht over uitoefenen. </w:t>
      </w:r>
    </w:p>
    <w:p w:rsidR="005671B4" w:rsidP="005671B4" w:rsidRDefault="005A57B0" w14:paraId="68F11FB4" w14:textId="6D4BB7B2">
      <w:pPr>
        <w:rPr>
          <w:b/>
          <w:bCs/>
        </w:rPr>
      </w:pPr>
      <w:r>
        <w:rPr>
          <w:b/>
          <w:bCs/>
        </w:rPr>
        <w:t>Conclusie</w:t>
      </w:r>
    </w:p>
    <w:p w:rsidRPr="005671B4" w:rsidR="00A8059D" w:rsidP="00805282" w:rsidRDefault="001971FC" w14:paraId="1C8BF6FD" w14:textId="5D0A1D3F">
      <w:pPr>
        <w:autoSpaceDN/>
        <w:spacing w:after="160" w:line="278" w:lineRule="auto"/>
        <w:textAlignment w:val="auto"/>
        <w:rPr>
          <w:b/>
          <w:bCs/>
        </w:rPr>
      </w:pPr>
      <w:r>
        <w:t xml:space="preserve">Graag benadruk </w:t>
      </w:r>
      <w:r w:rsidRPr="00805282" w:rsidR="00805282">
        <w:t>ik</w:t>
      </w:r>
      <w:r w:rsidR="00351B3F">
        <w:t xml:space="preserve"> nogmaals</w:t>
      </w:r>
      <w:r w:rsidRPr="00805282" w:rsidR="00805282">
        <w:t xml:space="preserve"> mijn erkentelijkheid naar de rapporteurs voor hun aandacht voor revolverende fondsen.</w:t>
      </w:r>
      <w:r w:rsidR="00805282">
        <w:t xml:space="preserve"> </w:t>
      </w:r>
      <w:r w:rsidR="005B3D21">
        <w:t xml:space="preserve">Mede hierdoor hebben we stappen gezet in </w:t>
      </w:r>
      <w:r w:rsidR="009F7BF7">
        <w:t xml:space="preserve">meer eenduidige exit-strategieën en </w:t>
      </w:r>
      <w:r w:rsidR="005B3D21">
        <w:t xml:space="preserve">het verbeteren van de informatievoorziening rondom revolverende fondsen. </w:t>
      </w:r>
      <w:r w:rsidR="00744723">
        <w:t xml:space="preserve">De voortgang </w:t>
      </w:r>
      <w:r w:rsidR="001673C3">
        <w:t xml:space="preserve">hierop </w:t>
      </w:r>
      <w:r w:rsidR="00744723">
        <w:t xml:space="preserve">zal te volgen zijn in de </w:t>
      </w:r>
      <w:proofErr w:type="spellStart"/>
      <w:r w:rsidR="00744723">
        <w:t>factsheets</w:t>
      </w:r>
      <w:proofErr w:type="spellEnd"/>
      <w:r w:rsidR="00744723">
        <w:t xml:space="preserve"> bij de M</w:t>
      </w:r>
      <w:r w:rsidR="009F7BF7">
        <w:t>emorie van Toelichting</w:t>
      </w:r>
      <w:r w:rsidR="00744723">
        <w:t>.</w:t>
      </w:r>
      <w:r w:rsidR="00805282">
        <w:t xml:space="preserve"> </w:t>
      </w:r>
    </w:p>
    <w:p w:rsidR="00A8059D" w:rsidRDefault="00A8059D" w14:paraId="4C6247B1" w14:textId="77777777"/>
    <w:tbl>
      <w:tblPr>
        <w:tblStyle w:val="Tabelondertekening"/>
        <w:tblW w:w="11462" w:type="dxa"/>
        <w:tblInd w:w="0" w:type="dxa"/>
        <w:tblLayout w:type="fixed"/>
        <w:tblLook w:val="07E0" w:firstRow="1" w:lastRow="1" w:firstColumn="1" w:lastColumn="1" w:noHBand="1" w:noVBand="1"/>
      </w:tblPr>
      <w:tblGrid>
        <w:gridCol w:w="3620"/>
        <w:gridCol w:w="3921"/>
        <w:gridCol w:w="3921"/>
      </w:tblGrid>
      <w:tr w:rsidR="00D1539D" w:rsidTr="00D1539D" w14:paraId="348E2593" w14:textId="77777777">
        <w:tc>
          <w:tcPr>
            <w:tcW w:w="3620" w:type="dxa"/>
          </w:tcPr>
          <w:p w:rsidR="00D1539D" w:rsidRDefault="00D1539D" w14:paraId="348E2591" w14:textId="77777777">
            <w:r>
              <w:t>De minister van Buitenlandse Handel en Ontwikkelingssamenwerking,</w:t>
            </w:r>
            <w:r>
              <w:br/>
            </w:r>
            <w:r>
              <w:br/>
            </w:r>
            <w:r>
              <w:br/>
            </w:r>
            <w:r>
              <w:br/>
            </w:r>
            <w:r>
              <w:br/>
            </w:r>
            <w:r>
              <w:br/>
              <w:t>S.W. Sjoerdsma</w:t>
            </w:r>
          </w:p>
        </w:tc>
        <w:tc>
          <w:tcPr>
            <w:tcW w:w="3921" w:type="dxa"/>
          </w:tcPr>
          <w:p w:rsidR="00D1539D" w:rsidRDefault="00D1539D" w14:paraId="1BD8A523" w14:textId="77777777"/>
        </w:tc>
        <w:tc>
          <w:tcPr>
            <w:tcW w:w="3921" w:type="dxa"/>
          </w:tcPr>
          <w:p w:rsidR="00D1539D" w:rsidRDefault="00D1539D" w14:paraId="348E2592" w14:textId="5651D156"/>
        </w:tc>
      </w:tr>
    </w:tbl>
    <w:p w:rsidR="00C0016C" w:rsidRDefault="00C0016C" w14:paraId="348E2594" w14:textId="77777777"/>
    <w:sectPr w:rsidR="00C0016C" w:rsidSect="0012380C">
      <w:headerReference w:type="even" r:id="rId14"/>
      <w:headerReference w:type="default" r:id="rId15"/>
      <w:footerReference w:type="even" r:id="rId16"/>
      <w:footerReference w:type="default" r:id="rId17"/>
      <w:headerReference w:type="first" r:id="rId18"/>
      <w:footerReference w:type="first" r:id="rId19"/>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723D" w14:textId="77777777" w:rsidR="00FF3E71" w:rsidRDefault="00FF3E71">
      <w:pPr>
        <w:spacing w:line="240" w:lineRule="auto"/>
      </w:pPr>
      <w:r>
        <w:separator/>
      </w:r>
    </w:p>
  </w:endnote>
  <w:endnote w:type="continuationSeparator" w:id="0">
    <w:p w14:paraId="31D99FE1" w14:textId="77777777" w:rsidR="00FF3E71" w:rsidRDefault="00FF3E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5862" w14:textId="77777777" w:rsidR="002B225B" w:rsidRDefault="002B2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012410"/>
      <w:docPartObj>
        <w:docPartGallery w:val="Page Numbers (Bottom of Page)"/>
        <w:docPartUnique/>
      </w:docPartObj>
    </w:sdtPr>
    <w:sdtEndPr/>
    <w:sdtContent>
      <w:sdt>
        <w:sdtPr>
          <w:id w:val="-1769616900"/>
          <w:docPartObj>
            <w:docPartGallery w:val="Page Numbers (Top of Page)"/>
            <w:docPartUnique/>
          </w:docPartObj>
        </w:sdtPr>
        <w:sdtEndPr/>
        <w:sdtContent>
          <w:p w14:paraId="71959ED5" w14:textId="4E718A4A" w:rsidR="0031772A" w:rsidRDefault="0031772A">
            <w:pPr>
              <w:pStyle w:val="Footer"/>
              <w:jc w:val="right"/>
            </w:pPr>
            <w:r w:rsidRPr="0031772A">
              <w:rPr>
                <w:sz w:val="14"/>
                <w:szCs w:val="14"/>
              </w:rPr>
              <w:t xml:space="preserve">Pagina </w:t>
            </w:r>
            <w:r w:rsidRPr="0031772A">
              <w:rPr>
                <w:sz w:val="20"/>
                <w:szCs w:val="20"/>
              </w:rPr>
              <w:fldChar w:fldCharType="begin"/>
            </w:r>
            <w:r w:rsidRPr="0031772A">
              <w:rPr>
                <w:sz w:val="14"/>
                <w:szCs w:val="14"/>
              </w:rPr>
              <w:instrText>PAGE</w:instrText>
            </w:r>
            <w:r w:rsidRPr="0031772A">
              <w:rPr>
                <w:sz w:val="20"/>
                <w:szCs w:val="20"/>
              </w:rPr>
              <w:fldChar w:fldCharType="separate"/>
            </w:r>
            <w:r w:rsidRPr="0031772A">
              <w:rPr>
                <w:sz w:val="14"/>
                <w:szCs w:val="14"/>
              </w:rPr>
              <w:t>2</w:t>
            </w:r>
            <w:r w:rsidRPr="0031772A">
              <w:rPr>
                <w:sz w:val="20"/>
                <w:szCs w:val="20"/>
              </w:rPr>
              <w:fldChar w:fldCharType="end"/>
            </w:r>
            <w:r w:rsidRPr="0031772A">
              <w:rPr>
                <w:sz w:val="14"/>
                <w:szCs w:val="14"/>
              </w:rPr>
              <w:t xml:space="preserve"> van </w:t>
            </w:r>
            <w:r w:rsidRPr="0031772A">
              <w:rPr>
                <w:sz w:val="20"/>
                <w:szCs w:val="20"/>
              </w:rPr>
              <w:fldChar w:fldCharType="begin"/>
            </w:r>
            <w:r w:rsidRPr="0031772A">
              <w:rPr>
                <w:sz w:val="14"/>
                <w:szCs w:val="14"/>
              </w:rPr>
              <w:instrText>NUMPAGES</w:instrText>
            </w:r>
            <w:r w:rsidRPr="0031772A">
              <w:rPr>
                <w:sz w:val="20"/>
                <w:szCs w:val="20"/>
              </w:rPr>
              <w:fldChar w:fldCharType="separate"/>
            </w:r>
            <w:r w:rsidRPr="0031772A">
              <w:rPr>
                <w:sz w:val="14"/>
                <w:szCs w:val="14"/>
              </w:rPr>
              <w:t>2</w:t>
            </w:r>
            <w:r w:rsidRPr="0031772A">
              <w:rPr>
                <w:sz w:val="20"/>
                <w:szCs w:val="20"/>
              </w:rPr>
              <w:fldChar w:fldCharType="end"/>
            </w:r>
          </w:p>
        </w:sdtContent>
      </w:sdt>
    </w:sdtContent>
  </w:sdt>
  <w:p w14:paraId="3465C2B2" w14:textId="58A7632E" w:rsidR="4484D7C0" w:rsidRDefault="4484D7C0" w:rsidP="4484D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514"/>
      <w:gridCol w:w="2514"/>
      <w:gridCol w:w="2514"/>
    </w:tblGrid>
    <w:tr w:rsidR="4484D7C0" w14:paraId="44A10234" w14:textId="77777777" w:rsidTr="4484D7C0">
      <w:tc>
        <w:tcPr>
          <w:tcW w:w="2514" w:type="dxa"/>
        </w:tcPr>
        <w:p w14:paraId="5E8CC276" w14:textId="320D5FD0" w:rsidR="4484D7C0" w:rsidRDefault="4484D7C0" w:rsidP="4484D7C0">
          <w:pPr>
            <w:pStyle w:val="Header"/>
            <w:ind w:left="-115"/>
          </w:pPr>
        </w:p>
      </w:tc>
      <w:tc>
        <w:tcPr>
          <w:tcW w:w="2514" w:type="dxa"/>
        </w:tcPr>
        <w:p w14:paraId="771386DF" w14:textId="3EF1F3FB" w:rsidR="4484D7C0" w:rsidRDefault="4484D7C0" w:rsidP="4484D7C0">
          <w:pPr>
            <w:pStyle w:val="Header"/>
            <w:jc w:val="center"/>
          </w:pPr>
        </w:p>
      </w:tc>
      <w:tc>
        <w:tcPr>
          <w:tcW w:w="2514" w:type="dxa"/>
        </w:tcPr>
        <w:p w14:paraId="307C7F07" w14:textId="1D504453" w:rsidR="4484D7C0" w:rsidRDefault="4484D7C0" w:rsidP="4484D7C0">
          <w:pPr>
            <w:pStyle w:val="Header"/>
            <w:ind w:right="-115"/>
            <w:jc w:val="right"/>
          </w:pPr>
        </w:p>
      </w:tc>
    </w:tr>
  </w:tbl>
  <w:p w14:paraId="52C0647A" w14:textId="7DD40C20" w:rsidR="4484D7C0" w:rsidRDefault="4484D7C0" w:rsidP="4484D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D752" w14:textId="77777777" w:rsidR="00FF3E71" w:rsidRDefault="00FF3E71">
      <w:pPr>
        <w:spacing w:line="240" w:lineRule="auto"/>
      </w:pPr>
      <w:r>
        <w:separator/>
      </w:r>
    </w:p>
  </w:footnote>
  <w:footnote w:type="continuationSeparator" w:id="0">
    <w:p w14:paraId="3FFA2A74" w14:textId="77777777" w:rsidR="00FF3E71" w:rsidRDefault="00FF3E71">
      <w:pPr>
        <w:spacing w:line="240" w:lineRule="auto"/>
      </w:pPr>
      <w:r>
        <w:continuationSeparator/>
      </w:r>
    </w:p>
  </w:footnote>
  <w:footnote w:id="1">
    <w:p w14:paraId="229D2D2C" w14:textId="046DEF4C" w:rsidR="00937C0C" w:rsidRPr="00156BE3" w:rsidRDefault="00937C0C">
      <w:pPr>
        <w:pStyle w:val="FootnoteText"/>
        <w:rPr>
          <w:sz w:val="16"/>
          <w:szCs w:val="16"/>
        </w:rPr>
      </w:pPr>
      <w:r w:rsidRPr="00156BE3">
        <w:rPr>
          <w:rStyle w:val="FootnoteReference"/>
          <w:sz w:val="16"/>
          <w:szCs w:val="16"/>
        </w:rPr>
        <w:footnoteRef/>
      </w:r>
      <w:r w:rsidRPr="00156BE3">
        <w:rPr>
          <w:sz w:val="16"/>
          <w:szCs w:val="16"/>
        </w:rPr>
        <w:t xml:space="preserve"> Hierbij behoort verkoop van op dat moment nog uitstaande aandelenbelangen aan derden tot de mogelijkheid.</w:t>
      </w:r>
    </w:p>
  </w:footnote>
  <w:footnote w:id="2">
    <w:p w14:paraId="271FD81F" w14:textId="5E870D5B" w:rsidR="00200D35" w:rsidRPr="00200D35" w:rsidRDefault="00200D35" w:rsidP="00200D35">
      <w:pPr>
        <w:pStyle w:val="FootnoteText"/>
        <w:rPr>
          <w:sz w:val="16"/>
          <w:szCs w:val="16"/>
          <w:lang w:val="en-US"/>
        </w:rPr>
      </w:pPr>
      <w:r w:rsidRPr="00CE0760">
        <w:rPr>
          <w:rStyle w:val="FootnoteReference"/>
          <w:sz w:val="18"/>
          <w:szCs w:val="18"/>
        </w:rPr>
        <w:footnoteRef/>
      </w:r>
      <w:r w:rsidRPr="00CE0760">
        <w:rPr>
          <w:sz w:val="18"/>
          <w:szCs w:val="18"/>
          <w:lang w:val="en-US"/>
        </w:rPr>
        <w:t xml:space="preserve"> </w:t>
      </w:r>
      <w:r w:rsidRPr="00200D35">
        <w:rPr>
          <w:sz w:val="16"/>
          <w:szCs w:val="16"/>
          <w:lang w:val="en-US"/>
        </w:rPr>
        <w:t>Dutch Fund for Climate and Development</w:t>
      </w:r>
      <w:r>
        <w:rPr>
          <w:sz w:val="16"/>
          <w:szCs w:val="16"/>
          <w:lang w:val="en-US"/>
        </w:rPr>
        <w:t xml:space="preserve"> (DFCD)</w:t>
      </w:r>
      <w:r w:rsidRPr="00200D35">
        <w:rPr>
          <w:sz w:val="16"/>
          <w:szCs w:val="16"/>
          <w:lang w:val="en-US"/>
        </w:rPr>
        <w:t xml:space="preserve">; AGRI3; IDH </w:t>
      </w:r>
      <w:proofErr w:type="spellStart"/>
      <w:r w:rsidRPr="00200D35">
        <w:rPr>
          <w:sz w:val="16"/>
          <w:szCs w:val="16"/>
          <w:lang w:val="en-US"/>
        </w:rPr>
        <w:t>Farmfit</w:t>
      </w:r>
      <w:proofErr w:type="spellEnd"/>
      <w:r w:rsidRPr="00200D35">
        <w:rPr>
          <w:sz w:val="16"/>
          <w:szCs w:val="16"/>
          <w:lang w:val="en-US"/>
        </w:rPr>
        <w:t xml:space="preserve"> Fund; Climate Investor One</w:t>
      </w:r>
      <w:r>
        <w:rPr>
          <w:sz w:val="16"/>
          <w:szCs w:val="16"/>
          <w:lang w:val="en-US"/>
        </w:rPr>
        <w:t xml:space="preserve"> (CIO)</w:t>
      </w:r>
      <w:r w:rsidRPr="00200D35">
        <w:rPr>
          <w:sz w:val="16"/>
          <w:szCs w:val="16"/>
          <w:lang w:val="en-US"/>
        </w:rPr>
        <w:t xml:space="preserve">; GAFSP </w:t>
      </w:r>
      <w:proofErr w:type="spellStart"/>
      <w:r w:rsidR="005D07F1">
        <w:rPr>
          <w:sz w:val="16"/>
          <w:szCs w:val="16"/>
          <w:lang w:val="en-US"/>
        </w:rPr>
        <w:t>en</w:t>
      </w:r>
      <w:proofErr w:type="spellEnd"/>
      <w:r w:rsidRPr="00200D35">
        <w:rPr>
          <w:sz w:val="16"/>
          <w:szCs w:val="16"/>
          <w:lang w:val="en-US"/>
        </w:rPr>
        <w:t xml:space="preserve"> One Acre Fund</w:t>
      </w:r>
    </w:p>
  </w:footnote>
  <w:footnote w:id="3">
    <w:p w14:paraId="0D74A699" w14:textId="49965714" w:rsidR="00047C3C" w:rsidRPr="000575AE" w:rsidRDefault="00047C3C" w:rsidP="00047C3C">
      <w:pPr>
        <w:pStyle w:val="FootnoteText"/>
        <w:rPr>
          <w:lang w:val="en-US"/>
        </w:rPr>
      </w:pPr>
      <w:r>
        <w:rPr>
          <w:rStyle w:val="FootnoteReference"/>
        </w:rPr>
        <w:footnoteRef/>
      </w:r>
      <w:r>
        <w:rPr>
          <w:sz w:val="16"/>
          <w:szCs w:val="16"/>
          <w:lang w:val="en-US"/>
        </w:rPr>
        <w:t xml:space="preserve"> </w:t>
      </w:r>
      <w:r w:rsidRPr="00200D35">
        <w:rPr>
          <w:sz w:val="16"/>
          <w:szCs w:val="16"/>
          <w:lang w:val="en-US"/>
        </w:rPr>
        <w:t xml:space="preserve">Dutch Good Growth Fund </w:t>
      </w:r>
      <w:r>
        <w:rPr>
          <w:sz w:val="16"/>
          <w:szCs w:val="16"/>
          <w:lang w:val="en-US"/>
        </w:rPr>
        <w:t xml:space="preserve">1, </w:t>
      </w:r>
      <w:r w:rsidR="00797FA3">
        <w:rPr>
          <w:sz w:val="16"/>
          <w:szCs w:val="16"/>
          <w:lang w:val="en-US"/>
        </w:rPr>
        <w:t xml:space="preserve">Dutch Good Growth Fund 2, </w:t>
      </w:r>
      <w:r w:rsidRPr="00200D35">
        <w:rPr>
          <w:sz w:val="16"/>
          <w:szCs w:val="16"/>
          <w:lang w:val="en-US"/>
        </w:rPr>
        <w:t>Dutch Trade and Investment Fund</w:t>
      </w:r>
      <w:r>
        <w:rPr>
          <w:sz w:val="16"/>
          <w:szCs w:val="16"/>
          <w:lang w:val="en-US"/>
        </w:rPr>
        <w:t>.</w:t>
      </w:r>
    </w:p>
  </w:footnote>
  <w:footnote w:id="4">
    <w:p w14:paraId="5D001638" w14:textId="77777777" w:rsidR="00D25FB6" w:rsidRPr="00200D35" w:rsidRDefault="00D25FB6" w:rsidP="00D25FB6">
      <w:pPr>
        <w:pStyle w:val="FootnoteText"/>
        <w:rPr>
          <w:sz w:val="16"/>
          <w:szCs w:val="16"/>
          <w:lang w:val="en-US"/>
        </w:rPr>
      </w:pPr>
      <w:r w:rsidRPr="00CE0760">
        <w:rPr>
          <w:rStyle w:val="FootnoteReference"/>
          <w:sz w:val="18"/>
          <w:szCs w:val="18"/>
        </w:rPr>
        <w:footnoteRef/>
      </w:r>
      <w:r w:rsidRPr="00CE0760">
        <w:rPr>
          <w:sz w:val="18"/>
          <w:szCs w:val="18"/>
          <w:lang w:val="en-US"/>
        </w:rPr>
        <w:t xml:space="preserve"> </w:t>
      </w:r>
      <w:r w:rsidRPr="00200D35">
        <w:rPr>
          <w:sz w:val="16"/>
          <w:szCs w:val="16"/>
          <w:lang w:val="en-US"/>
        </w:rPr>
        <w:t>Mobilizing finance for Forests (MFF); Access to Energy Fund (AEF); Building Prospects (BP) &amp; MASSIF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3B0C" w14:textId="77777777" w:rsidR="002B225B" w:rsidRDefault="002B2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2595" w14:textId="33669259" w:rsidR="00C0016C" w:rsidRDefault="00F6143D">
    <w:r>
      <w:rPr>
        <w:noProof/>
      </w:rPr>
      <mc:AlternateContent>
        <mc:Choice Requires="wps">
          <w:drawing>
            <wp:anchor distT="0" distB="0" distL="0" distR="0" simplePos="0" relativeHeight="251658240" behindDoc="0" locked="1" layoutInCell="1" allowOverlap="1" wp14:anchorId="348E2599" wp14:editId="74C71911">
              <wp:simplePos x="0" y="0"/>
              <wp:positionH relativeFrom="page">
                <wp:posOffset>5920740</wp:posOffset>
              </wp:positionH>
              <wp:positionV relativeFrom="page">
                <wp:posOffset>1965960</wp:posOffset>
              </wp:positionV>
              <wp:extent cx="13411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1120" cy="8009890"/>
                      </a:xfrm>
                      <a:prstGeom prst="rect">
                        <a:avLst/>
                      </a:prstGeom>
                      <a:noFill/>
                    </wps:spPr>
                    <wps:txbx>
                      <w:txbxContent>
                        <w:p w14:paraId="348E25C7" w14:textId="77777777" w:rsidR="00C0016C" w:rsidRDefault="00F6143D">
                          <w:pPr>
                            <w:pStyle w:val="Referentiegegevensbold"/>
                          </w:pPr>
                          <w:r>
                            <w:t>Ministerie van Buitenlandse Zaken</w:t>
                          </w:r>
                        </w:p>
                        <w:p w14:paraId="348E25C8" w14:textId="77777777" w:rsidR="00C0016C" w:rsidRDefault="00C0016C">
                          <w:pPr>
                            <w:pStyle w:val="WitregelW2"/>
                          </w:pPr>
                        </w:p>
                        <w:p w14:paraId="348E25C9" w14:textId="77777777" w:rsidR="00C0016C" w:rsidRDefault="00F6143D">
                          <w:pPr>
                            <w:pStyle w:val="Referentiegegevensbold"/>
                          </w:pPr>
                          <w:r>
                            <w:t>Onze referentie</w:t>
                          </w:r>
                        </w:p>
                        <w:p w14:paraId="0931F38D" w14:textId="77777777" w:rsidR="0031772A" w:rsidRPr="0031772A" w:rsidRDefault="0031772A" w:rsidP="0031772A">
                          <w:pPr>
                            <w:pStyle w:val="Referentiegegevens"/>
                            <w:rPr>
                              <w:bCs/>
                            </w:rPr>
                          </w:pPr>
                          <w:r w:rsidRPr="0031772A">
                            <w:rPr>
                              <w:bCs/>
                            </w:rPr>
                            <w:t>BZ2628435</w:t>
                          </w:r>
                        </w:p>
                        <w:p w14:paraId="348E25CA" w14:textId="57F5BBC9" w:rsidR="00C0016C" w:rsidRDefault="00C0016C" w:rsidP="0031772A">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348E2599" id="_x0000_t202" coordsize="21600,21600" o:spt="202" path="m,l,21600r21600,l21600,xe">
              <v:stroke joinstyle="miter"/>
              <v:path gradientshapeok="t" o:connecttype="rect"/>
            </v:shapetype>
            <v:shape id="41b1110a-80a4-11ea-b356-6230a4311406" o:spid="_x0000_s1026" type="#_x0000_t202" style="position:absolute;margin-left:466.2pt;margin-top:154.8pt;width:105.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" filled="f" stroked="f">
              <v:textbox inset="0,0,0,0">
                <w:txbxContent>
                  <w:p w14:paraId="348E25C7" w14:textId="77777777" w:rsidR="00C0016C" w:rsidRDefault="00F6143D">
                    <w:pPr>
                      <w:pStyle w:val="Referentiegegevensbold"/>
                    </w:pPr>
                    <w:r>
                      <w:t>Ministerie van Buitenlandse Zaken</w:t>
                    </w:r>
                  </w:p>
                  <w:p w14:paraId="348E25C8" w14:textId="77777777" w:rsidR="00C0016C" w:rsidRDefault="00C0016C">
                    <w:pPr>
                      <w:pStyle w:val="WitregelW2"/>
                    </w:pPr>
                  </w:p>
                  <w:p w14:paraId="348E25C9" w14:textId="77777777" w:rsidR="00C0016C" w:rsidRDefault="00F6143D">
                    <w:pPr>
                      <w:pStyle w:val="Referentiegegevensbold"/>
                    </w:pPr>
                    <w:r>
                      <w:t>Onze referentie</w:t>
                    </w:r>
                  </w:p>
                  <w:p w14:paraId="0931F38D" w14:textId="77777777" w:rsidR="0031772A" w:rsidRPr="0031772A" w:rsidRDefault="0031772A" w:rsidP="0031772A">
                    <w:pPr>
                      <w:pStyle w:val="Referentiegegevens"/>
                      <w:rPr>
                        <w:bCs/>
                      </w:rPr>
                    </w:pPr>
                    <w:r w:rsidRPr="0031772A">
                      <w:rPr>
                        <w:bCs/>
                      </w:rPr>
                      <w:t>BZ2628435</w:t>
                    </w:r>
                  </w:p>
                  <w:p w14:paraId="348E25CA" w14:textId="57F5BBC9" w:rsidR="00C0016C" w:rsidRDefault="00C0016C" w:rsidP="0031772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48E259D" wp14:editId="6965B64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48E25D9" w14:textId="77777777" w:rsidR="00F6143D" w:rsidRDefault="00F6143D"/>
                      </w:txbxContent>
                    </wps:txbx>
                    <wps:bodyPr vert="horz" wrap="square" lIns="0" tIns="0" rIns="0" bIns="0" anchor="t" anchorCtr="0"/>
                  </wps:wsp>
                </a:graphicData>
              </a:graphic>
            </wp:anchor>
          </w:drawing>
        </mc:Choice>
        <mc:Fallback>
          <w:pict>
            <v:shape w14:anchorId="348E259D"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48E25D9" w14:textId="77777777" w:rsidR="00F6143D" w:rsidRDefault="00F6143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2597" w14:textId="1C283ED4" w:rsidR="00C0016C" w:rsidRDefault="00F6143D" w:rsidP="0029021D">
    <w:pPr>
      <w:tabs>
        <w:tab w:val="left" w:pos="2620"/>
      </w:tabs>
      <w:spacing w:after="7131" w:line="14" w:lineRule="exact"/>
    </w:pPr>
    <w:r>
      <w:rPr>
        <w:noProof/>
      </w:rPr>
      <mc:AlternateContent>
        <mc:Choice Requires="wps">
          <w:drawing>
            <wp:anchor distT="0" distB="0" distL="0" distR="0" simplePos="0" relativeHeight="251658243" behindDoc="0" locked="1" layoutInCell="1" allowOverlap="1" wp14:anchorId="348E259F" wp14:editId="348E25A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48E25CC" w14:textId="77777777" w:rsidR="00F6143D" w:rsidRDefault="00F6143D"/>
                      </w:txbxContent>
                    </wps:txbx>
                    <wps:bodyPr vert="horz" wrap="square" lIns="0" tIns="0" rIns="0" bIns="0" anchor="t" anchorCtr="0"/>
                  </wps:wsp>
                </a:graphicData>
              </a:graphic>
            </wp:anchor>
          </w:drawing>
        </mc:Choice>
        <mc:Fallback>
          <w:pict>
            <v:shapetype w14:anchorId="348E259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48E25CC" w14:textId="77777777" w:rsidR="00F6143D" w:rsidRDefault="00F6143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48E25A1" wp14:editId="348E25A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8E25B0" w14:textId="77777777" w:rsidR="00C0016C" w:rsidRDefault="00F6143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48E25A1"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48E25B0" w14:textId="77777777" w:rsidR="00C0016C" w:rsidRDefault="00F6143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48E25A3" wp14:editId="348E25A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C0016C" w14:paraId="348E25B3" w14:textId="77777777">
                            <w:tc>
                              <w:tcPr>
                                <w:tcW w:w="678" w:type="dxa"/>
                              </w:tcPr>
                              <w:p w14:paraId="348E25B1" w14:textId="77777777" w:rsidR="00C0016C" w:rsidRDefault="00F6143D">
                                <w:r>
                                  <w:t>Datum</w:t>
                                </w:r>
                              </w:p>
                            </w:tc>
                            <w:tc>
                              <w:tcPr>
                                <w:tcW w:w="6851" w:type="dxa"/>
                              </w:tcPr>
                              <w:p w14:paraId="348E25B2" w14:textId="417D112B" w:rsidR="00C0016C" w:rsidRDefault="002B225B">
                                <w:r>
                                  <w:t xml:space="preserve">29 </w:t>
                                </w:r>
                                <w:r w:rsidR="0003062B">
                                  <w:t xml:space="preserve">mei </w:t>
                                </w:r>
                                <w:r w:rsidR="00F6143D">
                                  <w:t>2026</w:t>
                                </w:r>
                              </w:p>
                            </w:tc>
                          </w:tr>
                          <w:tr w:rsidR="00C0016C" w14:paraId="348E25B8" w14:textId="77777777">
                            <w:tc>
                              <w:tcPr>
                                <w:tcW w:w="678" w:type="dxa"/>
                              </w:tcPr>
                              <w:p w14:paraId="348E25B4" w14:textId="77777777" w:rsidR="00C0016C" w:rsidRDefault="00F6143D">
                                <w:r>
                                  <w:t>Betreft</w:t>
                                </w:r>
                              </w:p>
                              <w:p w14:paraId="348E25B5" w14:textId="77777777" w:rsidR="00C0016C" w:rsidRDefault="00C0016C"/>
                            </w:tc>
                            <w:tc>
                              <w:tcPr>
                                <w:tcW w:w="6851" w:type="dxa"/>
                              </w:tcPr>
                              <w:p w14:paraId="348E25B6" w14:textId="43C4E5CD" w:rsidR="00C0016C" w:rsidRDefault="0031772A">
                                <w:r>
                                  <w:t>R</w:t>
                                </w:r>
                                <w:r w:rsidR="00F6143D">
                                  <w:t xml:space="preserve">evolverende </w:t>
                                </w:r>
                                <w:r w:rsidR="00E375A4">
                                  <w:t>f</w:t>
                                </w:r>
                                <w:r w:rsidR="00F6143D">
                                  <w:t>ondsen</w:t>
                                </w:r>
                              </w:p>
                              <w:p w14:paraId="348E25B7" w14:textId="77777777" w:rsidR="00C0016C" w:rsidRDefault="00C0016C"/>
                            </w:tc>
                          </w:tr>
                        </w:tbl>
                        <w:p w14:paraId="348E25B9" w14:textId="77777777" w:rsidR="00C0016C" w:rsidRDefault="00C0016C"/>
                        <w:p w14:paraId="348E25BA" w14:textId="77777777" w:rsidR="00C0016C" w:rsidRDefault="00C0016C"/>
                      </w:txbxContent>
                    </wps:txbx>
                    <wps:bodyPr vert="horz" wrap="square" lIns="0" tIns="0" rIns="0" bIns="0" anchor="t" anchorCtr="0"/>
                  </wps:wsp>
                </a:graphicData>
              </a:graphic>
            </wp:anchor>
          </w:drawing>
        </mc:Choice>
        <mc:Fallback>
          <w:pict>
            <v:shape w14:anchorId="348E25A3"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C0016C" w14:paraId="348E25B3" w14:textId="77777777">
                      <w:tc>
                        <w:tcPr>
                          <w:tcW w:w="678" w:type="dxa"/>
                        </w:tcPr>
                        <w:p w14:paraId="348E25B1" w14:textId="77777777" w:rsidR="00C0016C" w:rsidRDefault="00F6143D">
                          <w:r>
                            <w:t>Datum</w:t>
                          </w:r>
                        </w:p>
                      </w:tc>
                      <w:tc>
                        <w:tcPr>
                          <w:tcW w:w="6851" w:type="dxa"/>
                        </w:tcPr>
                        <w:p w14:paraId="348E25B2" w14:textId="417D112B" w:rsidR="00C0016C" w:rsidRDefault="002B225B">
                          <w:r>
                            <w:t xml:space="preserve">29 </w:t>
                          </w:r>
                          <w:r w:rsidR="0003062B">
                            <w:t xml:space="preserve">mei </w:t>
                          </w:r>
                          <w:r w:rsidR="00F6143D">
                            <w:t>2026</w:t>
                          </w:r>
                        </w:p>
                      </w:tc>
                    </w:tr>
                    <w:tr w:rsidR="00C0016C" w14:paraId="348E25B8" w14:textId="77777777">
                      <w:tc>
                        <w:tcPr>
                          <w:tcW w:w="678" w:type="dxa"/>
                        </w:tcPr>
                        <w:p w14:paraId="348E25B4" w14:textId="77777777" w:rsidR="00C0016C" w:rsidRDefault="00F6143D">
                          <w:r>
                            <w:t>Betreft</w:t>
                          </w:r>
                        </w:p>
                        <w:p w14:paraId="348E25B5" w14:textId="77777777" w:rsidR="00C0016C" w:rsidRDefault="00C0016C"/>
                      </w:tc>
                      <w:tc>
                        <w:tcPr>
                          <w:tcW w:w="6851" w:type="dxa"/>
                        </w:tcPr>
                        <w:p w14:paraId="348E25B6" w14:textId="43C4E5CD" w:rsidR="00C0016C" w:rsidRDefault="0031772A">
                          <w:r>
                            <w:t>R</w:t>
                          </w:r>
                          <w:r w:rsidR="00F6143D">
                            <w:t xml:space="preserve">evolverende </w:t>
                          </w:r>
                          <w:r w:rsidR="00E375A4">
                            <w:t>f</w:t>
                          </w:r>
                          <w:r w:rsidR="00F6143D">
                            <w:t>ondsen</w:t>
                          </w:r>
                        </w:p>
                        <w:p w14:paraId="348E25B7" w14:textId="77777777" w:rsidR="00C0016C" w:rsidRDefault="00C0016C"/>
                      </w:tc>
                    </w:tr>
                  </w:tbl>
                  <w:p w14:paraId="348E25B9" w14:textId="77777777" w:rsidR="00C0016C" w:rsidRDefault="00C0016C"/>
                  <w:p w14:paraId="348E25BA" w14:textId="77777777" w:rsidR="00C0016C" w:rsidRDefault="00C0016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48E25A5" wp14:editId="22D8A74C">
              <wp:simplePos x="0" y="0"/>
              <wp:positionH relativeFrom="page">
                <wp:posOffset>5920740</wp:posOffset>
              </wp:positionH>
              <wp:positionV relativeFrom="page">
                <wp:posOffset>1965960</wp:posOffset>
              </wp:positionV>
              <wp:extent cx="140208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2080" cy="8009890"/>
                      </a:xfrm>
                      <a:prstGeom prst="rect">
                        <a:avLst/>
                      </a:prstGeom>
                      <a:noFill/>
                    </wps:spPr>
                    <wps:txbx>
                      <w:txbxContent>
                        <w:p w14:paraId="348E25BC" w14:textId="1B3C1C0F" w:rsidR="00C0016C" w:rsidRDefault="00F6143D" w:rsidP="002B225B">
                          <w:pPr>
                            <w:pStyle w:val="Referentiegegevensbold"/>
                          </w:pPr>
                          <w:r>
                            <w:t>Ministerie van Buitenlandse Zaken</w:t>
                          </w:r>
                        </w:p>
                        <w:p w14:paraId="4031916B" w14:textId="77777777" w:rsidR="0031772A" w:rsidRDefault="0031772A">
                          <w:pPr>
                            <w:pStyle w:val="Referentiegegevens"/>
                          </w:pPr>
                          <w:r>
                            <w:t>Rijnstraat 8</w:t>
                          </w:r>
                          <w:r>
                            <w:br/>
                            <w:t>2515 XP Den Haag</w:t>
                          </w:r>
                          <w:r>
                            <w:br/>
                            <w:t>Postbus 20061</w:t>
                          </w:r>
                          <w:r>
                            <w:br/>
                            <w:t>Nederland</w:t>
                          </w:r>
                        </w:p>
                        <w:p w14:paraId="6CDC42C5" w14:textId="77777777" w:rsidR="0031772A" w:rsidRDefault="0031772A">
                          <w:pPr>
                            <w:pStyle w:val="Referentiegegevens"/>
                          </w:pPr>
                        </w:p>
                        <w:p w14:paraId="348E25BE" w14:textId="48A4945B" w:rsidR="00C0016C" w:rsidRPr="00345D69" w:rsidRDefault="00F6143D">
                          <w:pPr>
                            <w:pStyle w:val="Referentiegegevens"/>
                            <w:rPr>
                              <w:lang w:val="de-DE"/>
                            </w:rPr>
                          </w:pPr>
                          <w:r w:rsidRPr="00345D69">
                            <w:rPr>
                              <w:lang w:val="de-DE"/>
                            </w:rPr>
                            <w:t>www.minbuza.nl</w:t>
                          </w:r>
                        </w:p>
                        <w:p w14:paraId="348E25BF" w14:textId="77777777" w:rsidR="00C0016C" w:rsidRPr="00345D69" w:rsidRDefault="00C0016C">
                          <w:pPr>
                            <w:pStyle w:val="WitregelW2"/>
                            <w:rPr>
                              <w:lang w:val="de-DE"/>
                            </w:rPr>
                          </w:pPr>
                        </w:p>
                        <w:p w14:paraId="6B86F60F" w14:textId="77777777" w:rsidR="0031772A" w:rsidRPr="00345D69" w:rsidRDefault="00F6143D" w:rsidP="0031772A">
                          <w:pPr>
                            <w:pStyle w:val="Referentiegegevensbold"/>
                            <w:rPr>
                              <w:b w:val="0"/>
                              <w:lang w:val="de-DE"/>
                            </w:rPr>
                          </w:pPr>
                          <w:proofErr w:type="spellStart"/>
                          <w:r w:rsidRPr="00345D69">
                            <w:rPr>
                              <w:lang w:val="de-DE"/>
                            </w:rPr>
                            <w:t>Onze</w:t>
                          </w:r>
                          <w:proofErr w:type="spellEnd"/>
                          <w:r w:rsidRPr="00345D69">
                            <w:rPr>
                              <w:lang w:val="de-DE"/>
                            </w:rPr>
                            <w:t xml:space="preserve"> </w:t>
                          </w:r>
                          <w:proofErr w:type="spellStart"/>
                          <w:r w:rsidRPr="00345D69">
                            <w:rPr>
                              <w:lang w:val="de-DE"/>
                            </w:rPr>
                            <w:t>referentie</w:t>
                          </w:r>
                          <w:proofErr w:type="spellEnd"/>
                          <w:r w:rsidR="0031772A" w:rsidRPr="00345D69">
                            <w:rPr>
                              <w:lang w:val="de-DE"/>
                            </w:rPr>
                            <w:br/>
                          </w:r>
                          <w:r w:rsidR="0031772A" w:rsidRPr="00345D69">
                            <w:rPr>
                              <w:b w:val="0"/>
                              <w:lang w:val="de-DE"/>
                            </w:rPr>
                            <w:t>BZ2628435</w:t>
                          </w:r>
                        </w:p>
                        <w:p w14:paraId="348E25C0" w14:textId="339A9735" w:rsidR="00C0016C" w:rsidRPr="00345D69" w:rsidRDefault="00C0016C">
                          <w:pPr>
                            <w:pStyle w:val="Referentiegegevensbold"/>
                            <w:rPr>
                              <w:b w:val="0"/>
                              <w:lang w:val="de-DE"/>
                            </w:rPr>
                          </w:pPr>
                        </w:p>
                        <w:p w14:paraId="348E25C4" w14:textId="152F4B64" w:rsidR="00C0016C" w:rsidRPr="0031772A" w:rsidRDefault="0031772A">
                          <w:pPr>
                            <w:pStyle w:val="Referentiegegevens"/>
                            <w:rPr>
                              <w:b/>
                              <w:bCs/>
                            </w:rPr>
                          </w:pPr>
                          <w:r w:rsidRPr="0031772A">
                            <w:rPr>
                              <w:b/>
                              <w:bCs/>
                            </w:rPr>
                            <w:t>Bijlagen</w:t>
                          </w:r>
                        </w:p>
                      </w:txbxContent>
                    </wps:txbx>
                    <wps:bodyPr vert="horz" wrap="square" lIns="0" tIns="0" rIns="0" bIns="0" anchor="t" anchorCtr="0"/>
                  </wps:wsp>
                </a:graphicData>
              </a:graphic>
              <wp14:sizeRelH relativeFrom="margin">
                <wp14:pctWidth>0</wp14:pctWidth>
              </wp14:sizeRelH>
            </wp:anchor>
          </w:drawing>
        </mc:Choice>
        <mc:Fallback>
          <w:pict>
            <v:shape w14:anchorId="348E25A5" id="41b10cd4-80a4-11ea-b356-6230a4311406" o:spid="_x0000_s1031" type="#_x0000_t202" style="position:absolute;margin-left:466.2pt;margin-top:154.8pt;width:110.4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" filled="f" stroked="f">
              <v:textbox inset="0,0,0,0">
                <w:txbxContent>
                  <w:p w14:paraId="348E25BC" w14:textId="1B3C1C0F" w:rsidR="00C0016C" w:rsidRDefault="00F6143D" w:rsidP="002B225B">
                    <w:pPr>
                      <w:pStyle w:val="Referentiegegevensbold"/>
                    </w:pPr>
                    <w:r>
                      <w:t>Ministerie van Buitenlandse Zaken</w:t>
                    </w:r>
                  </w:p>
                  <w:p w14:paraId="4031916B" w14:textId="77777777" w:rsidR="0031772A" w:rsidRDefault="0031772A">
                    <w:pPr>
                      <w:pStyle w:val="Referentiegegevens"/>
                    </w:pPr>
                    <w:r>
                      <w:t>Rijnstraat 8</w:t>
                    </w:r>
                    <w:r>
                      <w:br/>
                      <w:t>2515 XP Den Haag</w:t>
                    </w:r>
                    <w:r>
                      <w:br/>
                      <w:t>Postbus 20061</w:t>
                    </w:r>
                    <w:r>
                      <w:br/>
                      <w:t>Nederland</w:t>
                    </w:r>
                  </w:p>
                  <w:p w14:paraId="6CDC42C5" w14:textId="77777777" w:rsidR="0031772A" w:rsidRDefault="0031772A">
                    <w:pPr>
                      <w:pStyle w:val="Referentiegegevens"/>
                    </w:pPr>
                  </w:p>
                  <w:p w14:paraId="348E25BE" w14:textId="48A4945B" w:rsidR="00C0016C" w:rsidRPr="00345D69" w:rsidRDefault="00F6143D">
                    <w:pPr>
                      <w:pStyle w:val="Referentiegegevens"/>
                      <w:rPr>
                        <w:lang w:val="de-DE"/>
                      </w:rPr>
                    </w:pPr>
                    <w:r w:rsidRPr="00345D69">
                      <w:rPr>
                        <w:lang w:val="de-DE"/>
                      </w:rPr>
                      <w:t>www.minbuza.nl</w:t>
                    </w:r>
                  </w:p>
                  <w:p w14:paraId="348E25BF" w14:textId="77777777" w:rsidR="00C0016C" w:rsidRPr="00345D69" w:rsidRDefault="00C0016C">
                    <w:pPr>
                      <w:pStyle w:val="WitregelW2"/>
                      <w:rPr>
                        <w:lang w:val="de-DE"/>
                      </w:rPr>
                    </w:pPr>
                  </w:p>
                  <w:p w14:paraId="6B86F60F" w14:textId="77777777" w:rsidR="0031772A" w:rsidRPr="00345D69" w:rsidRDefault="00F6143D" w:rsidP="0031772A">
                    <w:pPr>
                      <w:pStyle w:val="Referentiegegevensbold"/>
                      <w:rPr>
                        <w:b w:val="0"/>
                        <w:lang w:val="de-DE"/>
                      </w:rPr>
                    </w:pPr>
                    <w:proofErr w:type="spellStart"/>
                    <w:r w:rsidRPr="00345D69">
                      <w:rPr>
                        <w:lang w:val="de-DE"/>
                      </w:rPr>
                      <w:t>Onze</w:t>
                    </w:r>
                    <w:proofErr w:type="spellEnd"/>
                    <w:r w:rsidRPr="00345D69">
                      <w:rPr>
                        <w:lang w:val="de-DE"/>
                      </w:rPr>
                      <w:t xml:space="preserve"> </w:t>
                    </w:r>
                    <w:proofErr w:type="spellStart"/>
                    <w:r w:rsidRPr="00345D69">
                      <w:rPr>
                        <w:lang w:val="de-DE"/>
                      </w:rPr>
                      <w:t>referentie</w:t>
                    </w:r>
                    <w:proofErr w:type="spellEnd"/>
                    <w:r w:rsidR="0031772A" w:rsidRPr="00345D69">
                      <w:rPr>
                        <w:lang w:val="de-DE"/>
                      </w:rPr>
                      <w:br/>
                    </w:r>
                    <w:r w:rsidR="0031772A" w:rsidRPr="00345D69">
                      <w:rPr>
                        <w:b w:val="0"/>
                        <w:lang w:val="de-DE"/>
                      </w:rPr>
                      <w:t>BZ2628435</w:t>
                    </w:r>
                  </w:p>
                  <w:p w14:paraId="348E25C0" w14:textId="339A9735" w:rsidR="00C0016C" w:rsidRPr="00345D69" w:rsidRDefault="00C0016C">
                    <w:pPr>
                      <w:pStyle w:val="Referentiegegevensbold"/>
                      <w:rPr>
                        <w:b w:val="0"/>
                        <w:lang w:val="de-DE"/>
                      </w:rPr>
                    </w:pPr>
                  </w:p>
                  <w:p w14:paraId="348E25C4" w14:textId="152F4B64" w:rsidR="00C0016C" w:rsidRPr="0031772A" w:rsidRDefault="0031772A">
                    <w:pPr>
                      <w:pStyle w:val="Referentiegegevens"/>
                      <w:rPr>
                        <w:b/>
                        <w:bCs/>
                      </w:rPr>
                    </w:pPr>
                    <w:r w:rsidRPr="0031772A">
                      <w:rPr>
                        <w:b/>
                        <w:bCs/>
                      </w:rPr>
                      <w:t>Bijlagen</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48E25A9" wp14:editId="4EFF089B">
              <wp:simplePos x="0" y="0"/>
              <wp:positionH relativeFrom="page">
                <wp:posOffset>4721225</wp:posOffset>
              </wp:positionH>
              <wp:positionV relativeFrom="page">
                <wp:posOffset>10455910</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id w:val="-1050605569"/>
                            <w:docPartObj>
                              <w:docPartGallery w:val="Page Numbers (Bottom of Page)"/>
                              <w:docPartUnique/>
                            </w:docPartObj>
                          </w:sdtPr>
                          <w:sdtEndPr/>
                          <w:sdtContent>
                            <w:sdt>
                              <w:sdtPr>
                                <w:id w:val="216636265"/>
                                <w:docPartObj>
                                  <w:docPartGallery w:val="Page Numbers (Top of Page)"/>
                                  <w:docPartUnique/>
                                </w:docPartObj>
                              </w:sdtPr>
                              <w:sdtEndPr/>
                              <w:sdtContent>
                                <w:p w14:paraId="3C76342D" w14:textId="77777777" w:rsidR="0031772A" w:rsidRDefault="0031772A" w:rsidP="0031772A">
                                  <w:pPr>
                                    <w:pStyle w:val="Footer"/>
                                    <w:jc w:val="right"/>
                                  </w:pPr>
                                  <w:r w:rsidRPr="0031772A">
                                    <w:rPr>
                                      <w:sz w:val="14"/>
                                      <w:szCs w:val="14"/>
                                    </w:rPr>
                                    <w:t xml:space="preserve">Pagina </w:t>
                                  </w:r>
                                  <w:r w:rsidRPr="0031772A">
                                    <w:rPr>
                                      <w:sz w:val="20"/>
                                      <w:szCs w:val="20"/>
                                    </w:rPr>
                                    <w:fldChar w:fldCharType="begin"/>
                                  </w:r>
                                  <w:r w:rsidRPr="0031772A">
                                    <w:rPr>
                                      <w:sz w:val="14"/>
                                      <w:szCs w:val="14"/>
                                    </w:rPr>
                                    <w:instrText>PAGE</w:instrText>
                                  </w:r>
                                  <w:r w:rsidRPr="0031772A">
                                    <w:rPr>
                                      <w:sz w:val="20"/>
                                      <w:szCs w:val="20"/>
                                    </w:rPr>
                                    <w:fldChar w:fldCharType="separate"/>
                                  </w:r>
                                  <w:r>
                                    <w:rPr>
                                      <w:sz w:val="20"/>
                                      <w:szCs w:val="20"/>
                                    </w:rPr>
                                    <w:t>2</w:t>
                                  </w:r>
                                  <w:r w:rsidRPr="0031772A">
                                    <w:rPr>
                                      <w:sz w:val="20"/>
                                      <w:szCs w:val="20"/>
                                    </w:rPr>
                                    <w:fldChar w:fldCharType="end"/>
                                  </w:r>
                                  <w:r w:rsidRPr="0031772A">
                                    <w:rPr>
                                      <w:sz w:val="14"/>
                                      <w:szCs w:val="14"/>
                                    </w:rPr>
                                    <w:t xml:space="preserve"> van </w:t>
                                  </w:r>
                                  <w:r w:rsidRPr="0031772A">
                                    <w:rPr>
                                      <w:sz w:val="20"/>
                                      <w:szCs w:val="20"/>
                                    </w:rPr>
                                    <w:fldChar w:fldCharType="begin"/>
                                  </w:r>
                                  <w:r w:rsidRPr="0031772A">
                                    <w:rPr>
                                      <w:sz w:val="14"/>
                                      <w:szCs w:val="14"/>
                                    </w:rPr>
                                    <w:instrText>NUMPAGES</w:instrText>
                                  </w:r>
                                  <w:r w:rsidRPr="0031772A">
                                    <w:rPr>
                                      <w:sz w:val="20"/>
                                      <w:szCs w:val="20"/>
                                    </w:rPr>
                                    <w:fldChar w:fldCharType="separate"/>
                                  </w:r>
                                  <w:r>
                                    <w:rPr>
                                      <w:sz w:val="20"/>
                                      <w:szCs w:val="20"/>
                                    </w:rPr>
                                    <w:t>6</w:t>
                                  </w:r>
                                  <w:r w:rsidRPr="0031772A">
                                    <w:rPr>
                                      <w:sz w:val="20"/>
                                      <w:szCs w:val="20"/>
                                    </w:rPr>
                                    <w:fldChar w:fldCharType="end"/>
                                  </w:r>
                                </w:p>
                              </w:sdtContent>
                            </w:sdt>
                          </w:sdtContent>
                        </w:sdt>
                        <w:p w14:paraId="348E25D2" w14:textId="77777777" w:rsidR="00F6143D" w:rsidRDefault="00F6143D"/>
                      </w:txbxContent>
                    </wps:txbx>
                    <wps:bodyPr vert="horz" wrap="square" lIns="0" tIns="0" rIns="0" bIns="0" anchor="t" anchorCtr="0"/>
                  </wps:wsp>
                </a:graphicData>
              </a:graphic>
            </wp:anchor>
          </w:drawing>
        </mc:Choice>
        <mc:Fallback>
          <w:pict>
            <v:shape w14:anchorId="348E25A9" id="41b10d73-80a4-11ea-b356-6230a4311406" o:spid="_x0000_s1032" type="#_x0000_t202" style="position:absolute;margin-left:371.75pt;margin-top:823.3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" filled="f" stroked="f">
              <v:textbox inset="0,0,0,0">
                <w:txbxContent>
                  <w:sdt>
                    <w:sdtPr>
                      <w:id w:val="-1050605569"/>
                      <w:docPartObj>
                        <w:docPartGallery w:val="Page Numbers (Bottom of Page)"/>
                        <w:docPartUnique/>
                      </w:docPartObj>
                    </w:sdtPr>
                    <w:sdtEndPr/>
                    <w:sdtContent>
                      <w:sdt>
                        <w:sdtPr>
                          <w:id w:val="216636265"/>
                          <w:docPartObj>
                            <w:docPartGallery w:val="Page Numbers (Top of Page)"/>
                            <w:docPartUnique/>
                          </w:docPartObj>
                        </w:sdtPr>
                        <w:sdtEndPr/>
                        <w:sdtContent>
                          <w:p w14:paraId="3C76342D" w14:textId="77777777" w:rsidR="0031772A" w:rsidRDefault="0031772A" w:rsidP="0031772A">
                            <w:pPr>
                              <w:pStyle w:val="Footer"/>
                              <w:jc w:val="right"/>
                            </w:pPr>
                            <w:r w:rsidRPr="0031772A">
                              <w:rPr>
                                <w:sz w:val="14"/>
                                <w:szCs w:val="14"/>
                              </w:rPr>
                              <w:t xml:space="preserve">Pagina </w:t>
                            </w:r>
                            <w:r w:rsidRPr="0031772A">
                              <w:rPr>
                                <w:sz w:val="20"/>
                                <w:szCs w:val="20"/>
                              </w:rPr>
                              <w:fldChar w:fldCharType="begin"/>
                            </w:r>
                            <w:r w:rsidRPr="0031772A">
                              <w:rPr>
                                <w:sz w:val="14"/>
                                <w:szCs w:val="14"/>
                              </w:rPr>
                              <w:instrText>PAGE</w:instrText>
                            </w:r>
                            <w:r w:rsidRPr="0031772A">
                              <w:rPr>
                                <w:sz w:val="20"/>
                                <w:szCs w:val="20"/>
                              </w:rPr>
                              <w:fldChar w:fldCharType="separate"/>
                            </w:r>
                            <w:r>
                              <w:rPr>
                                <w:sz w:val="20"/>
                                <w:szCs w:val="20"/>
                              </w:rPr>
                              <w:t>2</w:t>
                            </w:r>
                            <w:r w:rsidRPr="0031772A">
                              <w:rPr>
                                <w:sz w:val="20"/>
                                <w:szCs w:val="20"/>
                              </w:rPr>
                              <w:fldChar w:fldCharType="end"/>
                            </w:r>
                            <w:r w:rsidRPr="0031772A">
                              <w:rPr>
                                <w:sz w:val="14"/>
                                <w:szCs w:val="14"/>
                              </w:rPr>
                              <w:t xml:space="preserve"> van </w:t>
                            </w:r>
                            <w:r w:rsidRPr="0031772A">
                              <w:rPr>
                                <w:sz w:val="20"/>
                                <w:szCs w:val="20"/>
                              </w:rPr>
                              <w:fldChar w:fldCharType="begin"/>
                            </w:r>
                            <w:r w:rsidRPr="0031772A">
                              <w:rPr>
                                <w:sz w:val="14"/>
                                <w:szCs w:val="14"/>
                              </w:rPr>
                              <w:instrText>NUMPAGES</w:instrText>
                            </w:r>
                            <w:r w:rsidRPr="0031772A">
                              <w:rPr>
                                <w:sz w:val="20"/>
                                <w:szCs w:val="20"/>
                              </w:rPr>
                              <w:fldChar w:fldCharType="separate"/>
                            </w:r>
                            <w:r>
                              <w:rPr>
                                <w:sz w:val="20"/>
                                <w:szCs w:val="20"/>
                              </w:rPr>
                              <w:t>6</w:t>
                            </w:r>
                            <w:r w:rsidRPr="0031772A">
                              <w:rPr>
                                <w:sz w:val="20"/>
                                <w:szCs w:val="20"/>
                              </w:rPr>
                              <w:fldChar w:fldCharType="end"/>
                            </w:r>
                          </w:p>
                        </w:sdtContent>
                      </w:sdt>
                    </w:sdtContent>
                  </w:sdt>
                  <w:p w14:paraId="348E25D2" w14:textId="77777777" w:rsidR="00F6143D" w:rsidRDefault="00F6143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48E25AB" wp14:editId="348E25A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48E25D4" w14:textId="77777777" w:rsidR="00F6143D" w:rsidRDefault="00F6143D"/>
                      </w:txbxContent>
                    </wps:txbx>
                    <wps:bodyPr vert="horz" wrap="square" lIns="0" tIns="0" rIns="0" bIns="0" anchor="t" anchorCtr="0"/>
                  </wps:wsp>
                </a:graphicData>
              </a:graphic>
            </wp:anchor>
          </w:drawing>
        </mc:Choice>
        <mc:Fallback>
          <w:pict>
            <v:shape w14:anchorId="348E25AB"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348E25D4" w14:textId="77777777" w:rsidR="00F6143D" w:rsidRDefault="00F6143D"/>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48E25AD" wp14:editId="348E25A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8E25C6" w14:textId="77777777" w:rsidR="00C0016C" w:rsidRDefault="00F6143D">
                          <w:pPr>
                            <w:spacing w:line="240" w:lineRule="auto"/>
                          </w:pPr>
                          <w:r>
                            <w:rPr>
                              <w:noProof/>
                            </w:rPr>
                            <w:drawing>
                              <wp:inline distT="0" distB="0" distL="0" distR="0" wp14:anchorId="1D3A5F27" wp14:editId="348E25C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8E25AD"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48E25C6" w14:textId="77777777" w:rsidR="00C0016C" w:rsidRDefault="00F6143D">
                    <w:pPr>
                      <w:spacing w:line="240" w:lineRule="auto"/>
                    </w:pPr>
                    <w:r>
                      <w:rPr>
                        <w:noProof/>
                      </w:rPr>
                      <w:drawing>
                        <wp:inline distT="0" distB="0" distL="0" distR="0" wp14:anchorId="1D3A5F27" wp14:editId="348E25C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29021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60851A"/>
    <w:multiLevelType w:val="multilevel"/>
    <w:tmpl w:val="F527120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D3DDC5"/>
    <w:multiLevelType w:val="multilevel"/>
    <w:tmpl w:val="248B9AA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5350092"/>
    <w:multiLevelType w:val="hybridMultilevel"/>
    <w:tmpl w:val="05107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5A555B"/>
    <w:multiLevelType w:val="hybridMultilevel"/>
    <w:tmpl w:val="7528F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B015A4"/>
    <w:multiLevelType w:val="hybridMultilevel"/>
    <w:tmpl w:val="A516D7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FA73CD"/>
    <w:multiLevelType w:val="hybridMultilevel"/>
    <w:tmpl w:val="94A87B94"/>
    <w:lvl w:ilvl="0" w:tplc="54A6DB96">
      <w:start w:val="1"/>
      <w:numFmt w:val="decimal"/>
      <w:lvlText w:val="%1."/>
      <w:lvlJc w:val="left"/>
      <w:pPr>
        <w:ind w:left="1020" w:hanging="360"/>
      </w:pPr>
    </w:lvl>
    <w:lvl w:ilvl="1" w:tplc="83F251F0">
      <w:start w:val="1"/>
      <w:numFmt w:val="decimal"/>
      <w:lvlText w:val="%2."/>
      <w:lvlJc w:val="left"/>
      <w:pPr>
        <w:ind w:left="1020" w:hanging="360"/>
      </w:pPr>
    </w:lvl>
    <w:lvl w:ilvl="2" w:tplc="D738397A">
      <w:start w:val="1"/>
      <w:numFmt w:val="decimal"/>
      <w:lvlText w:val="%3."/>
      <w:lvlJc w:val="left"/>
      <w:pPr>
        <w:ind w:left="1020" w:hanging="360"/>
      </w:pPr>
    </w:lvl>
    <w:lvl w:ilvl="3" w:tplc="6B704026">
      <w:start w:val="1"/>
      <w:numFmt w:val="decimal"/>
      <w:lvlText w:val="%4."/>
      <w:lvlJc w:val="left"/>
      <w:pPr>
        <w:ind w:left="1020" w:hanging="360"/>
      </w:pPr>
    </w:lvl>
    <w:lvl w:ilvl="4" w:tplc="62801C6C">
      <w:start w:val="1"/>
      <w:numFmt w:val="decimal"/>
      <w:lvlText w:val="%5."/>
      <w:lvlJc w:val="left"/>
      <w:pPr>
        <w:ind w:left="1020" w:hanging="360"/>
      </w:pPr>
    </w:lvl>
    <w:lvl w:ilvl="5" w:tplc="B5F02AEC">
      <w:start w:val="1"/>
      <w:numFmt w:val="decimal"/>
      <w:lvlText w:val="%6."/>
      <w:lvlJc w:val="left"/>
      <w:pPr>
        <w:ind w:left="1020" w:hanging="360"/>
      </w:pPr>
    </w:lvl>
    <w:lvl w:ilvl="6" w:tplc="E6004490">
      <w:start w:val="1"/>
      <w:numFmt w:val="decimal"/>
      <w:lvlText w:val="%7."/>
      <w:lvlJc w:val="left"/>
      <w:pPr>
        <w:ind w:left="1020" w:hanging="360"/>
      </w:pPr>
    </w:lvl>
    <w:lvl w:ilvl="7" w:tplc="AF68D942">
      <w:start w:val="1"/>
      <w:numFmt w:val="decimal"/>
      <w:lvlText w:val="%8."/>
      <w:lvlJc w:val="left"/>
      <w:pPr>
        <w:ind w:left="1020" w:hanging="360"/>
      </w:pPr>
    </w:lvl>
    <w:lvl w:ilvl="8" w:tplc="6D247A18">
      <w:start w:val="1"/>
      <w:numFmt w:val="decimal"/>
      <w:lvlText w:val="%9."/>
      <w:lvlJc w:val="left"/>
      <w:pPr>
        <w:ind w:left="1020" w:hanging="360"/>
      </w:pPr>
    </w:lvl>
  </w:abstractNum>
  <w:abstractNum w:abstractNumId="6" w15:restartNumberingAfterBreak="0">
    <w:nsid w:val="18704919"/>
    <w:multiLevelType w:val="multilevel"/>
    <w:tmpl w:val="9D9CAA3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1ABA081B"/>
    <w:multiLevelType w:val="hybridMultilevel"/>
    <w:tmpl w:val="6CEE712A"/>
    <w:lvl w:ilvl="0" w:tplc="F564AF74">
      <w:start w:val="1"/>
      <w:numFmt w:val="decimal"/>
      <w:lvlText w:val="%1."/>
      <w:lvlJc w:val="left"/>
      <w:pPr>
        <w:ind w:left="1020" w:hanging="360"/>
      </w:pPr>
    </w:lvl>
    <w:lvl w:ilvl="1" w:tplc="A98E5382">
      <w:start w:val="1"/>
      <w:numFmt w:val="decimal"/>
      <w:lvlText w:val="%2."/>
      <w:lvlJc w:val="left"/>
      <w:pPr>
        <w:ind w:left="1020" w:hanging="360"/>
      </w:pPr>
    </w:lvl>
    <w:lvl w:ilvl="2" w:tplc="330CDDBE">
      <w:start w:val="1"/>
      <w:numFmt w:val="decimal"/>
      <w:lvlText w:val="%3."/>
      <w:lvlJc w:val="left"/>
      <w:pPr>
        <w:ind w:left="1020" w:hanging="360"/>
      </w:pPr>
    </w:lvl>
    <w:lvl w:ilvl="3" w:tplc="54E4272E">
      <w:start w:val="1"/>
      <w:numFmt w:val="decimal"/>
      <w:lvlText w:val="%4."/>
      <w:lvlJc w:val="left"/>
      <w:pPr>
        <w:ind w:left="1020" w:hanging="360"/>
      </w:pPr>
    </w:lvl>
    <w:lvl w:ilvl="4" w:tplc="51A815A4">
      <w:start w:val="1"/>
      <w:numFmt w:val="decimal"/>
      <w:lvlText w:val="%5."/>
      <w:lvlJc w:val="left"/>
      <w:pPr>
        <w:ind w:left="1020" w:hanging="360"/>
      </w:pPr>
    </w:lvl>
    <w:lvl w:ilvl="5" w:tplc="BC663246">
      <w:start w:val="1"/>
      <w:numFmt w:val="decimal"/>
      <w:lvlText w:val="%6."/>
      <w:lvlJc w:val="left"/>
      <w:pPr>
        <w:ind w:left="1020" w:hanging="360"/>
      </w:pPr>
    </w:lvl>
    <w:lvl w:ilvl="6" w:tplc="179E5CB8">
      <w:start w:val="1"/>
      <w:numFmt w:val="decimal"/>
      <w:lvlText w:val="%7."/>
      <w:lvlJc w:val="left"/>
      <w:pPr>
        <w:ind w:left="1020" w:hanging="360"/>
      </w:pPr>
    </w:lvl>
    <w:lvl w:ilvl="7" w:tplc="975A00D0">
      <w:start w:val="1"/>
      <w:numFmt w:val="decimal"/>
      <w:lvlText w:val="%8."/>
      <w:lvlJc w:val="left"/>
      <w:pPr>
        <w:ind w:left="1020" w:hanging="360"/>
      </w:pPr>
    </w:lvl>
    <w:lvl w:ilvl="8" w:tplc="75E0996A">
      <w:start w:val="1"/>
      <w:numFmt w:val="decimal"/>
      <w:lvlText w:val="%9."/>
      <w:lvlJc w:val="left"/>
      <w:pPr>
        <w:ind w:left="1020" w:hanging="360"/>
      </w:pPr>
    </w:lvl>
  </w:abstractNum>
  <w:abstractNum w:abstractNumId="8" w15:restartNumberingAfterBreak="0">
    <w:nsid w:val="22705088"/>
    <w:multiLevelType w:val="hybridMultilevel"/>
    <w:tmpl w:val="5A1677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D73986"/>
    <w:multiLevelType w:val="hybridMultilevel"/>
    <w:tmpl w:val="D2ACB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251867"/>
    <w:multiLevelType w:val="hybridMultilevel"/>
    <w:tmpl w:val="9D94C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C80C0F"/>
    <w:multiLevelType w:val="hybridMultilevel"/>
    <w:tmpl w:val="925A1F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3C318C"/>
    <w:multiLevelType w:val="multilevel"/>
    <w:tmpl w:val="7DA8F78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2FE63506"/>
    <w:multiLevelType w:val="hybridMultilevel"/>
    <w:tmpl w:val="DF6A6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D45965"/>
    <w:multiLevelType w:val="hybridMultilevel"/>
    <w:tmpl w:val="5B2058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8E6B0E"/>
    <w:multiLevelType w:val="hybridMultilevel"/>
    <w:tmpl w:val="9064BD98"/>
    <w:lvl w:ilvl="0" w:tplc="29BEA300">
      <w:start w:val="1"/>
      <w:numFmt w:val="bullet"/>
      <w:lvlText w:val="•"/>
      <w:lvlJc w:val="left"/>
      <w:pPr>
        <w:tabs>
          <w:tab w:val="num" w:pos="720"/>
        </w:tabs>
        <w:ind w:left="720" w:hanging="360"/>
      </w:pPr>
      <w:rPr>
        <w:rFonts w:ascii="Times New Roman" w:hAnsi="Times New Roman" w:hint="default"/>
      </w:rPr>
    </w:lvl>
    <w:lvl w:ilvl="1" w:tplc="A3906868" w:tentative="1">
      <w:start w:val="1"/>
      <w:numFmt w:val="bullet"/>
      <w:lvlText w:val="•"/>
      <w:lvlJc w:val="left"/>
      <w:pPr>
        <w:tabs>
          <w:tab w:val="num" w:pos="1440"/>
        </w:tabs>
        <w:ind w:left="1440" w:hanging="360"/>
      </w:pPr>
      <w:rPr>
        <w:rFonts w:ascii="Times New Roman" w:hAnsi="Times New Roman" w:hint="default"/>
      </w:rPr>
    </w:lvl>
    <w:lvl w:ilvl="2" w:tplc="F45AD518" w:tentative="1">
      <w:start w:val="1"/>
      <w:numFmt w:val="bullet"/>
      <w:lvlText w:val="•"/>
      <w:lvlJc w:val="left"/>
      <w:pPr>
        <w:tabs>
          <w:tab w:val="num" w:pos="2160"/>
        </w:tabs>
        <w:ind w:left="2160" w:hanging="360"/>
      </w:pPr>
      <w:rPr>
        <w:rFonts w:ascii="Times New Roman" w:hAnsi="Times New Roman" w:hint="default"/>
      </w:rPr>
    </w:lvl>
    <w:lvl w:ilvl="3" w:tplc="BA689BA8" w:tentative="1">
      <w:start w:val="1"/>
      <w:numFmt w:val="bullet"/>
      <w:lvlText w:val="•"/>
      <w:lvlJc w:val="left"/>
      <w:pPr>
        <w:tabs>
          <w:tab w:val="num" w:pos="2880"/>
        </w:tabs>
        <w:ind w:left="2880" w:hanging="360"/>
      </w:pPr>
      <w:rPr>
        <w:rFonts w:ascii="Times New Roman" w:hAnsi="Times New Roman" w:hint="default"/>
      </w:rPr>
    </w:lvl>
    <w:lvl w:ilvl="4" w:tplc="02189B8C" w:tentative="1">
      <w:start w:val="1"/>
      <w:numFmt w:val="bullet"/>
      <w:lvlText w:val="•"/>
      <w:lvlJc w:val="left"/>
      <w:pPr>
        <w:tabs>
          <w:tab w:val="num" w:pos="3600"/>
        </w:tabs>
        <w:ind w:left="3600" w:hanging="360"/>
      </w:pPr>
      <w:rPr>
        <w:rFonts w:ascii="Times New Roman" w:hAnsi="Times New Roman" w:hint="default"/>
      </w:rPr>
    </w:lvl>
    <w:lvl w:ilvl="5" w:tplc="B0400586" w:tentative="1">
      <w:start w:val="1"/>
      <w:numFmt w:val="bullet"/>
      <w:lvlText w:val="•"/>
      <w:lvlJc w:val="left"/>
      <w:pPr>
        <w:tabs>
          <w:tab w:val="num" w:pos="4320"/>
        </w:tabs>
        <w:ind w:left="4320" w:hanging="360"/>
      </w:pPr>
      <w:rPr>
        <w:rFonts w:ascii="Times New Roman" w:hAnsi="Times New Roman" w:hint="default"/>
      </w:rPr>
    </w:lvl>
    <w:lvl w:ilvl="6" w:tplc="3B0211B6" w:tentative="1">
      <w:start w:val="1"/>
      <w:numFmt w:val="bullet"/>
      <w:lvlText w:val="•"/>
      <w:lvlJc w:val="left"/>
      <w:pPr>
        <w:tabs>
          <w:tab w:val="num" w:pos="5040"/>
        </w:tabs>
        <w:ind w:left="5040" w:hanging="360"/>
      </w:pPr>
      <w:rPr>
        <w:rFonts w:ascii="Times New Roman" w:hAnsi="Times New Roman" w:hint="default"/>
      </w:rPr>
    </w:lvl>
    <w:lvl w:ilvl="7" w:tplc="F36C0BF8" w:tentative="1">
      <w:start w:val="1"/>
      <w:numFmt w:val="bullet"/>
      <w:lvlText w:val="•"/>
      <w:lvlJc w:val="left"/>
      <w:pPr>
        <w:tabs>
          <w:tab w:val="num" w:pos="5760"/>
        </w:tabs>
        <w:ind w:left="5760" w:hanging="360"/>
      </w:pPr>
      <w:rPr>
        <w:rFonts w:ascii="Times New Roman" w:hAnsi="Times New Roman" w:hint="default"/>
      </w:rPr>
    </w:lvl>
    <w:lvl w:ilvl="8" w:tplc="6F26988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50C3D41"/>
    <w:multiLevelType w:val="hybridMultilevel"/>
    <w:tmpl w:val="3FC848C0"/>
    <w:lvl w:ilvl="0" w:tplc="7A14AF08">
      <w:start w:val="1"/>
      <w:numFmt w:val="bullet"/>
      <w:lvlText w:val="•"/>
      <w:lvlJc w:val="left"/>
      <w:pPr>
        <w:tabs>
          <w:tab w:val="num" w:pos="720"/>
        </w:tabs>
        <w:ind w:left="720" w:hanging="360"/>
      </w:pPr>
      <w:rPr>
        <w:rFonts w:ascii="Arial" w:hAnsi="Arial" w:hint="default"/>
      </w:rPr>
    </w:lvl>
    <w:lvl w:ilvl="1" w:tplc="5504DF24">
      <w:start w:val="1"/>
      <w:numFmt w:val="bullet"/>
      <w:lvlText w:val="•"/>
      <w:lvlJc w:val="left"/>
      <w:pPr>
        <w:tabs>
          <w:tab w:val="num" w:pos="1440"/>
        </w:tabs>
        <w:ind w:left="1440" w:hanging="360"/>
      </w:pPr>
      <w:rPr>
        <w:rFonts w:ascii="Arial" w:hAnsi="Arial" w:hint="default"/>
      </w:rPr>
    </w:lvl>
    <w:lvl w:ilvl="2" w:tplc="01EC34A6" w:tentative="1">
      <w:start w:val="1"/>
      <w:numFmt w:val="bullet"/>
      <w:lvlText w:val="•"/>
      <w:lvlJc w:val="left"/>
      <w:pPr>
        <w:tabs>
          <w:tab w:val="num" w:pos="2160"/>
        </w:tabs>
        <w:ind w:left="2160" w:hanging="360"/>
      </w:pPr>
      <w:rPr>
        <w:rFonts w:ascii="Arial" w:hAnsi="Arial" w:hint="default"/>
      </w:rPr>
    </w:lvl>
    <w:lvl w:ilvl="3" w:tplc="4B60F6D0" w:tentative="1">
      <w:start w:val="1"/>
      <w:numFmt w:val="bullet"/>
      <w:lvlText w:val="•"/>
      <w:lvlJc w:val="left"/>
      <w:pPr>
        <w:tabs>
          <w:tab w:val="num" w:pos="2880"/>
        </w:tabs>
        <w:ind w:left="2880" w:hanging="360"/>
      </w:pPr>
      <w:rPr>
        <w:rFonts w:ascii="Arial" w:hAnsi="Arial" w:hint="default"/>
      </w:rPr>
    </w:lvl>
    <w:lvl w:ilvl="4" w:tplc="3C389600" w:tentative="1">
      <w:start w:val="1"/>
      <w:numFmt w:val="bullet"/>
      <w:lvlText w:val="•"/>
      <w:lvlJc w:val="left"/>
      <w:pPr>
        <w:tabs>
          <w:tab w:val="num" w:pos="3600"/>
        </w:tabs>
        <w:ind w:left="3600" w:hanging="360"/>
      </w:pPr>
      <w:rPr>
        <w:rFonts w:ascii="Arial" w:hAnsi="Arial" w:hint="default"/>
      </w:rPr>
    </w:lvl>
    <w:lvl w:ilvl="5" w:tplc="E8D4A652" w:tentative="1">
      <w:start w:val="1"/>
      <w:numFmt w:val="bullet"/>
      <w:lvlText w:val="•"/>
      <w:lvlJc w:val="left"/>
      <w:pPr>
        <w:tabs>
          <w:tab w:val="num" w:pos="4320"/>
        </w:tabs>
        <w:ind w:left="4320" w:hanging="360"/>
      </w:pPr>
      <w:rPr>
        <w:rFonts w:ascii="Arial" w:hAnsi="Arial" w:hint="default"/>
      </w:rPr>
    </w:lvl>
    <w:lvl w:ilvl="6" w:tplc="2ED8706E" w:tentative="1">
      <w:start w:val="1"/>
      <w:numFmt w:val="bullet"/>
      <w:lvlText w:val="•"/>
      <w:lvlJc w:val="left"/>
      <w:pPr>
        <w:tabs>
          <w:tab w:val="num" w:pos="5040"/>
        </w:tabs>
        <w:ind w:left="5040" w:hanging="360"/>
      </w:pPr>
      <w:rPr>
        <w:rFonts w:ascii="Arial" w:hAnsi="Arial" w:hint="default"/>
      </w:rPr>
    </w:lvl>
    <w:lvl w:ilvl="7" w:tplc="CE2CE7C8" w:tentative="1">
      <w:start w:val="1"/>
      <w:numFmt w:val="bullet"/>
      <w:lvlText w:val="•"/>
      <w:lvlJc w:val="left"/>
      <w:pPr>
        <w:tabs>
          <w:tab w:val="num" w:pos="5760"/>
        </w:tabs>
        <w:ind w:left="5760" w:hanging="360"/>
      </w:pPr>
      <w:rPr>
        <w:rFonts w:ascii="Arial" w:hAnsi="Arial" w:hint="default"/>
      </w:rPr>
    </w:lvl>
    <w:lvl w:ilvl="8" w:tplc="A14A386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E35947"/>
    <w:multiLevelType w:val="hybridMultilevel"/>
    <w:tmpl w:val="94982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432006"/>
    <w:multiLevelType w:val="multilevel"/>
    <w:tmpl w:val="5E30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73C8F3"/>
    <w:multiLevelType w:val="multilevel"/>
    <w:tmpl w:val="E6A9ED2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0" w15:restartNumberingAfterBreak="0">
    <w:nsid w:val="4FD02DCA"/>
    <w:multiLevelType w:val="hybridMultilevel"/>
    <w:tmpl w:val="CB2264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C646C9"/>
    <w:multiLevelType w:val="hybridMultilevel"/>
    <w:tmpl w:val="844A9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0465C7"/>
    <w:multiLevelType w:val="hybridMultilevel"/>
    <w:tmpl w:val="8DFEB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852945"/>
    <w:multiLevelType w:val="hybridMultilevel"/>
    <w:tmpl w:val="CBEE1EC6"/>
    <w:lvl w:ilvl="0" w:tplc="DAAA5018">
      <w:start w:val="1"/>
      <w:numFmt w:val="bullet"/>
      <w:lvlText w:val="•"/>
      <w:lvlJc w:val="left"/>
      <w:pPr>
        <w:tabs>
          <w:tab w:val="num" w:pos="720"/>
        </w:tabs>
        <w:ind w:left="720" w:hanging="360"/>
      </w:pPr>
      <w:rPr>
        <w:rFonts w:ascii="Arial" w:hAnsi="Arial" w:hint="default"/>
      </w:rPr>
    </w:lvl>
    <w:lvl w:ilvl="1" w:tplc="FC4A4E6E" w:tentative="1">
      <w:start w:val="1"/>
      <w:numFmt w:val="bullet"/>
      <w:lvlText w:val="•"/>
      <w:lvlJc w:val="left"/>
      <w:pPr>
        <w:tabs>
          <w:tab w:val="num" w:pos="1440"/>
        </w:tabs>
        <w:ind w:left="1440" w:hanging="360"/>
      </w:pPr>
      <w:rPr>
        <w:rFonts w:ascii="Arial" w:hAnsi="Arial" w:hint="default"/>
      </w:rPr>
    </w:lvl>
    <w:lvl w:ilvl="2" w:tplc="560A47DE" w:tentative="1">
      <w:start w:val="1"/>
      <w:numFmt w:val="bullet"/>
      <w:lvlText w:val="•"/>
      <w:lvlJc w:val="left"/>
      <w:pPr>
        <w:tabs>
          <w:tab w:val="num" w:pos="2160"/>
        </w:tabs>
        <w:ind w:left="2160" w:hanging="360"/>
      </w:pPr>
      <w:rPr>
        <w:rFonts w:ascii="Arial" w:hAnsi="Arial" w:hint="default"/>
      </w:rPr>
    </w:lvl>
    <w:lvl w:ilvl="3" w:tplc="70C82D7C" w:tentative="1">
      <w:start w:val="1"/>
      <w:numFmt w:val="bullet"/>
      <w:lvlText w:val="•"/>
      <w:lvlJc w:val="left"/>
      <w:pPr>
        <w:tabs>
          <w:tab w:val="num" w:pos="2880"/>
        </w:tabs>
        <w:ind w:left="2880" w:hanging="360"/>
      </w:pPr>
      <w:rPr>
        <w:rFonts w:ascii="Arial" w:hAnsi="Arial" w:hint="default"/>
      </w:rPr>
    </w:lvl>
    <w:lvl w:ilvl="4" w:tplc="6242EC86" w:tentative="1">
      <w:start w:val="1"/>
      <w:numFmt w:val="bullet"/>
      <w:lvlText w:val="•"/>
      <w:lvlJc w:val="left"/>
      <w:pPr>
        <w:tabs>
          <w:tab w:val="num" w:pos="3600"/>
        </w:tabs>
        <w:ind w:left="3600" w:hanging="360"/>
      </w:pPr>
      <w:rPr>
        <w:rFonts w:ascii="Arial" w:hAnsi="Arial" w:hint="default"/>
      </w:rPr>
    </w:lvl>
    <w:lvl w:ilvl="5" w:tplc="61542722" w:tentative="1">
      <w:start w:val="1"/>
      <w:numFmt w:val="bullet"/>
      <w:lvlText w:val="•"/>
      <w:lvlJc w:val="left"/>
      <w:pPr>
        <w:tabs>
          <w:tab w:val="num" w:pos="4320"/>
        </w:tabs>
        <w:ind w:left="4320" w:hanging="360"/>
      </w:pPr>
      <w:rPr>
        <w:rFonts w:ascii="Arial" w:hAnsi="Arial" w:hint="default"/>
      </w:rPr>
    </w:lvl>
    <w:lvl w:ilvl="6" w:tplc="BF86F8AA" w:tentative="1">
      <w:start w:val="1"/>
      <w:numFmt w:val="bullet"/>
      <w:lvlText w:val="•"/>
      <w:lvlJc w:val="left"/>
      <w:pPr>
        <w:tabs>
          <w:tab w:val="num" w:pos="5040"/>
        </w:tabs>
        <w:ind w:left="5040" w:hanging="360"/>
      </w:pPr>
      <w:rPr>
        <w:rFonts w:ascii="Arial" w:hAnsi="Arial" w:hint="default"/>
      </w:rPr>
    </w:lvl>
    <w:lvl w:ilvl="7" w:tplc="55E0089A" w:tentative="1">
      <w:start w:val="1"/>
      <w:numFmt w:val="bullet"/>
      <w:lvlText w:val="•"/>
      <w:lvlJc w:val="left"/>
      <w:pPr>
        <w:tabs>
          <w:tab w:val="num" w:pos="5760"/>
        </w:tabs>
        <w:ind w:left="5760" w:hanging="360"/>
      </w:pPr>
      <w:rPr>
        <w:rFonts w:ascii="Arial" w:hAnsi="Arial" w:hint="default"/>
      </w:rPr>
    </w:lvl>
    <w:lvl w:ilvl="8" w:tplc="5346380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662157"/>
    <w:multiLevelType w:val="hybridMultilevel"/>
    <w:tmpl w:val="62083C64"/>
    <w:lvl w:ilvl="0" w:tplc="725A4FD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0F3A29"/>
    <w:multiLevelType w:val="hybridMultilevel"/>
    <w:tmpl w:val="DB56F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E1122D"/>
    <w:multiLevelType w:val="hybridMultilevel"/>
    <w:tmpl w:val="E7CE5F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106713">
    <w:abstractNumId w:val="1"/>
  </w:num>
  <w:num w:numId="2" w16cid:durableId="817266451">
    <w:abstractNumId w:val="19"/>
  </w:num>
  <w:num w:numId="3" w16cid:durableId="374043229">
    <w:abstractNumId w:val="12"/>
  </w:num>
  <w:num w:numId="4" w16cid:durableId="766584512">
    <w:abstractNumId w:val="6"/>
  </w:num>
  <w:num w:numId="5" w16cid:durableId="886334029">
    <w:abstractNumId w:val="0"/>
  </w:num>
  <w:num w:numId="6" w16cid:durableId="600770517">
    <w:abstractNumId w:val="17"/>
  </w:num>
  <w:num w:numId="7" w16cid:durableId="1604915108">
    <w:abstractNumId w:val="13"/>
  </w:num>
  <w:num w:numId="8" w16cid:durableId="1171483685">
    <w:abstractNumId w:val="8"/>
  </w:num>
  <w:num w:numId="9" w16cid:durableId="1835755900">
    <w:abstractNumId w:val="2"/>
  </w:num>
  <w:num w:numId="10" w16cid:durableId="1065184843">
    <w:abstractNumId w:val="23"/>
  </w:num>
  <w:num w:numId="11" w16cid:durableId="736827700">
    <w:abstractNumId w:val="11"/>
  </w:num>
  <w:num w:numId="12" w16cid:durableId="1160732485">
    <w:abstractNumId w:val="14"/>
  </w:num>
  <w:num w:numId="13" w16cid:durableId="1819103455">
    <w:abstractNumId w:val="20"/>
  </w:num>
  <w:num w:numId="14" w16cid:durableId="1429501749">
    <w:abstractNumId w:val="26"/>
  </w:num>
  <w:num w:numId="15" w16cid:durableId="700672396">
    <w:abstractNumId w:val="21"/>
  </w:num>
  <w:num w:numId="16" w16cid:durableId="232590774">
    <w:abstractNumId w:val="9"/>
  </w:num>
  <w:num w:numId="17" w16cid:durableId="113989907">
    <w:abstractNumId w:val="3"/>
  </w:num>
  <w:num w:numId="18" w16cid:durableId="1112818263">
    <w:abstractNumId w:val="15"/>
  </w:num>
  <w:num w:numId="19" w16cid:durableId="1488397150">
    <w:abstractNumId w:val="25"/>
  </w:num>
  <w:num w:numId="20" w16cid:durableId="921177704">
    <w:abstractNumId w:val="22"/>
  </w:num>
  <w:num w:numId="21" w16cid:durableId="554122604">
    <w:abstractNumId w:val="4"/>
  </w:num>
  <w:num w:numId="22" w16cid:durableId="970747311">
    <w:abstractNumId w:val="10"/>
  </w:num>
  <w:num w:numId="23" w16cid:durableId="1336568520">
    <w:abstractNumId w:val="18"/>
  </w:num>
  <w:num w:numId="24" w16cid:durableId="1789010783">
    <w:abstractNumId w:val="16"/>
  </w:num>
  <w:num w:numId="25" w16cid:durableId="124323203">
    <w:abstractNumId w:val="7"/>
  </w:num>
  <w:num w:numId="26" w16cid:durableId="680736673">
    <w:abstractNumId w:val="5"/>
  </w:num>
  <w:num w:numId="27" w16cid:durableId="11791993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6C"/>
    <w:rsid w:val="0000217F"/>
    <w:rsid w:val="00002625"/>
    <w:rsid w:val="00005882"/>
    <w:rsid w:val="00006971"/>
    <w:rsid w:val="00006AEC"/>
    <w:rsid w:val="00015A5A"/>
    <w:rsid w:val="00020D2B"/>
    <w:rsid w:val="00023AF2"/>
    <w:rsid w:val="00024C74"/>
    <w:rsid w:val="0002559A"/>
    <w:rsid w:val="0002799F"/>
    <w:rsid w:val="000305AB"/>
    <w:rsid w:val="0003062B"/>
    <w:rsid w:val="00040D62"/>
    <w:rsid w:val="00041B3A"/>
    <w:rsid w:val="00042EDE"/>
    <w:rsid w:val="000430E3"/>
    <w:rsid w:val="000437B4"/>
    <w:rsid w:val="000437FA"/>
    <w:rsid w:val="00043B39"/>
    <w:rsid w:val="00044128"/>
    <w:rsid w:val="00045224"/>
    <w:rsid w:val="00047C3C"/>
    <w:rsid w:val="00052706"/>
    <w:rsid w:val="000552FA"/>
    <w:rsid w:val="000575AE"/>
    <w:rsid w:val="00057C91"/>
    <w:rsid w:val="00063F60"/>
    <w:rsid w:val="0006722E"/>
    <w:rsid w:val="00070AB0"/>
    <w:rsid w:val="00071BD7"/>
    <w:rsid w:val="00076F22"/>
    <w:rsid w:val="000837AF"/>
    <w:rsid w:val="00083EDC"/>
    <w:rsid w:val="00083EDF"/>
    <w:rsid w:val="00090AA1"/>
    <w:rsid w:val="000935E4"/>
    <w:rsid w:val="00093F60"/>
    <w:rsid w:val="00094883"/>
    <w:rsid w:val="000968D6"/>
    <w:rsid w:val="000A0A04"/>
    <w:rsid w:val="000A0CC5"/>
    <w:rsid w:val="000A1225"/>
    <w:rsid w:val="000A5650"/>
    <w:rsid w:val="000A5D2D"/>
    <w:rsid w:val="000A61E4"/>
    <w:rsid w:val="000A6E2A"/>
    <w:rsid w:val="000B202F"/>
    <w:rsid w:val="000B46E9"/>
    <w:rsid w:val="000B62A1"/>
    <w:rsid w:val="000B73DE"/>
    <w:rsid w:val="000C06FB"/>
    <w:rsid w:val="000C1535"/>
    <w:rsid w:val="000C74F9"/>
    <w:rsid w:val="000D2D80"/>
    <w:rsid w:val="000D3E20"/>
    <w:rsid w:val="000D7DB4"/>
    <w:rsid w:val="000E0411"/>
    <w:rsid w:val="000E2226"/>
    <w:rsid w:val="000F17C2"/>
    <w:rsid w:val="000F47F5"/>
    <w:rsid w:val="000F5B06"/>
    <w:rsid w:val="000F6539"/>
    <w:rsid w:val="00100BC3"/>
    <w:rsid w:val="00101A97"/>
    <w:rsid w:val="001026C2"/>
    <w:rsid w:val="0010414B"/>
    <w:rsid w:val="00114520"/>
    <w:rsid w:val="0011635C"/>
    <w:rsid w:val="0012380C"/>
    <w:rsid w:val="001275AE"/>
    <w:rsid w:val="0013548F"/>
    <w:rsid w:val="00135613"/>
    <w:rsid w:val="0013580D"/>
    <w:rsid w:val="00136AC3"/>
    <w:rsid w:val="0014135C"/>
    <w:rsid w:val="0014330D"/>
    <w:rsid w:val="001457AB"/>
    <w:rsid w:val="00145DA0"/>
    <w:rsid w:val="00147E46"/>
    <w:rsid w:val="0015296F"/>
    <w:rsid w:val="00153B00"/>
    <w:rsid w:val="001548A6"/>
    <w:rsid w:val="00156BE3"/>
    <w:rsid w:val="0016454B"/>
    <w:rsid w:val="001659A6"/>
    <w:rsid w:val="001673C3"/>
    <w:rsid w:val="00172D32"/>
    <w:rsid w:val="00173861"/>
    <w:rsid w:val="00175813"/>
    <w:rsid w:val="0017723D"/>
    <w:rsid w:val="0018012B"/>
    <w:rsid w:val="0018367A"/>
    <w:rsid w:val="00184725"/>
    <w:rsid w:val="00185E2A"/>
    <w:rsid w:val="00186D88"/>
    <w:rsid w:val="00191B4D"/>
    <w:rsid w:val="00193B81"/>
    <w:rsid w:val="001940C1"/>
    <w:rsid w:val="00194798"/>
    <w:rsid w:val="001971FC"/>
    <w:rsid w:val="0019733F"/>
    <w:rsid w:val="001A0BA6"/>
    <w:rsid w:val="001A1829"/>
    <w:rsid w:val="001A7649"/>
    <w:rsid w:val="001B042F"/>
    <w:rsid w:val="001B0D5D"/>
    <w:rsid w:val="001B2E73"/>
    <w:rsid w:val="001B67B0"/>
    <w:rsid w:val="001C2FD2"/>
    <w:rsid w:val="001C4A5C"/>
    <w:rsid w:val="001D0D9F"/>
    <w:rsid w:val="001D1F89"/>
    <w:rsid w:val="001D44BF"/>
    <w:rsid w:val="001E69F7"/>
    <w:rsid w:val="001F0C2E"/>
    <w:rsid w:val="001F5A4D"/>
    <w:rsid w:val="001F6F5B"/>
    <w:rsid w:val="002008F3"/>
    <w:rsid w:val="00200D35"/>
    <w:rsid w:val="00201741"/>
    <w:rsid w:val="002023CA"/>
    <w:rsid w:val="0020288A"/>
    <w:rsid w:val="002029BE"/>
    <w:rsid w:val="002034C3"/>
    <w:rsid w:val="002060C4"/>
    <w:rsid w:val="0020711D"/>
    <w:rsid w:val="002208D8"/>
    <w:rsid w:val="002277FA"/>
    <w:rsid w:val="0023222E"/>
    <w:rsid w:val="00237C4B"/>
    <w:rsid w:val="00242D1F"/>
    <w:rsid w:val="00243DF5"/>
    <w:rsid w:val="00244753"/>
    <w:rsid w:val="00245F32"/>
    <w:rsid w:val="00250E67"/>
    <w:rsid w:val="00255751"/>
    <w:rsid w:val="00261FE1"/>
    <w:rsid w:val="002629EC"/>
    <w:rsid w:val="00266773"/>
    <w:rsid w:val="00266890"/>
    <w:rsid w:val="00267711"/>
    <w:rsid w:val="002715E5"/>
    <w:rsid w:val="002741E5"/>
    <w:rsid w:val="00277F84"/>
    <w:rsid w:val="00284A5E"/>
    <w:rsid w:val="00287EBB"/>
    <w:rsid w:val="0029021D"/>
    <w:rsid w:val="002A5CF6"/>
    <w:rsid w:val="002A728E"/>
    <w:rsid w:val="002B225B"/>
    <w:rsid w:val="002B3B4B"/>
    <w:rsid w:val="002B4FD7"/>
    <w:rsid w:val="002B591C"/>
    <w:rsid w:val="002C1AB0"/>
    <w:rsid w:val="002C4D6A"/>
    <w:rsid w:val="002C4E09"/>
    <w:rsid w:val="002C6F9E"/>
    <w:rsid w:val="002D0B72"/>
    <w:rsid w:val="002D0ECD"/>
    <w:rsid w:val="002D3876"/>
    <w:rsid w:val="002E736E"/>
    <w:rsid w:val="002F73F8"/>
    <w:rsid w:val="0030211C"/>
    <w:rsid w:val="003029B2"/>
    <w:rsid w:val="00303784"/>
    <w:rsid w:val="00303920"/>
    <w:rsid w:val="00311994"/>
    <w:rsid w:val="00312097"/>
    <w:rsid w:val="00314149"/>
    <w:rsid w:val="0031772A"/>
    <w:rsid w:val="00320EF9"/>
    <w:rsid w:val="00324467"/>
    <w:rsid w:val="00324E3D"/>
    <w:rsid w:val="00333352"/>
    <w:rsid w:val="00335A71"/>
    <w:rsid w:val="00336B5B"/>
    <w:rsid w:val="00343447"/>
    <w:rsid w:val="003435E8"/>
    <w:rsid w:val="00345D69"/>
    <w:rsid w:val="00347E39"/>
    <w:rsid w:val="00351B3F"/>
    <w:rsid w:val="00351EE2"/>
    <w:rsid w:val="00352E48"/>
    <w:rsid w:val="00354F47"/>
    <w:rsid w:val="003565BC"/>
    <w:rsid w:val="00357440"/>
    <w:rsid w:val="00361900"/>
    <w:rsid w:val="00362E5F"/>
    <w:rsid w:val="00365305"/>
    <w:rsid w:val="003704F5"/>
    <w:rsid w:val="00371664"/>
    <w:rsid w:val="003733A0"/>
    <w:rsid w:val="00373A4F"/>
    <w:rsid w:val="00376EA2"/>
    <w:rsid w:val="003776B2"/>
    <w:rsid w:val="0038559C"/>
    <w:rsid w:val="003866BE"/>
    <w:rsid w:val="00387A53"/>
    <w:rsid w:val="003944AE"/>
    <w:rsid w:val="00394860"/>
    <w:rsid w:val="00395E81"/>
    <w:rsid w:val="003A2F54"/>
    <w:rsid w:val="003A7B22"/>
    <w:rsid w:val="003B0FCD"/>
    <w:rsid w:val="003B1610"/>
    <w:rsid w:val="003B26A1"/>
    <w:rsid w:val="003B41E6"/>
    <w:rsid w:val="003B5CA5"/>
    <w:rsid w:val="003B73F2"/>
    <w:rsid w:val="003D05C1"/>
    <w:rsid w:val="003D1B01"/>
    <w:rsid w:val="003D66D4"/>
    <w:rsid w:val="003E0D9C"/>
    <w:rsid w:val="003E2A98"/>
    <w:rsid w:val="003E4DEC"/>
    <w:rsid w:val="003F0CDE"/>
    <w:rsid w:val="003F4034"/>
    <w:rsid w:val="003F534E"/>
    <w:rsid w:val="003F6972"/>
    <w:rsid w:val="00402830"/>
    <w:rsid w:val="004060F9"/>
    <w:rsid w:val="0041238D"/>
    <w:rsid w:val="0041552D"/>
    <w:rsid w:val="00415C06"/>
    <w:rsid w:val="00423F5D"/>
    <w:rsid w:val="00425B54"/>
    <w:rsid w:val="00426601"/>
    <w:rsid w:val="00436697"/>
    <w:rsid w:val="00437076"/>
    <w:rsid w:val="0044236B"/>
    <w:rsid w:val="0044550E"/>
    <w:rsid w:val="004473D9"/>
    <w:rsid w:val="00455081"/>
    <w:rsid w:val="004574E1"/>
    <w:rsid w:val="00460084"/>
    <w:rsid w:val="00460DFF"/>
    <w:rsid w:val="00462CBD"/>
    <w:rsid w:val="004655FC"/>
    <w:rsid w:val="00465C7C"/>
    <w:rsid w:val="00467578"/>
    <w:rsid w:val="00475CA1"/>
    <w:rsid w:val="00482DE9"/>
    <w:rsid w:val="00485048"/>
    <w:rsid w:val="00487A2B"/>
    <w:rsid w:val="004900D3"/>
    <w:rsid w:val="00491E03"/>
    <w:rsid w:val="00494DB8"/>
    <w:rsid w:val="00494DE2"/>
    <w:rsid w:val="004A069E"/>
    <w:rsid w:val="004B0641"/>
    <w:rsid w:val="004B351F"/>
    <w:rsid w:val="004B4228"/>
    <w:rsid w:val="004C2D95"/>
    <w:rsid w:val="004C3A70"/>
    <w:rsid w:val="004C56E3"/>
    <w:rsid w:val="004C5976"/>
    <w:rsid w:val="004E35E0"/>
    <w:rsid w:val="004E3AB4"/>
    <w:rsid w:val="004E61E4"/>
    <w:rsid w:val="004F089D"/>
    <w:rsid w:val="004F0BE0"/>
    <w:rsid w:val="004F23F4"/>
    <w:rsid w:val="004F2FB1"/>
    <w:rsid w:val="004F5039"/>
    <w:rsid w:val="004F5794"/>
    <w:rsid w:val="004F7D7B"/>
    <w:rsid w:val="00502E5D"/>
    <w:rsid w:val="005043EB"/>
    <w:rsid w:val="00510798"/>
    <w:rsid w:val="005133D2"/>
    <w:rsid w:val="00517F9B"/>
    <w:rsid w:val="00522476"/>
    <w:rsid w:val="00525071"/>
    <w:rsid w:val="00532B7F"/>
    <w:rsid w:val="00533304"/>
    <w:rsid w:val="0053493E"/>
    <w:rsid w:val="00535399"/>
    <w:rsid w:val="00540AB9"/>
    <w:rsid w:val="00544227"/>
    <w:rsid w:val="005473D0"/>
    <w:rsid w:val="005544F8"/>
    <w:rsid w:val="00554B2D"/>
    <w:rsid w:val="005620CA"/>
    <w:rsid w:val="00564BD6"/>
    <w:rsid w:val="0056543F"/>
    <w:rsid w:val="00565957"/>
    <w:rsid w:val="005664A8"/>
    <w:rsid w:val="005671B4"/>
    <w:rsid w:val="00567947"/>
    <w:rsid w:val="0057500C"/>
    <w:rsid w:val="00576E50"/>
    <w:rsid w:val="00577505"/>
    <w:rsid w:val="0058368B"/>
    <w:rsid w:val="0059363E"/>
    <w:rsid w:val="005955C5"/>
    <w:rsid w:val="00596776"/>
    <w:rsid w:val="00597AE3"/>
    <w:rsid w:val="005A082C"/>
    <w:rsid w:val="005A3543"/>
    <w:rsid w:val="005A57B0"/>
    <w:rsid w:val="005B3415"/>
    <w:rsid w:val="005B3D21"/>
    <w:rsid w:val="005B4447"/>
    <w:rsid w:val="005B543B"/>
    <w:rsid w:val="005B6211"/>
    <w:rsid w:val="005B65D3"/>
    <w:rsid w:val="005C0A7C"/>
    <w:rsid w:val="005C17C1"/>
    <w:rsid w:val="005C1C74"/>
    <w:rsid w:val="005C63C3"/>
    <w:rsid w:val="005C7502"/>
    <w:rsid w:val="005D07F1"/>
    <w:rsid w:val="005D1889"/>
    <w:rsid w:val="005D28CB"/>
    <w:rsid w:val="005D4772"/>
    <w:rsid w:val="005D5C18"/>
    <w:rsid w:val="005D63CB"/>
    <w:rsid w:val="005D6D10"/>
    <w:rsid w:val="005E0AF5"/>
    <w:rsid w:val="005E1C99"/>
    <w:rsid w:val="005E5025"/>
    <w:rsid w:val="005F13DE"/>
    <w:rsid w:val="005F22C4"/>
    <w:rsid w:val="005F3D15"/>
    <w:rsid w:val="005F7904"/>
    <w:rsid w:val="006003B4"/>
    <w:rsid w:val="00601862"/>
    <w:rsid w:val="006018C0"/>
    <w:rsid w:val="00604475"/>
    <w:rsid w:val="0061432D"/>
    <w:rsid w:val="00615EAA"/>
    <w:rsid w:val="00616489"/>
    <w:rsid w:val="006267BA"/>
    <w:rsid w:val="00630564"/>
    <w:rsid w:val="00632871"/>
    <w:rsid w:val="00641556"/>
    <w:rsid w:val="00642224"/>
    <w:rsid w:val="00652EEE"/>
    <w:rsid w:val="00653337"/>
    <w:rsid w:val="0065504B"/>
    <w:rsid w:val="0065709D"/>
    <w:rsid w:val="00663701"/>
    <w:rsid w:val="00663FF2"/>
    <w:rsid w:val="00666276"/>
    <w:rsid w:val="006672A2"/>
    <w:rsid w:val="006708B1"/>
    <w:rsid w:val="00672673"/>
    <w:rsid w:val="00672AFA"/>
    <w:rsid w:val="00677F34"/>
    <w:rsid w:val="006801CA"/>
    <w:rsid w:val="006806F9"/>
    <w:rsid w:val="006843CF"/>
    <w:rsid w:val="006912F5"/>
    <w:rsid w:val="00691B69"/>
    <w:rsid w:val="006A37B1"/>
    <w:rsid w:val="006A3D25"/>
    <w:rsid w:val="006A5645"/>
    <w:rsid w:val="006A6A7B"/>
    <w:rsid w:val="006B064C"/>
    <w:rsid w:val="006B2065"/>
    <w:rsid w:val="006B576A"/>
    <w:rsid w:val="006B6787"/>
    <w:rsid w:val="006C23CD"/>
    <w:rsid w:val="006C5817"/>
    <w:rsid w:val="006D0AEC"/>
    <w:rsid w:val="006D653B"/>
    <w:rsid w:val="006E1D61"/>
    <w:rsid w:val="006E6B2C"/>
    <w:rsid w:val="006E7E88"/>
    <w:rsid w:val="006F7332"/>
    <w:rsid w:val="00700843"/>
    <w:rsid w:val="007009DB"/>
    <w:rsid w:val="00702179"/>
    <w:rsid w:val="00705A16"/>
    <w:rsid w:val="00705AF3"/>
    <w:rsid w:val="00706818"/>
    <w:rsid w:val="00712DE9"/>
    <w:rsid w:val="00712EB3"/>
    <w:rsid w:val="00722229"/>
    <w:rsid w:val="0072318E"/>
    <w:rsid w:val="00723E8B"/>
    <w:rsid w:val="0072457D"/>
    <w:rsid w:val="00726EB4"/>
    <w:rsid w:val="0073349A"/>
    <w:rsid w:val="00733F89"/>
    <w:rsid w:val="00737351"/>
    <w:rsid w:val="0074077F"/>
    <w:rsid w:val="007417FB"/>
    <w:rsid w:val="0074312C"/>
    <w:rsid w:val="00744723"/>
    <w:rsid w:val="00754D3B"/>
    <w:rsid w:val="007567A5"/>
    <w:rsid w:val="00762237"/>
    <w:rsid w:val="007635D2"/>
    <w:rsid w:val="00766DB1"/>
    <w:rsid w:val="00770986"/>
    <w:rsid w:val="00772E3B"/>
    <w:rsid w:val="00777FA0"/>
    <w:rsid w:val="00780522"/>
    <w:rsid w:val="00781A3A"/>
    <w:rsid w:val="00781C6C"/>
    <w:rsid w:val="00782614"/>
    <w:rsid w:val="0078265F"/>
    <w:rsid w:val="00784E61"/>
    <w:rsid w:val="00790B2F"/>
    <w:rsid w:val="007912FB"/>
    <w:rsid w:val="00791EEE"/>
    <w:rsid w:val="00797FA3"/>
    <w:rsid w:val="007B0B3B"/>
    <w:rsid w:val="007B1155"/>
    <w:rsid w:val="007C2444"/>
    <w:rsid w:val="007C27F7"/>
    <w:rsid w:val="007C6F08"/>
    <w:rsid w:val="007D061D"/>
    <w:rsid w:val="007D1CE1"/>
    <w:rsid w:val="007D6628"/>
    <w:rsid w:val="007E0628"/>
    <w:rsid w:val="007E23AF"/>
    <w:rsid w:val="007E35D1"/>
    <w:rsid w:val="007E36DD"/>
    <w:rsid w:val="007E547F"/>
    <w:rsid w:val="007E5625"/>
    <w:rsid w:val="007E66DB"/>
    <w:rsid w:val="007F0268"/>
    <w:rsid w:val="007F5869"/>
    <w:rsid w:val="007F6379"/>
    <w:rsid w:val="00805282"/>
    <w:rsid w:val="008067C0"/>
    <w:rsid w:val="00813A9E"/>
    <w:rsid w:val="00816E3B"/>
    <w:rsid w:val="0082692A"/>
    <w:rsid w:val="0082739B"/>
    <w:rsid w:val="0082764F"/>
    <w:rsid w:val="00831203"/>
    <w:rsid w:val="008330F6"/>
    <w:rsid w:val="00834D40"/>
    <w:rsid w:val="00837C55"/>
    <w:rsid w:val="0084311A"/>
    <w:rsid w:val="00843C12"/>
    <w:rsid w:val="00845F8C"/>
    <w:rsid w:val="00846EC6"/>
    <w:rsid w:val="00847D42"/>
    <w:rsid w:val="00855161"/>
    <w:rsid w:val="00865DC5"/>
    <w:rsid w:val="008678B9"/>
    <w:rsid w:val="0087352D"/>
    <w:rsid w:val="008746D0"/>
    <w:rsid w:val="00875238"/>
    <w:rsid w:val="0087649E"/>
    <w:rsid w:val="00877728"/>
    <w:rsid w:val="0088027E"/>
    <w:rsid w:val="008805EE"/>
    <w:rsid w:val="008868DB"/>
    <w:rsid w:val="0088729F"/>
    <w:rsid w:val="0088766C"/>
    <w:rsid w:val="00891242"/>
    <w:rsid w:val="0089389F"/>
    <w:rsid w:val="008A0871"/>
    <w:rsid w:val="008A20D3"/>
    <w:rsid w:val="008A7E7F"/>
    <w:rsid w:val="008B1C05"/>
    <w:rsid w:val="008B5E64"/>
    <w:rsid w:val="008B65EA"/>
    <w:rsid w:val="008C00FD"/>
    <w:rsid w:val="008C2888"/>
    <w:rsid w:val="008C52C7"/>
    <w:rsid w:val="008C684D"/>
    <w:rsid w:val="008D5AA4"/>
    <w:rsid w:val="008E366A"/>
    <w:rsid w:val="008E4A5C"/>
    <w:rsid w:val="008E7DE9"/>
    <w:rsid w:val="008F03B7"/>
    <w:rsid w:val="008F5052"/>
    <w:rsid w:val="009007CF"/>
    <w:rsid w:val="00901E56"/>
    <w:rsid w:val="00903D5D"/>
    <w:rsid w:val="00915541"/>
    <w:rsid w:val="00915C43"/>
    <w:rsid w:val="00924A91"/>
    <w:rsid w:val="00924CC5"/>
    <w:rsid w:val="00925D9F"/>
    <w:rsid w:val="00926C27"/>
    <w:rsid w:val="009272E9"/>
    <w:rsid w:val="009279F0"/>
    <w:rsid w:val="009347E7"/>
    <w:rsid w:val="00937C0C"/>
    <w:rsid w:val="00947246"/>
    <w:rsid w:val="00950DD4"/>
    <w:rsid w:val="0095156B"/>
    <w:rsid w:val="009528F9"/>
    <w:rsid w:val="00952A59"/>
    <w:rsid w:val="00954104"/>
    <w:rsid w:val="00954B25"/>
    <w:rsid w:val="00957461"/>
    <w:rsid w:val="00957921"/>
    <w:rsid w:val="009633E6"/>
    <w:rsid w:val="00964731"/>
    <w:rsid w:val="00972F2B"/>
    <w:rsid w:val="00973F6C"/>
    <w:rsid w:val="00974455"/>
    <w:rsid w:val="00982C72"/>
    <w:rsid w:val="00985009"/>
    <w:rsid w:val="00985565"/>
    <w:rsid w:val="00986141"/>
    <w:rsid w:val="00987282"/>
    <w:rsid w:val="00994564"/>
    <w:rsid w:val="00997C06"/>
    <w:rsid w:val="009A397C"/>
    <w:rsid w:val="009A3EB4"/>
    <w:rsid w:val="009B5B43"/>
    <w:rsid w:val="009C15DE"/>
    <w:rsid w:val="009C32DB"/>
    <w:rsid w:val="009C5414"/>
    <w:rsid w:val="009C70FA"/>
    <w:rsid w:val="009D1F67"/>
    <w:rsid w:val="009D2F2C"/>
    <w:rsid w:val="009D3343"/>
    <w:rsid w:val="009D5F4C"/>
    <w:rsid w:val="009D7CAC"/>
    <w:rsid w:val="009E2BAF"/>
    <w:rsid w:val="009F1DC8"/>
    <w:rsid w:val="009F3F98"/>
    <w:rsid w:val="009F7BF7"/>
    <w:rsid w:val="00A031DD"/>
    <w:rsid w:val="00A12463"/>
    <w:rsid w:val="00A124F2"/>
    <w:rsid w:val="00A23B0E"/>
    <w:rsid w:val="00A24F1D"/>
    <w:rsid w:val="00A25F8E"/>
    <w:rsid w:val="00A26039"/>
    <w:rsid w:val="00A26CC8"/>
    <w:rsid w:val="00A30A54"/>
    <w:rsid w:val="00A30F3E"/>
    <w:rsid w:val="00A328B7"/>
    <w:rsid w:val="00A37B9B"/>
    <w:rsid w:val="00A40718"/>
    <w:rsid w:val="00A4222D"/>
    <w:rsid w:val="00A44360"/>
    <w:rsid w:val="00A45808"/>
    <w:rsid w:val="00A55ED1"/>
    <w:rsid w:val="00A64D91"/>
    <w:rsid w:val="00A65D6C"/>
    <w:rsid w:val="00A6624E"/>
    <w:rsid w:val="00A6698E"/>
    <w:rsid w:val="00A73028"/>
    <w:rsid w:val="00A7373E"/>
    <w:rsid w:val="00A8059D"/>
    <w:rsid w:val="00A82BC5"/>
    <w:rsid w:val="00A83078"/>
    <w:rsid w:val="00A94CDE"/>
    <w:rsid w:val="00A97FCA"/>
    <w:rsid w:val="00AA1A67"/>
    <w:rsid w:val="00AA1A6A"/>
    <w:rsid w:val="00AA493A"/>
    <w:rsid w:val="00AA5D3D"/>
    <w:rsid w:val="00AA7AAD"/>
    <w:rsid w:val="00AB06DC"/>
    <w:rsid w:val="00AB0BA8"/>
    <w:rsid w:val="00AB6377"/>
    <w:rsid w:val="00AC18D9"/>
    <w:rsid w:val="00AC4140"/>
    <w:rsid w:val="00AC45DD"/>
    <w:rsid w:val="00AC4DB2"/>
    <w:rsid w:val="00AC5853"/>
    <w:rsid w:val="00AC7FEC"/>
    <w:rsid w:val="00AD057D"/>
    <w:rsid w:val="00AD09E9"/>
    <w:rsid w:val="00AD3DE6"/>
    <w:rsid w:val="00AD62AE"/>
    <w:rsid w:val="00AE027A"/>
    <w:rsid w:val="00AE16E9"/>
    <w:rsid w:val="00AE2870"/>
    <w:rsid w:val="00AE58EF"/>
    <w:rsid w:val="00AE7398"/>
    <w:rsid w:val="00AE7C49"/>
    <w:rsid w:val="00AF012A"/>
    <w:rsid w:val="00AF0522"/>
    <w:rsid w:val="00AF3822"/>
    <w:rsid w:val="00AF4958"/>
    <w:rsid w:val="00B00A7F"/>
    <w:rsid w:val="00B037F3"/>
    <w:rsid w:val="00B0529C"/>
    <w:rsid w:val="00B0702E"/>
    <w:rsid w:val="00B13D23"/>
    <w:rsid w:val="00B2125B"/>
    <w:rsid w:val="00B216B2"/>
    <w:rsid w:val="00B26818"/>
    <w:rsid w:val="00B31363"/>
    <w:rsid w:val="00B315A4"/>
    <w:rsid w:val="00B40DEF"/>
    <w:rsid w:val="00B410E5"/>
    <w:rsid w:val="00B4250B"/>
    <w:rsid w:val="00B444B0"/>
    <w:rsid w:val="00B5146C"/>
    <w:rsid w:val="00B51FDC"/>
    <w:rsid w:val="00B562EA"/>
    <w:rsid w:val="00B66B9F"/>
    <w:rsid w:val="00B7098E"/>
    <w:rsid w:val="00B7480A"/>
    <w:rsid w:val="00B7715C"/>
    <w:rsid w:val="00B82C21"/>
    <w:rsid w:val="00B84C28"/>
    <w:rsid w:val="00B8672B"/>
    <w:rsid w:val="00B867D7"/>
    <w:rsid w:val="00B87A07"/>
    <w:rsid w:val="00B904D5"/>
    <w:rsid w:val="00B94DB2"/>
    <w:rsid w:val="00BA6BD6"/>
    <w:rsid w:val="00BA7475"/>
    <w:rsid w:val="00BB414B"/>
    <w:rsid w:val="00BB7C6D"/>
    <w:rsid w:val="00BC0084"/>
    <w:rsid w:val="00BC241C"/>
    <w:rsid w:val="00BD0697"/>
    <w:rsid w:val="00BE2102"/>
    <w:rsid w:val="00BE44C6"/>
    <w:rsid w:val="00BE77B5"/>
    <w:rsid w:val="00BF11D2"/>
    <w:rsid w:val="00BF1BE4"/>
    <w:rsid w:val="00BF5E6E"/>
    <w:rsid w:val="00BF6A7A"/>
    <w:rsid w:val="00C0016C"/>
    <w:rsid w:val="00C03303"/>
    <w:rsid w:val="00C1304B"/>
    <w:rsid w:val="00C143E7"/>
    <w:rsid w:val="00C15164"/>
    <w:rsid w:val="00C25C3C"/>
    <w:rsid w:val="00C26188"/>
    <w:rsid w:val="00C33A34"/>
    <w:rsid w:val="00C34807"/>
    <w:rsid w:val="00C35507"/>
    <w:rsid w:val="00C42192"/>
    <w:rsid w:val="00C42989"/>
    <w:rsid w:val="00C466FA"/>
    <w:rsid w:val="00C4764F"/>
    <w:rsid w:val="00C55306"/>
    <w:rsid w:val="00C56406"/>
    <w:rsid w:val="00C62281"/>
    <w:rsid w:val="00C62692"/>
    <w:rsid w:val="00C6435B"/>
    <w:rsid w:val="00C67473"/>
    <w:rsid w:val="00C70510"/>
    <w:rsid w:val="00C75E51"/>
    <w:rsid w:val="00C84EBD"/>
    <w:rsid w:val="00C869E2"/>
    <w:rsid w:val="00C87237"/>
    <w:rsid w:val="00C91171"/>
    <w:rsid w:val="00C9320A"/>
    <w:rsid w:val="00C95AE5"/>
    <w:rsid w:val="00CA16CC"/>
    <w:rsid w:val="00CA5A77"/>
    <w:rsid w:val="00CB1701"/>
    <w:rsid w:val="00CB42CF"/>
    <w:rsid w:val="00CB4626"/>
    <w:rsid w:val="00CB5390"/>
    <w:rsid w:val="00CB57F9"/>
    <w:rsid w:val="00CB728B"/>
    <w:rsid w:val="00CC1BCB"/>
    <w:rsid w:val="00CC2CCA"/>
    <w:rsid w:val="00CC2D20"/>
    <w:rsid w:val="00CC354E"/>
    <w:rsid w:val="00CC3978"/>
    <w:rsid w:val="00CC5DA3"/>
    <w:rsid w:val="00CC6FD1"/>
    <w:rsid w:val="00CC7911"/>
    <w:rsid w:val="00CE0760"/>
    <w:rsid w:val="00CE5D9A"/>
    <w:rsid w:val="00CF0226"/>
    <w:rsid w:val="00CF422C"/>
    <w:rsid w:val="00CF535C"/>
    <w:rsid w:val="00CF7076"/>
    <w:rsid w:val="00D01310"/>
    <w:rsid w:val="00D0218A"/>
    <w:rsid w:val="00D0461D"/>
    <w:rsid w:val="00D12146"/>
    <w:rsid w:val="00D133A1"/>
    <w:rsid w:val="00D13DA9"/>
    <w:rsid w:val="00D13EF1"/>
    <w:rsid w:val="00D14B22"/>
    <w:rsid w:val="00D1539D"/>
    <w:rsid w:val="00D169B8"/>
    <w:rsid w:val="00D17284"/>
    <w:rsid w:val="00D231D9"/>
    <w:rsid w:val="00D25FB6"/>
    <w:rsid w:val="00D278C5"/>
    <w:rsid w:val="00D334D9"/>
    <w:rsid w:val="00D35622"/>
    <w:rsid w:val="00D35FDB"/>
    <w:rsid w:val="00D42471"/>
    <w:rsid w:val="00D42E4F"/>
    <w:rsid w:val="00D438AC"/>
    <w:rsid w:val="00D43CE1"/>
    <w:rsid w:val="00D46734"/>
    <w:rsid w:val="00D4711C"/>
    <w:rsid w:val="00D506CC"/>
    <w:rsid w:val="00D555B3"/>
    <w:rsid w:val="00D64EDC"/>
    <w:rsid w:val="00D722D6"/>
    <w:rsid w:val="00D731E6"/>
    <w:rsid w:val="00D73A19"/>
    <w:rsid w:val="00D747E9"/>
    <w:rsid w:val="00D74FD3"/>
    <w:rsid w:val="00D7735D"/>
    <w:rsid w:val="00D82260"/>
    <w:rsid w:val="00D84335"/>
    <w:rsid w:val="00D84512"/>
    <w:rsid w:val="00D85336"/>
    <w:rsid w:val="00D858E1"/>
    <w:rsid w:val="00D91F0A"/>
    <w:rsid w:val="00D92071"/>
    <w:rsid w:val="00D93588"/>
    <w:rsid w:val="00D93B73"/>
    <w:rsid w:val="00D949F9"/>
    <w:rsid w:val="00DA059B"/>
    <w:rsid w:val="00DA0D72"/>
    <w:rsid w:val="00DA31CF"/>
    <w:rsid w:val="00DA321A"/>
    <w:rsid w:val="00DA3A83"/>
    <w:rsid w:val="00DB0208"/>
    <w:rsid w:val="00DB37D0"/>
    <w:rsid w:val="00DB4662"/>
    <w:rsid w:val="00DB49FC"/>
    <w:rsid w:val="00DB60DD"/>
    <w:rsid w:val="00DB60EB"/>
    <w:rsid w:val="00DB63CE"/>
    <w:rsid w:val="00DB783A"/>
    <w:rsid w:val="00DC1B24"/>
    <w:rsid w:val="00DC2CA0"/>
    <w:rsid w:val="00DC32C4"/>
    <w:rsid w:val="00DC43CD"/>
    <w:rsid w:val="00DC44BD"/>
    <w:rsid w:val="00DC5AC1"/>
    <w:rsid w:val="00DC6B4D"/>
    <w:rsid w:val="00DD062F"/>
    <w:rsid w:val="00DD185F"/>
    <w:rsid w:val="00DD1E34"/>
    <w:rsid w:val="00DD2EB7"/>
    <w:rsid w:val="00DD3168"/>
    <w:rsid w:val="00DD476B"/>
    <w:rsid w:val="00DE1633"/>
    <w:rsid w:val="00DE3611"/>
    <w:rsid w:val="00DE37C3"/>
    <w:rsid w:val="00DE44E2"/>
    <w:rsid w:val="00DE58B5"/>
    <w:rsid w:val="00DE7136"/>
    <w:rsid w:val="00DF13EB"/>
    <w:rsid w:val="00DF278F"/>
    <w:rsid w:val="00E009AE"/>
    <w:rsid w:val="00E02C2A"/>
    <w:rsid w:val="00E03110"/>
    <w:rsid w:val="00E04630"/>
    <w:rsid w:val="00E1036A"/>
    <w:rsid w:val="00E156D3"/>
    <w:rsid w:val="00E17413"/>
    <w:rsid w:val="00E20B7E"/>
    <w:rsid w:val="00E24619"/>
    <w:rsid w:val="00E25E6B"/>
    <w:rsid w:val="00E30035"/>
    <w:rsid w:val="00E375A4"/>
    <w:rsid w:val="00E4011F"/>
    <w:rsid w:val="00E44FBE"/>
    <w:rsid w:val="00E47B68"/>
    <w:rsid w:val="00E5002B"/>
    <w:rsid w:val="00E503DC"/>
    <w:rsid w:val="00E50931"/>
    <w:rsid w:val="00E544A6"/>
    <w:rsid w:val="00E56114"/>
    <w:rsid w:val="00E62D6B"/>
    <w:rsid w:val="00E63553"/>
    <w:rsid w:val="00E6672D"/>
    <w:rsid w:val="00E670CD"/>
    <w:rsid w:val="00E70AC2"/>
    <w:rsid w:val="00E730CA"/>
    <w:rsid w:val="00E73EC7"/>
    <w:rsid w:val="00E75832"/>
    <w:rsid w:val="00E75C84"/>
    <w:rsid w:val="00E85C9A"/>
    <w:rsid w:val="00E8624C"/>
    <w:rsid w:val="00E86810"/>
    <w:rsid w:val="00E9086B"/>
    <w:rsid w:val="00E910D7"/>
    <w:rsid w:val="00E92077"/>
    <w:rsid w:val="00E92301"/>
    <w:rsid w:val="00E9296D"/>
    <w:rsid w:val="00E92EB8"/>
    <w:rsid w:val="00E9759C"/>
    <w:rsid w:val="00EA26BF"/>
    <w:rsid w:val="00EA42E4"/>
    <w:rsid w:val="00EB08AC"/>
    <w:rsid w:val="00EC0944"/>
    <w:rsid w:val="00EC1D20"/>
    <w:rsid w:val="00EC3422"/>
    <w:rsid w:val="00EE2108"/>
    <w:rsid w:val="00EE4DD5"/>
    <w:rsid w:val="00EF23BC"/>
    <w:rsid w:val="00EF29FF"/>
    <w:rsid w:val="00EF5045"/>
    <w:rsid w:val="00EF76FE"/>
    <w:rsid w:val="00F00CC1"/>
    <w:rsid w:val="00F01436"/>
    <w:rsid w:val="00F03962"/>
    <w:rsid w:val="00F15CE2"/>
    <w:rsid w:val="00F23DE9"/>
    <w:rsid w:val="00F31B0D"/>
    <w:rsid w:val="00F34311"/>
    <w:rsid w:val="00F34A37"/>
    <w:rsid w:val="00F55347"/>
    <w:rsid w:val="00F55355"/>
    <w:rsid w:val="00F55BB8"/>
    <w:rsid w:val="00F57EC1"/>
    <w:rsid w:val="00F61030"/>
    <w:rsid w:val="00F6143D"/>
    <w:rsid w:val="00F62265"/>
    <w:rsid w:val="00F64F97"/>
    <w:rsid w:val="00F6684F"/>
    <w:rsid w:val="00F83929"/>
    <w:rsid w:val="00F85F58"/>
    <w:rsid w:val="00F912FD"/>
    <w:rsid w:val="00F962FD"/>
    <w:rsid w:val="00F96F63"/>
    <w:rsid w:val="00FA195E"/>
    <w:rsid w:val="00FA1D08"/>
    <w:rsid w:val="00FA1D72"/>
    <w:rsid w:val="00FA25AA"/>
    <w:rsid w:val="00FB2C93"/>
    <w:rsid w:val="00FB2F52"/>
    <w:rsid w:val="00FC0C65"/>
    <w:rsid w:val="00FC16D4"/>
    <w:rsid w:val="00FC7B7F"/>
    <w:rsid w:val="00FD3283"/>
    <w:rsid w:val="00FD395B"/>
    <w:rsid w:val="00FD49E8"/>
    <w:rsid w:val="00FD4E50"/>
    <w:rsid w:val="00FE021B"/>
    <w:rsid w:val="00FE39A5"/>
    <w:rsid w:val="00FE419F"/>
    <w:rsid w:val="00FE4A2E"/>
    <w:rsid w:val="00FE4CB0"/>
    <w:rsid w:val="00FE6403"/>
    <w:rsid w:val="00FE6676"/>
    <w:rsid w:val="00FF0D6E"/>
    <w:rsid w:val="00FF270A"/>
    <w:rsid w:val="00FF3E71"/>
    <w:rsid w:val="4484D7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E258D"/>
  <w15:docId w15:val="{69FA9357-6B32-4B2E-97BB-487FB8C4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CB5390"/>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8067C0"/>
    <w:pPr>
      <w:ind w:left="720"/>
      <w:contextualSpacing/>
    </w:pPr>
  </w:style>
  <w:style w:type="paragraph" w:styleId="Header">
    <w:name w:val="header"/>
    <w:basedOn w:val="Normal"/>
    <w:link w:val="HeaderChar"/>
    <w:uiPriority w:val="99"/>
    <w:unhideWhenUsed/>
    <w:rsid w:val="001A1829"/>
    <w:pPr>
      <w:tabs>
        <w:tab w:val="center" w:pos="4513"/>
        <w:tab w:val="right" w:pos="9026"/>
      </w:tabs>
      <w:spacing w:line="240" w:lineRule="auto"/>
    </w:pPr>
  </w:style>
  <w:style w:type="character" w:customStyle="1" w:styleId="HeaderChar">
    <w:name w:val="Header Char"/>
    <w:basedOn w:val="DefaultParagraphFont"/>
    <w:link w:val="Header"/>
    <w:uiPriority w:val="99"/>
    <w:rsid w:val="001A1829"/>
    <w:rPr>
      <w:rFonts w:ascii="Verdana" w:hAnsi="Verdana"/>
      <w:color w:val="000000"/>
      <w:sz w:val="18"/>
      <w:szCs w:val="18"/>
    </w:rPr>
  </w:style>
  <w:style w:type="paragraph" w:styleId="Footer">
    <w:name w:val="footer"/>
    <w:basedOn w:val="Normal"/>
    <w:link w:val="FooterChar"/>
    <w:uiPriority w:val="99"/>
    <w:unhideWhenUsed/>
    <w:rsid w:val="001A1829"/>
    <w:pPr>
      <w:tabs>
        <w:tab w:val="center" w:pos="4513"/>
        <w:tab w:val="right" w:pos="9026"/>
      </w:tabs>
      <w:spacing w:line="240" w:lineRule="auto"/>
    </w:pPr>
  </w:style>
  <w:style w:type="character" w:customStyle="1" w:styleId="FooterChar">
    <w:name w:val="Footer Char"/>
    <w:basedOn w:val="DefaultParagraphFont"/>
    <w:link w:val="Footer"/>
    <w:uiPriority w:val="99"/>
    <w:rsid w:val="001A1829"/>
    <w:rPr>
      <w:rFonts w:ascii="Verdana" w:hAnsi="Verdana"/>
      <w:color w:val="000000"/>
      <w:sz w:val="18"/>
      <w:szCs w:val="18"/>
    </w:rPr>
  </w:style>
  <w:style w:type="character" w:styleId="CommentReference">
    <w:name w:val="annotation reference"/>
    <w:basedOn w:val="DefaultParagraphFont"/>
    <w:uiPriority w:val="99"/>
    <w:semiHidden/>
    <w:unhideWhenUsed/>
    <w:rsid w:val="005671B4"/>
    <w:rPr>
      <w:sz w:val="16"/>
      <w:szCs w:val="16"/>
    </w:rPr>
  </w:style>
  <w:style w:type="paragraph" w:styleId="CommentText">
    <w:name w:val="annotation text"/>
    <w:basedOn w:val="Normal"/>
    <w:link w:val="CommentTextChar"/>
    <w:uiPriority w:val="99"/>
    <w:unhideWhenUsed/>
    <w:rsid w:val="005671B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671B4"/>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5671B4"/>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5671B4"/>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5B6211"/>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FD3283"/>
    <w:pPr>
      <w:spacing w:line="240" w:lineRule="auto"/>
    </w:pPr>
    <w:rPr>
      <w:sz w:val="20"/>
      <w:szCs w:val="20"/>
    </w:rPr>
  </w:style>
  <w:style w:type="character" w:customStyle="1" w:styleId="FootnoteTextChar">
    <w:name w:val="Footnote Text Char"/>
    <w:basedOn w:val="DefaultParagraphFont"/>
    <w:link w:val="FootnoteText"/>
    <w:uiPriority w:val="99"/>
    <w:semiHidden/>
    <w:rsid w:val="00FD3283"/>
    <w:rPr>
      <w:rFonts w:ascii="Verdana" w:hAnsi="Verdana"/>
      <w:color w:val="000000"/>
    </w:rPr>
  </w:style>
  <w:style w:type="character" w:styleId="FootnoteReference">
    <w:name w:val="footnote reference"/>
    <w:basedOn w:val="DefaultParagraphFont"/>
    <w:uiPriority w:val="99"/>
    <w:semiHidden/>
    <w:unhideWhenUsed/>
    <w:rsid w:val="00FD3283"/>
    <w:rPr>
      <w:vertAlign w:val="superscript"/>
    </w:rPr>
  </w:style>
  <w:style w:type="character" w:customStyle="1" w:styleId="Heading1Char">
    <w:name w:val="Heading 1 Char"/>
    <w:basedOn w:val="DefaultParagraphFont"/>
    <w:link w:val="Heading1"/>
    <w:uiPriority w:val="99"/>
    <w:semiHidden/>
    <w:rsid w:val="00CB5390"/>
    <w:rPr>
      <w:rFonts w:asciiTheme="majorHAnsi" w:eastAsiaTheme="majorEastAsia" w:hAnsiTheme="majorHAnsi" w:cstheme="majorBidi"/>
      <w:color w:val="0F4761" w:themeColor="accent1" w:themeShade="BF"/>
      <w:sz w:val="32"/>
      <w:szCs w:val="32"/>
    </w:rPr>
  </w:style>
  <w:style w:type="character" w:styleId="UnresolvedMention">
    <w:name w:val="Unresolved Mention"/>
    <w:basedOn w:val="DefaultParagraphFont"/>
    <w:uiPriority w:val="99"/>
    <w:semiHidden/>
    <w:unhideWhenUsed/>
    <w:rsid w:val="00CB539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DE58B5"/>
    <w:rPr>
      <w:color w:val="96607D" w:themeColor="followedHyperlink"/>
      <w:u w:val="single"/>
    </w:rPr>
  </w:style>
  <w:style w:type="paragraph" w:customStyle="1" w:styleId="Citaat1">
    <w:name w:val="Citaat1"/>
    <w:basedOn w:val="Normal"/>
    <w:next w:val="Normal"/>
    <w:uiPriority w:val="98"/>
    <w:qFormat/>
    <w:rsid w:val="0088766C"/>
    <w:pPr>
      <w:spacing w:before="200" w:after="160"/>
      <w:ind w:left="861"/>
      <w:jc w:val="center"/>
    </w:pPr>
    <w:rPr>
      <w:i/>
      <w:color w:val="404040"/>
    </w:rPr>
  </w:style>
  <w:style w:type="paragraph" w:customStyle="1" w:styleId="Geenafstand1">
    <w:name w:val="Geen afstand1"/>
    <w:basedOn w:val="Normal"/>
    <w:next w:val="Normal"/>
    <w:uiPriority w:val="98"/>
    <w:qFormat/>
    <w:rsid w:val="0088766C"/>
    <w:pPr>
      <w:spacing w:line="180" w:lineRule="exact"/>
    </w:pPr>
  </w:style>
  <w:style w:type="paragraph" w:customStyle="1" w:styleId="Intensievebenadrukking1">
    <w:name w:val="Intensieve benadrukking1"/>
    <w:basedOn w:val="Normal"/>
    <w:next w:val="Normal"/>
    <w:uiPriority w:val="98"/>
    <w:qFormat/>
    <w:rsid w:val="0088766C"/>
    <w:rPr>
      <w:i/>
      <w:color w:val="4F81BD"/>
    </w:rPr>
  </w:style>
  <w:style w:type="paragraph" w:customStyle="1" w:styleId="Intensieveverwijzing1">
    <w:name w:val="Intensieve verwijzing1"/>
    <w:basedOn w:val="Normal"/>
    <w:next w:val="Normal"/>
    <w:uiPriority w:val="98"/>
    <w:qFormat/>
    <w:rsid w:val="0088766C"/>
    <w:rPr>
      <w:b/>
      <w:smallCaps/>
      <w:color w:val="4F81BD"/>
      <w:spacing w:val="5"/>
    </w:rPr>
  </w:style>
  <w:style w:type="paragraph" w:customStyle="1" w:styleId="Kop11">
    <w:name w:val="Kop 11"/>
    <w:basedOn w:val="Normal"/>
    <w:next w:val="Normal"/>
    <w:qFormat/>
    <w:rsid w:val="0088766C"/>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88766C"/>
    <w:pPr>
      <w:tabs>
        <w:tab w:val="left" w:pos="0"/>
      </w:tabs>
      <w:spacing w:before="240"/>
    </w:pPr>
    <w:rPr>
      <w:i/>
    </w:rPr>
  </w:style>
  <w:style w:type="paragraph" w:customStyle="1" w:styleId="Kop31">
    <w:name w:val="Kop 31"/>
    <w:basedOn w:val="Normal"/>
    <w:next w:val="Normal"/>
    <w:uiPriority w:val="2"/>
    <w:qFormat/>
    <w:rsid w:val="0088766C"/>
    <w:pPr>
      <w:tabs>
        <w:tab w:val="left" w:pos="0"/>
      </w:tabs>
      <w:spacing w:before="240"/>
      <w:ind w:left="-1120"/>
    </w:pPr>
  </w:style>
  <w:style w:type="paragraph" w:customStyle="1" w:styleId="Kop41">
    <w:name w:val="Kop 41"/>
    <w:basedOn w:val="Normal"/>
    <w:next w:val="Normal"/>
    <w:uiPriority w:val="3"/>
    <w:qFormat/>
    <w:rsid w:val="0088766C"/>
    <w:pPr>
      <w:tabs>
        <w:tab w:val="left" w:pos="0"/>
      </w:tabs>
      <w:spacing w:before="240"/>
      <w:ind w:left="-1120"/>
    </w:pPr>
  </w:style>
  <w:style w:type="paragraph" w:customStyle="1" w:styleId="Kop51">
    <w:name w:val="Kop 51"/>
    <w:basedOn w:val="Normal"/>
    <w:next w:val="Normal"/>
    <w:rsid w:val="0088766C"/>
    <w:pPr>
      <w:spacing w:line="320" w:lineRule="exact"/>
    </w:pPr>
    <w:rPr>
      <w:sz w:val="24"/>
      <w:szCs w:val="24"/>
    </w:rPr>
  </w:style>
  <w:style w:type="paragraph" w:customStyle="1" w:styleId="Ondertitel1">
    <w:name w:val="Ondertitel1"/>
    <w:basedOn w:val="Normal"/>
    <w:next w:val="Normal"/>
    <w:uiPriority w:val="8"/>
    <w:qFormat/>
    <w:rsid w:val="0088766C"/>
    <w:pPr>
      <w:spacing w:line="320" w:lineRule="atLeast"/>
    </w:pPr>
    <w:rPr>
      <w:sz w:val="24"/>
      <w:szCs w:val="24"/>
    </w:rPr>
  </w:style>
  <w:style w:type="paragraph" w:customStyle="1" w:styleId="Subtielebenadrukking1">
    <w:name w:val="Subtiele benadrukking1"/>
    <w:basedOn w:val="Normal"/>
    <w:next w:val="Normal"/>
    <w:uiPriority w:val="98"/>
    <w:qFormat/>
    <w:rsid w:val="0088766C"/>
    <w:rPr>
      <w:i/>
      <w:color w:val="404040"/>
    </w:rPr>
  </w:style>
  <w:style w:type="paragraph" w:customStyle="1" w:styleId="Subtieleverwijzing1">
    <w:name w:val="Subtiele verwijzing1"/>
    <w:basedOn w:val="Normal"/>
    <w:next w:val="Normal"/>
    <w:uiPriority w:val="98"/>
    <w:qFormat/>
    <w:rsid w:val="0088766C"/>
    <w:rPr>
      <w:smallCaps/>
      <w:color w:val="404040"/>
    </w:rPr>
  </w:style>
  <w:style w:type="table" w:customStyle="1" w:styleId="Tabelraster1">
    <w:name w:val="Tabelraster1"/>
    <w:rsid w:val="0088766C"/>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88766C"/>
    <w:pPr>
      <w:spacing w:line="320" w:lineRule="atLeast"/>
    </w:pPr>
    <w:rPr>
      <w:b/>
      <w:sz w:val="24"/>
      <w:szCs w:val="24"/>
    </w:rPr>
  </w:style>
  <w:style w:type="paragraph" w:customStyle="1" w:styleId="Titelvanboek1">
    <w:name w:val="Titel van boek1"/>
    <w:basedOn w:val="Normal"/>
    <w:next w:val="Normal"/>
    <w:uiPriority w:val="98"/>
    <w:qFormat/>
    <w:rsid w:val="0088766C"/>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48771">
      <w:bodyDiv w:val="1"/>
      <w:marLeft w:val="0"/>
      <w:marRight w:val="0"/>
      <w:marTop w:val="0"/>
      <w:marBottom w:val="0"/>
      <w:divBdr>
        <w:top w:val="none" w:sz="0" w:space="0" w:color="auto"/>
        <w:left w:val="none" w:sz="0" w:space="0" w:color="auto"/>
        <w:bottom w:val="none" w:sz="0" w:space="0" w:color="auto"/>
        <w:right w:val="none" w:sz="0" w:space="0" w:color="auto"/>
      </w:divBdr>
    </w:div>
    <w:div w:id="150488560">
      <w:bodyDiv w:val="1"/>
      <w:marLeft w:val="0"/>
      <w:marRight w:val="0"/>
      <w:marTop w:val="0"/>
      <w:marBottom w:val="0"/>
      <w:divBdr>
        <w:top w:val="none" w:sz="0" w:space="0" w:color="auto"/>
        <w:left w:val="none" w:sz="0" w:space="0" w:color="auto"/>
        <w:bottom w:val="none" w:sz="0" w:space="0" w:color="auto"/>
        <w:right w:val="none" w:sz="0" w:space="0" w:color="auto"/>
      </w:divBdr>
    </w:div>
    <w:div w:id="266549407">
      <w:bodyDiv w:val="1"/>
      <w:marLeft w:val="0"/>
      <w:marRight w:val="0"/>
      <w:marTop w:val="0"/>
      <w:marBottom w:val="0"/>
      <w:divBdr>
        <w:top w:val="none" w:sz="0" w:space="0" w:color="auto"/>
        <w:left w:val="none" w:sz="0" w:space="0" w:color="auto"/>
        <w:bottom w:val="none" w:sz="0" w:space="0" w:color="auto"/>
        <w:right w:val="none" w:sz="0" w:space="0" w:color="auto"/>
      </w:divBdr>
      <w:divsChild>
        <w:div w:id="584415768">
          <w:marLeft w:val="0"/>
          <w:marRight w:val="0"/>
          <w:marTop w:val="0"/>
          <w:marBottom w:val="0"/>
          <w:divBdr>
            <w:top w:val="none" w:sz="0" w:space="0" w:color="auto"/>
            <w:left w:val="none" w:sz="0" w:space="0" w:color="auto"/>
            <w:bottom w:val="none" w:sz="0" w:space="0" w:color="auto"/>
            <w:right w:val="none" w:sz="0" w:space="0" w:color="auto"/>
          </w:divBdr>
        </w:div>
      </w:divsChild>
    </w:div>
    <w:div w:id="396172425">
      <w:bodyDiv w:val="1"/>
      <w:marLeft w:val="0"/>
      <w:marRight w:val="0"/>
      <w:marTop w:val="0"/>
      <w:marBottom w:val="0"/>
      <w:divBdr>
        <w:top w:val="none" w:sz="0" w:space="0" w:color="auto"/>
        <w:left w:val="none" w:sz="0" w:space="0" w:color="auto"/>
        <w:bottom w:val="none" w:sz="0" w:space="0" w:color="auto"/>
        <w:right w:val="none" w:sz="0" w:space="0" w:color="auto"/>
      </w:divBdr>
    </w:div>
    <w:div w:id="487595142">
      <w:bodyDiv w:val="1"/>
      <w:marLeft w:val="0"/>
      <w:marRight w:val="0"/>
      <w:marTop w:val="0"/>
      <w:marBottom w:val="0"/>
      <w:divBdr>
        <w:top w:val="none" w:sz="0" w:space="0" w:color="auto"/>
        <w:left w:val="none" w:sz="0" w:space="0" w:color="auto"/>
        <w:bottom w:val="none" w:sz="0" w:space="0" w:color="auto"/>
        <w:right w:val="none" w:sz="0" w:space="0" w:color="auto"/>
      </w:divBdr>
    </w:div>
    <w:div w:id="493956643">
      <w:bodyDiv w:val="1"/>
      <w:marLeft w:val="0"/>
      <w:marRight w:val="0"/>
      <w:marTop w:val="0"/>
      <w:marBottom w:val="0"/>
      <w:divBdr>
        <w:top w:val="none" w:sz="0" w:space="0" w:color="auto"/>
        <w:left w:val="none" w:sz="0" w:space="0" w:color="auto"/>
        <w:bottom w:val="none" w:sz="0" w:space="0" w:color="auto"/>
        <w:right w:val="none" w:sz="0" w:space="0" w:color="auto"/>
      </w:divBdr>
      <w:divsChild>
        <w:div w:id="1083720389">
          <w:marLeft w:val="0"/>
          <w:marRight w:val="0"/>
          <w:marTop w:val="0"/>
          <w:marBottom w:val="0"/>
          <w:divBdr>
            <w:top w:val="none" w:sz="0" w:space="0" w:color="auto"/>
            <w:left w:val="none" w:sz="0" w:space="0" w:color="auto"/>
            <w:bottom w:val="none" w:sz="0" w:space="0" w:color="auto"/>
            <w:right w:val="none" w:sz="0" w:space="0" w:color="auto"/>
          </w:divBdr>
        </w:div>
      </w:divsChild>
    </w:div>
    <w:div w:id="597642356">
      <w:bodyDiv w:val="1"/>
      <w:marLeft w:val="0"/>
      <w:marRight w:val="0"/>
      <w:marTop w:val="0"/>
      <w:marBottom w:val="0"/>
      <w:divBdr>
        <w:top w:val="none" w:sz="0" w:space="0" w:color="auto"/>
        <w:left w:val="none" w:sz="0" w:space="0" w:color="auto"/>
        <w:bottom w:val="none" w:sz="0" w:space="0" w:color="auto"/>
        <w:right w:val="none" w:sz="0" w:space="0" w:color="auto"/>
      </w:divBdr>
    </w:div>
    <w:div w:id="636879218">
      <w:bodyDiv w:val="1"/>
      <w:marLeft w:val="0"/>
      <w:marRight w:val="0"/>
      <w:marTop w:val="0"/>
      <w:marBottom w:val="0"/>
      <w:divBdr>
        <w:top w:val="none" w:sz="0" w:space="0" w:color="auto"/>
        <w:left w:val="none" w:sz="0" w:space="0" w:color="auto"/>
        <w:bottom w:val="none" w:sz="0" w:space="0" w:color="auto"/>
        <w:right w:val="none" w:sz="0" w:space="0" w:color="auto"/>
      </w:divBdr>
    </w:div>
    <w:div w:id="651523371">
      <w:bodyDiv w:val="1"/>
      <w:marLeft w:val="0"/>
      <w:marRight w:val="0"/>
      <w:marTop w:val="0"/>
      <w:marBottom w:val="0"/>
      <w:divBdr>
        <w:top w:val="none" w:sz="0" w:space="0" w:color="auto"/>
        <w:left w:val="none" w:sz="0" w:space="0" w:color="auto"/>
        <w:bottom w:val="none" w:sz="0" w:space="0" w:color="auto"/>
        <w:right w:val="none" w:sz="0" w:space="0" w:color="auto"/>
      </w:divBdr>
      <w:divsChild>
        <w:div w:id="1478645687">
          <w:marLeft w:val="245"/>
          <w:marRight w:val="0"/>
          <w:marTop w:val="67"/>
          <w:marBottom w:val="0"/>
          <w:divBdr>
            <w:top w:val="none" w:sz="0" w:space="0" w:color="auto"/>
            <w:left w:val="none" w:sz="0" w:space="0" w:color="auto"/>
            <w:bottom w:val="none" w:sz="0" w:space="0" w:color="auto"/>
            <w:right w:val="none" w:sz="0" w:space="0" w:color="auto"/>
          </w:divBdr>
        </w:div>
      </w:divsChild>
    </w:div>
    <w:div w:id="664092499">
      <w:bodyDiv w:val="1"/>
      <w:marLeft w:val="0"/>
      <w:marRight w:val="0"/>
      <w:marTop w:val="0"/>
      <w:marBottom w:val="0"/>
      <w:divBdr>
        <w:top w:val="none" w:sz="0" w:space="0" w:color="auto"/>
        <w:left w:val="none" w:sz="0" w:space="0" w:color="auto"/>
        <w:bottom w:val="none" w:sz="0" w:space="0" w:color="auto"/>
        <w:right w:val="none" w:sz="0" w:space="0" w:color="auto"/>
      </w:divBdr>
    </w:div>
    <w:div w:id="853495524">
      <w:bodyDiv w:val="1"/>
      <w:marLeft w:val="0"/>
      <w:marRight w:val="0"/>
      <w:marTop w:val="0"/>
      <w:marBottom w:val="0"/>
      <w:divBdr>
        <w:top w:val="none" w:sz="0" w:space="0" w:color="auto"/>
        <w:left w:val="none" w:sz="0" w:space="0" w:color="auto"/>
        <w:bottom w:val="none" w:sz="0" w:space="0" w:color="auto"/>
        <w:right w:val="none" w:sz="0" w:space="0" w:color="auto"/>
      </w:divBdr>
    </w:div>
    <w:div w:id="962881455">
      <w:bodyDiv w:val="1"/>
      <w:marLeft w:val="0"/>
      <w:marRight w:val="0"/>
      <w:marTop w:val="0"/>
      <w:marBottom w:val="0"/>
      <w:divBdr>
        <w:top w:val="none" w:sz="0" w:space="0" w:color="auto"/>
        <w:left w:val="none" w:sz="0" w:space="0" w:color="auto"/>
        <w:bottom w:val="none" w:sz="0" w:space="0" w:color="auto"/>
        <w:right w:val="none" w:sz="0" w:space="0" w:color="auto"/>
      </w:divBdr>
    </w:div>
    <w:div w:id="1039627211">
      <w:bodyDiv w:val="1"/>
      <w:marLeft w:val="0"/>
      <w:marRight w:val="0"/>
      <w:marTop w:val="0"/>
      <w:marBottom w:val="0"/>
      <w:divBdr>
        <w:top w:val="none" w:sz="0" w:space="0" w:color="auto"/>
        <w:left w:val="none" w:sz="0" w:space="0" w:color="auto"/>
        <w:bottom w:val="none" w:sz="0" w:space="0" w:color="auto"/>
        <w:right w:val="none" w:sz="0" w:space="0" w:color="auto"/>
      </w:divBdr>
    </w:div>
    <w:div w:id="1224414811">
      <w:bodyDiv w:val="1"/>
      <w:marLeft w:val="0"/>
      <w:marRight w:val="0"/>
      <w:marTop w:val="0"/>
      <w:marBottom w:val="0"/>
      <w:divBdr>
        <w:top w:val="none" w:sz="0" w:space="0" w:color="auto"/>
        <w:left w:val="none" w:sz="0" w:space="0" w:color="auto"/>
        <w:bottom w:val="none" w:sz="0" w:space="0" w:color="auto"/>
        <w:right w:val="none" w:sz="0" w:space="0" w:color="auto"/>
      </w:divBdr>
    </w:div>
    <w:div w:id="1251617542">
      <w:bodyDiv w:val="1"/>
      <w:marLeft w:val="0"/>
      <w:marRight w:val="0"/>
      <w:marTop w:val="0"/>
      <w:marBottom w:val="0"/>
      <w:divBdr>
        <w:top w:val="none" w:sz="0" w:space="0" w:color="auto"/>
        <w:left w:val="none" w:sz="0" w:space="0" w:color="auto"/>
        <w:bottom w:val="none" w:sz="0" w:space="0" w:color="auto"/>
        <w:right w:val="none" w:sz="0" w:space="0" w:color="auto"/>
      </w:divBdr>
      <w:divsChild>
        <w:div w:id="1497452031">
          <w:marLeft w:val="0"/>
          <w:marRight w:val="0"/>
          <w:marTop w:val="0"/>
          <w:marBottom w:val="0"/>
          <w:divBdr>
            <w:top w:val="none" w:sz="0" w:space="0" w:color="auto"/>
            <w:left w:val="none" w:sz="0" w:space="0" w:color="auto"/>
            <w:bottom w:val="none" w:sz="0" w:space="0" w:color="auto"/>
            <w:right w:val="none" w:sz="0" w:space="0" w:color="auto"/>
          </w:divBdr>
        </w:div>
      </w:divsChild>
    </w:div>
    <w:div w:id="1286887744">
      <w:bodyDiv w:val="1"/>
      <w:marLeft w:val="0"/>
      <w:marRight w:val="0"/>
      <w:marTop w:val="0"/>
      <w:marBottom w:val="0"/>
      <w:divBdr>
        <w:top w:val="none" w:sz="0" w:space="0" w:color="auto"/>
        <w:left w:val="none" w:sz="0" w:space="0" w:color="auto"/>
        <w:bottom w:val="none" w:sz="0" w:space="0" w:color="auto"/>
        <w:right w:val="none" w:sz="0" w:space="0" w:color="auto"/>
      </w:divBdr>
    </w:div>
    <w:div w:id="1305358441">
      <w:bodyDiv w:val="1"/>
      <w:marLeft w:val="0"/>
      <w:marRight w:val="0"/>
      <w:marTop w:val="0"/>
      <w:marBottom w:val="0"/>
      <w:divBdr>
        <w:top w:val="none" w:sz="0" w:space="0" w:color="auto"/>
        <w:left w:val="none" w:sz="0" w:space="0" w:color="auto"/>
        <w:bottom w:val="none" w:sz="0" w:space="0" w:color="auto"/>
        <w:right w:val="none" w:sz="0" w:space="0" w:color="auto"/>
      </w:divBdr>
      <w:divsChild>
        <w:div w:id="996609824">
          <w:marLeft w:val="245"/>
          <w:marRight w:val="0"/>
          <w:marTop w:val="67"/>
          <w:marBottom w:val="0"/>
          <w:divBdr>
            <w:top w:val="none" w:sz="0" w:space="0" w:color="auto"/>
            <w:left w:val="none" w:sz="0" w:space="0" w:color="auto"/>
            <w:bottom w:val="none" w:sz="0" w:space="0" w:color="auto"/>
            <w:right w:val="none" w:sz="0" w:space="0" w:color="auto"/>
          </w:divBdr>
        </w:div>
      </w:divsChild>
    </w:div>
    <w:div w:id="1403719632">
      <w:bodyDiv w:val="1"/>
      <w:marLeft w:val="0"/>
      <w:marRight w:val="0"/>
      <w:marTop w:val="0"/>
      <w:marBottom w:val="0"/>
      <w:divBdr>
        <w:top w:val="none" w:sz="0" w:space="0" w:color="auto"/>
        <w:left w:val="none" w:sz="0" w:space="0" w:color="auto"/>
        <w:bottom w:val="none" w:sz="0" w:space="0" w:color="auto"/>
        <w:right w:val="none" w:sz="0" w:space="0" w:color="auto"/>
      </w:divBdr>
    </w:div>
    <w:div w:id="1529179884">
      <w:bodyDiv w:val="1"/>
      <w:marLeft w:val="0"/>
      <w:marRight w:val="0"/>
      <w:marTop w:val="0"/>
      <w:marBottom w:val="0"/>
      <w:divBdr>
        <w:top w:val="none" w:sz="0" w:space="0" w:color="auto"/>
        <w:left w:val="none" w:sz="0" w:space="0" w:color="auto"/>
        <w:bottom w:val="none" w:sz="0" w:space="0" w:color="auto"/>
        <w:right w:val="none" w:sz="0" w:space="0" w:color="auto"/>
      </w:divBdr>
      <w:divsChild>
        <w:div w:id="706221523">
          <w:marLeft w:val="0"/>
          <w:marRight w:val="0"/>
          <w:marTop w:val="0"/>
          <w:marBottom w:val="0"/>
          <w:divBdr>
            <w:top w:val="none" w:sz="0" w:space="0" w:color="auto"/>
            <w:left w:val="none" w:sz="0" w:space="0" w:color="auto"/>
            <w:bottom w:val="none" w:sz="0" w:space="0" w:color="auto"/>
            <w:right w:val="none" w:sz="0" w:space="0" w:color="auto"/>
          </w:divBdr>
        </w:div>
      </w:divsChild>
    </w:div>
    <w:div w:id="1745645615">
      <w:bodyDiv w:val="1"/>
      <w:marLeft w:val="0"/>
      <w:marRight w:val="0"/>
      <w:marTop w:val="0"/>
      <w:marBottom w:val="0"/>
      <w:divBdr>
        <w:top w:val="none" w:sz="0" w:space="0" w:color="auto"/>
        <w:left w:val="none" w:sz="0" w:space="0" w:color="auto"/>
        <w:bottom w:val="none" w:sz="0" w:space="0" w:color="auto"/>
        <w:right w:val="none" w:sz="0" w:space="0" w:color="auto"/>
      </w:divBdr>
    </w:div>
    <w:div w:id="1840384146">
      <w:bodyDiv w:val="1"/>
      <w:marLeft w:val="0"/>
      <w:marRight w:val="0"/>
      <w:marTop w:val="0"/>
      <w:marBottom w:val="0"/>
      <w:divBdr>
        <w:top w:val="none" w:sz="0" w:space="0" w:color="auto"/>
        <w:left w:val="none" w:sz="0" w:space="0" w:color="auto"/>
        <w:bottom w:val="none" w:sz="0" w:space="0" w:color="auto"/>
        <w:right w:val="none" w:sz="0" w:space="0" w:color="auto"/>
      </w:divBdr>
      <w:divsChild>
        <w:div w:id="487285286">
          <w:marLeft w:val="360"/>
          <w:marRight w:val="0"/>
          <w:marTop w:val="200"/>
          <w:marBottom w:val="0"/>
          <w:divBdr>
            <w:top w:val="none" w:sz="0" w:space="0" w:color="auto"/>
            <w:left w:val="none" w:sz="0" w:space="0" w:color="auto"/>
            <w:bottom w:val="none" w:sz="0" w:space="0" w:color="auto"/>
            <w:right w:val="none" w:sz="0" w:space="0" w:color="auto"/>
          </w:divBdr>
        </w:div>
      </w:divsChild>
    </w:div>
    <w:div w:id="1853033783">
      <w:bodyDiv w:val="1"/>
      <w:marLeft w:val="0"/>
      <w:marRight w:val="0"/>
      <w:marTop w:val="0"/>
      <w:marBottom w:val="0"/>
      <w:divBdr>
        <w:top w:val="none" w:sz="0" w:space="0" w:color="auto"/>
        <w:left w:val="none" w:sz="0" w:space="0" w:color="auto"/>
        <w:bottom w:val="none" w:sz="0" w:space="0" w:color="auto"/>
        <w:right w:val="none" w:sz="0" w:space="0" w:color="auto"/>
      </w:divBdr>
    </w:div>
    <w:div w:id="1884488181">
      <w:bodyDiv w:val="1"/>
      <w:marLeft w:val="0"/>
      <w:marRight w:val="0"/>
      <w:marTop w:val="0"/>
      <w:marBottom w:val="0"/>
      <w:divBdr>
        <w:top w:val="none" w:sz="0" w:space="0" w:color="auto"/>
        <w:left w:val="none" w:sz="0" w:space="0" w:color="auto"/>
        <w:bottom w:val="none" w:sz="0" w:space="0" w:color="auto"/>
        <w:right w:val="none" w:sz="0" w:space="0" w:color="auto"/>
      </w:divBdr>
    </w:div>
    <w:div w:id="1914588161">
      <w:bodyDiv w:val="1"/>
      <w:marLeft w:val="0"/>
      <w:marRight w:val="0"/>
      <w:marTop w:val="0"/>
      <w:marBottom w:val="0"/>
      <w:divBdr>
        <w:top w:val="none" w:sz="0" w:space="0" w:color="auto"/>
        <w:left w:val="none" w:sz="0" w:space="0" w:color="auto"/>
        <w:bottom w:val="none" w:sz="0" w:space="0" w:color="auto"/>
        <w:right w:val="none" w:sz="0" w:space="0" w:color="auto"/>
      </w:divBdr>
    </w:div>
    <w:div w:id="1958560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2347</ap:Words>
  <ap:Characters>12909</ap:Characters>
  <ap:DocSecurity>0</ap:DocSecurity>
  <ap:Lines>107</ap:Lines>
  <ap:Paragraphs>30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Kamerbrief 1ste Suppletoire Begroting - Revolverende Fondsen</vt:lpstr>
      <vt:lpstr>Kamerbrief 1ste Suppletoire Begroting - Revolverende Fondsen</vt:lpstr>
    </vt:vector>
  </ap:TitlesOfParts>
  <ap:LinksUpToDate>false</ap:LinksUpToDate>
  <ap:CharactersWithSpaces>15226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2026-05-27T11:11:00.0000000Z</lastPrinted>
  <dcterms:created xsi:type="dcterms:W3CDTF">2026-05-29T15:42:00.0000000Z</dcterms:created>
  <dcterms:modified xsi:type="dcterms:W3CDTF">2026-05-29T15:42:00.0000000Z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ga509c7afcac4f5cb939db754ffece25">
    <vt:lpwstr>NO MARKING|879e64ec-6597-483b-94db-f5f70afd7299</vt:lpwstr>
  </property>
  <property fmtid="{D5CDD505-2E9C-101B-9397-08002B2CF9AE}" pid="4" name="TaxCatchAll">
    <vt:lpwstr>-1;#NO MARKING</vt:lpwstr>
  </property>
  <property fmtid="{D5CDD505-2E9C-101B-9397-08002B2CF9AE}" pid="5" name="BZDossierTemplate">
    <vt:lpwstr>ReguliereKamerbrief</vt:lpwstr>
  </property>
  <property fmtid="{D5CDD505-2E9C-101B-9397-08002B2CF9AE}" pid="6" name="BZForumOrganisation">
    <vt:lpwstr>2;#Not applicable|0049e722-bfb1-4a3f-9d08-af7366a9af40</vt:lpwstr>
  </property>
  <property fmtid="{D5CDD505-2E9C-101B-9397-08002B2CF9AE}" pid="7" name="BZDossierProcessType">
    <vt:lpwstr/>
  </property>
  <property fmtid="{D5CDD505-2E9C-101B-9397-08002B2CF9AE}" pid="8" name="gc2efd3bfea04f7f8169be07009f5536">
    <vt:lpwstr/>
  </property>
  <property fmtid="{D5CDD505-2E9C-101B-9397-08002B2CF9AE}" pid="9" name="BZDossierBudgetManager">
    <vt:lpwstr/>
  </property>
  <property fmtid="{D5CDD505-2E9C-101B-9397-08002B2CF9AE}" pid="10" name="BZTheme">
    <vt:lpwstr>1;#Not applicable|ec01d90b-9d0f-4785-8785-e1ea615196bf</vt:lpwstr>
  </property>
  <property fmtid="{D5CDD505-2E9C-101B-9397-08002B2CF9AE}" pid="11" name="BZ_Classification">
    <vt:lpwstr>8;#NO MARKING|879e64ec-6597-483b-94db-f5f70afd7299</vt:lpwstr>
  </property>
  <property fmtid="{D5CDD505-2E9C-101B-9397-08002B2CF9AE}" pid="12" name="BZDossierSendTo">
    <vt:lpwstr/>
  </property>
  <property fmtid="{D5CDD505-2E9C-101B-9397-08002B2CF9AE}" pid="13" name="BZDossierResponsibleDepartment">
    <vt:lpwstr/>
  </property>
  <property fmtid="{D5CDD505-2E9C-101B-9397-08002B2CF9AE}" pid="14" name="BZCountryState">
    <vt:lpwstr>3;#Not applicable|ec01d90b-9d0f-4785-8785-e1ea615196bf</vt:lpwstr>
  </property>
  <property fmtid="{D5CDD505-2E9C-101B-9397-08002B2CF9AE}" pid="15" name="BZDossierProcessLocation">
    <vt:lpwstr/>
  </property>
  <property fmtid="{D5CDD505-2E9C-101B-9397-08002B2CF9AE}" pid="16" name="BZDossierGovernmentOfficial">
    <vt:lpwstr/>
  </property>
  <property fmtid="{D5CDD505-2E9C-101B-9397-08002B2CF9AE}" pid="17" name="BZMarking">
    <vt:lpwstr>5;#NO MARKING|0a4eb9ae-69eb-4d9e-b573-43ab99ef8592</vt:lpwstr>
  </property>
  <property fmtid="{D5CDD505-2E9C-101B-9397-08002B2CF9AE}" pid="18" name="f2fb2a8e39404f1ab554e4e4a49d2918">
    <vt:lpwstr/>
  </property>
  <property fmtid="{D5CDD505-2E9C-101B-9397-08002B2CF9AE}" pid="19" name="BZDossierPublishingWOOCategory">
    <vt:lpwstr/>
  </property>
  <property fmtid="{D5CDD505-2E9C-101B-9397-08002B2CF9AE}" pid="20" name="i42ef48d5fa942a0ad0d60e44f201751">
    <vt:lpwstr/>
  </property>
  <property fmtid="{D5CDD505-2E9C-101B-9397-08002B2CF9AE}" pid="21" name="BZClassification">
    <vt:lpwstr>4;#UNCLASSIFIED (U)|284e6a62-15ab-4017-be27-a1e965f4e940</vt:lpwstr>
  </property>
  <property fmtid="{D5CDD505-2E9C-101B-9397-08002B2CF9AE}" pid="22" name="f8e003236e1c4ac2ab9051d5d8789bbb">
    <vt:lpwstr/>
  </property>
  <property fmtid="{D5CDD505-2E9C-101B-9397-08002B2CF9AE}" pid="23" name="p29721a54a5c4bbe9786e930fc91e270">
    <vt:lpwstr/>
  </property>
  <property fmtid="{D5CDD505-2E9C-101B-9397-08002B2CF9AE}" pid="24" name="ed9282a3f18446ec8c17c7829edf82dd">
    <vt:lpwstr/>
  </property>
  <property fmtid="{D5CDD505-2E9C-101B-9397-08002B2CF9AE}" pid="25" name="e256f556a7b748329ab47889947c7d40">
    <vt:lpwstr/>
  </property>
  <property fmtid="{D5CDD505-2E9C-101B-9397-08002B2CF9AE}" pid="26" name="SharedWithUsers">
    <vt:lpwstr>123;#Schouwink, Rutger;#76;#Breukelaar, Linde;#84;#Krijgsheld, Inge;#124;#Janszen, Agnes;#127;#Vintges, Thomas;#125;#Wuis, Anton;#111;#Holterman, Geert;#72;#Elst, Gersom van der;#42;#Ende, Sophie van den;#110;#Schenk, Albert;#126;#Haggag, Omar;#128;#Biesma, Rinke;#129;#Sas, Jan-Jaap;#47;#Bicknese, Louise;#37;#Linschoten, Reinoud;#114;#Adam, Daniël;#130;#Vlutters, Jeroen;#117;#Roels, Stephanie</vt:lpwstr>
  </property>
  <property fmtid="{D5CDD505-2E9C-101B-9397-08002B2CF9AE}" pid="27" name="_dlc_DocIdItemGuid">
    <vt:lpwstr>dee1ab50-6c10-4952-bf05-ab0b5f857b11</vt:lpwstr>
  </property>
  <property fmtid="{D5CDD505-2E9C-101B-9397-08002B2CF9AE}" pid="28" name="URL">
    <vt:lpwstr>https://247.plaza.buzaservices.nl/subject/PV-RK2026042026/BZ2628435/CONCEPT%20Kamerbrief%20revolverende%20fondsen.docx, </vt:lpwstr>
  </property>
  <property fmtid="{D5CDD505-2E9C-101B-9397-08002B2CF9AE}" pid="29" name="_docset_NoMedatataSyncRequired">
    <vt:lpwstr>False</vt:lpwstr>
  </property>
</Properties>
</file>