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253" w:rsidP="00526253" w:rsidRDefault="00526253" w14:paraId="32FA7F42" w14:textId="11A0D75F">
      <w:r w:rsidRPr="003D4250">
        <w:t>Hierbij bied ik u</w:t>
      </w:r>
      <w:r>
        <w:t xml:space="preserve"> </w:t>
      </w:r>
      <w:r w:rsidRPr="003D4250">
        <w:rPr>
          <w:color w:val="auto"/>
        </w:rPr>
        <w:t>de antwoorden aan op de schriftelijke vragen van</w:t>
      </w:r>
      <w:r>
        <w:t xml:space="preserve"> het lid Ceulemans (JA21) over drugs in COA-locaties.</w:t>
      </w:r>
    </w:p>
    <w:p w:rsidR="00526253" w:rsidP="00526253" w:rsidRDefault="00526253" w14:paraId="0D84309B" w14:textId="4EF0C6F7">
      <w:r>
        <w:br/>
      </w:r>
      <w:r w:rsidRPr="009E1FAE">
        <w:t>Deze vragen werden ingezonden op</w:t>
      </w:r>
      <w:r>
        <w:t xml:space="preserve"> 3 april 2026 </w:t>
      </w:r>
      <w:r w:rsidRPr="009E1FAE">
        <w:t>met kenmerk</w:t>
      </w:r>
      <w:r>
        <w:t xml:space="preserve"> </w:t>
      </w:r>
      <w:r w:rsidRPr="00F61F5C">
        <w:t>202</w:t>
      </w:r>
      <w:r>
        <w:t>6Z070601.</w:t>
      </w:r>
    </w:p>
    <w:p w:rsidR="00526253" w:rsidP="00526253" w:rsidRDefault="00526253" w14:paraId="2349570B" w14:textId="77777777"/>
    <w:p w:rsidR="00526253" w:rsidP="00526253" w:rsidRDefault="00526253" w14:paraId="4F9D0554" w14:textId="42B79C83">
      <w:pPr>
        <w:pStyle w:val="WitregelW1bodytekst"/>
        <w:tabs>
          <w:tab w:val="left" w:pos="4800"/>
        </w:tabs>
      </w:pPr>
      <w:r>
        <w:tab/>
      </w:r>
    </w:p>
    <w:p w:rsidR="00526253" w:rsidP="00526253" w:rsidRDefault="00526253" w14:paraId="55E25A88" w14:textId="77777777">
      <w:r>
        <w:t>De Minister van Asiel en Migratie,</w:t>
      </w:r>
    </w:p>
    <w:p w:rsidR="00526253" w:rsidP="00526253" w:rsidRDefault="00526253" w14:paraId="67B7E646" w14:textId="77777777"/>
    <w:p w:rsidR="00526253" w:rsidP="00526253" w:rsidRDefault="00526253" w14:paraId="150A0797" w14:textId="77777777"/>
    <w:p w:rsidR="00526253" w:rsidP="00526253" w:rsidRDefault="00526253" w14:paraId="3CD1DE82" w14:textId="77777777"/>
    <w:p w:rsidR="00526253" w:rsidP="00526253" w:rsidRDefault="00526253" w14:paraId="5A51F2F9" w14:textId="77777777"/>
    <w:p w:rsidR="00526253" w:rsidP="00526253" w:rsidRDefault="00526253" w14:paraId="14E31AD1" w14:textId="53F04222">
      <w:r>
        <w:t>Bart van den Brink</w:t>
      </w:r>
    </w:p>
    <w:p w:rsidRPr="00526253" w:rsidR="00526253" w:rsidRDefault="00526253" w14:paraId="08EB67F7" w14:textId="77777777">
      <w:pPr>
        <w:rPr>
          <w:iCs/>
        </w:rPr>
      </w:pPr>
    </w:p>
    <w:p w:rsidR="00526253" w:rsidRDefault="00526253" w14:paraId="08510C1D" w14:textId="77777777">
      <w:pPr>
        <w:rPr>
          <w:i/>
        </w:rPr>
      </w:pPr>
    </w:p>
    <w:p w:rsidR="00526253" w:rsidRDefault="00526253" w14:paraId="4C1D0EE3" w14:textId="77777777">
      <w:pPr>
        <w:rPr>
          <w:i/>
        </w:rPr>
      </w:pPr>
    </w:p>
    <w:p w:rsidR="00526253" w:rsidRDefault="00526253" w14:paraId="1938FA80" w14:textId="77777777">
      <w:pPr>
        <w:rPr>
          <w:i/>
        </w:rPr>
      </w:pPr>
    </w:p>
    <w:p w:rsidR="00526253" w:rsidRDefault="00526253" w14:paraId="17F0D32C" w14:textId="77777777">
      <w:pPr>
        <w:rPr>
          <w:i/>
        </w:rPr>
      </w:pPr>
    </w:p>
    <w:p w:rsidR="00526253" w:rsidRDefault="00526253" w14:paraId="55C8ABE3" w14:textId="77777777"/>
    <w:p w:rsidR="00526253" w:rsidRDefault="00526253" w14:paraId="01780514" w14:textId="77777777"/>
    <w:p w:rsidR="00526253" w:rsidRDefault="00526253" w14:paraId="40CE91DD" w14:textId="77777777"/>
    <w:p w:rsidR="00526253" w:rsidRDefault="00526253" w14:paraId="73AFCF9D" w14:textId="77777777"/>
    <w:p w:rsidR="00526253" w:rsidRDefault="00526253" w14:paraId="71BAF083" w14:textId="77777777"/>
    <w:p w:rsidR="00526253" w:rsidRDefault="00526253" w14:paraId="2C4F9104" w14:textId="77777777"/>
    <w:p w:rsidR="00526253" w:rsidRDefault="00526253" w14:paraId="2281F23A" w14:textId="77777777"/>
    <w:p w:rsidR="00526253" w:rsidRDefault="00526253" w14:paraId="363EEDB6" w14:textId="77777777"/>
    <w:p w:rsidR="00526253" w:rsidRDefault="00526253" w14:paraId="4AFF74DA" w14:textId="77777777"/>
    <w:p w:rsidR="00526253" w:rsidRDefault="00526253" w14:paraId="4215E0C1" w14:textId="77777777"/>
    <w:p w:rsidR="00526253" w:rsidRDefault="00526253" w14:paraId="55E3D66A" w14:textId="77777777"/>
    <w:p w:rsidR="00526253" w:rsidRDefault="00526253" w14:paraId="0A951481" w14:textId="77777777"/>
    <w:p w:rsidR="00526253" w:rsidRDefault="00526253" w14:paraId="00CC0225" w14:textId="77777777"/>
    <w:p w:rsidR="00526253" w:rsidRDefault="00526253" w14:paraId="61BD6044" w14:textId="77777777"/>
    <w:p w:rsidR="00526253" w:rsidRDefault="00526253" w14:paraId="0F3FCD99" w14:textId="77777777"/>
    <w:p w:rsidR="00526253" w:rsidRDefault="00526253" w14:paraId="4585D812" w14:textId="77777777"/>
    <w:p w:rsidR="00526253" w:rsidRDefault="00526253" w14:paraId="4F56B50B" w14:textId="77777777"/>
    <w:p w:rsidR="00526253" w:rsidRDefault="00526253" w14:paraId="5E33A0EB" w14:textId="77777777"/>
    <w:p w:rsidR="00526253" w:rsidRDefault="00526253" w14:paraId="323C842B" w14:textId="77777777"/>
    <w:p w:rsidR="00526253" w:rsidRDefault="00526253" w14:paraId="145A5808" w14:textId="77777777"/>
    <w:p w:rsidR="00526253" w:rsidRDefault="00526253" w14:paraId="5458B11A" w14:textId="77777777"/>
    <w:p w:rsidR="00526253" w:rsidRDefault="00526253" w14:paraId="30B7541B" w14:textId="77777777"/>
    <w:p w:rsidR="00526253" w:rsidP="00526253" w:rsidRDefault="00526253" w14:paraId="5BBD6665" w14:textId="77777777"/>
    <w:p w:rsidRPr="00024660" w:rsidR="00024660" w:rsidP="00024660" w:rsidRDefault="00526253" w14:paraId="6916B605" w14:textId="3DF8BB9D">
      <w:pPr>
        <w:pBdr>
          <w:bottom w:val="single" w:color="auto" w:sz="4" w:space="1"/>
        </w:pBdr>
        <w:rPr>
          <w:b/>
          <w:bCs/>
        </w:rPr>
      </w:pPr>
      <w:r w:rsidRPr="00024660">
        <w:rPr>
          <w:b/>
          <w:bCs/>
        </w:rPr>
        <w:t>Vragen van het lid Ceulemans (JA21) aan de minister van Asiel en Migratie over drugs in COA-locaties.</w:t>
      </w:r>
      <w:r w:rsidRPr="00024660" w:rsidR="00024660">
        <w:rPr>
          <w:b/>
          <w:bCs/>
        </w:rPr>
        <w:br/>
        <w:t>(</w:t>
      </w:r>
      <w:r w:rsidRPr="00024660" w:rsidR="00024660">
        <w:rPr>
          <w:b/>
          <w:bCs/>
        </w:rPr>
        <w:t>ingezonden 3 april 2026</w:t>
      </w:r>
      <w:r w:rsidRPr="00024660" w:rsidR="00024660">
        <w:rPr>
          <w:b/>
          <w:bCs/>
        </w:rPr>
        <w:t xml:space="preserve">, </w:t>
      </w:r>
      <w:r w:rsidRPr="00024660" w:rsidR="00024660">
        <w:rPr>
          <w:b/>
          <w:bCs/>
        </w:rPr>
        <w:t>2026Z07061</w:t>
      </w:r>
      <w:r w:rsidRPr="00024660" w:rsidR="00024660">
        <w:rPr>
          <w:b/>
          <w:bCs/>
        </w:rPr>
        <w:t>)</w:t>
      </w:r>
    </w:p>
    <w:p w:rsidRPr="00526253" w:rsidR="00526253" w:rsidP="00526253" w:rsidRDefault="00526253" w14:paraId="141DF968" w14:textId="33662E2E">
      <w:pPr>
        <w:rPr>
          <w:b/>
          <w:bCs/>
        </w:rPr>
      </w:pPr>
      <w:r w:rsidRPr="00526253">
        <w:rPr>
          <w:b/>
          <w:bCs/>
        </w:rPr>
        <w:br/>
      </w:r>
    </w:p>
    <w:p w:rsidRPr="00526253" w:rsidR="00526253" w:rsidP="00526253" w:rsidRDefault="00526253" w14:paraId="5CF5BE41" w14:textId="2FBDFD37">
      <w:pPr>
        <w:rPr>
          <w:b/>
          <w:bCs/>
        </w:rPr>
      </w:pPr>
      <w:r w:rsidRPr="00526253">
        <w:rPr>
          <w:b/>
          <w:bCs/>
        </w:rPr>
        <w:t>Vraag 1</w:t>
      </w:r>
      <w:r w:rsidRPr="00526253">
        <w:rPr>
          <w:b/>
          <w:bCs/>
        </w:rPr>
        <w:br/>
        <w:t>Bent u bekend met de recente berichtgeving over signalen van drugshandel in COA-locaties? [1]</w:t>
      </w:r>
    </w:p>
    <w:p w:rsidR="00526253" w:rsidP="00526253" w:rsidRDefault="00526253" w14:paraId="5A90BBA6" w14:textId="517EEDCE">
      <w:r w:rsidRPr="00526253">
        <w:rPr>
          <w:b/>
          <w:bCs/>
        </w:rPr>
        <w:br/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vraag 1</w:t>
      </w:r>
      <w:r w:rsidRPr="00526253">
        <w:rPr>
          <w:b/>
          <w:bCs/>
        </w:rPr>
        <w:br/>
      </w:r>
      <w:r w:rsidR="00167244">
        <w:t>Ja.</w:t>
      </w:r>
    </w:p>
    <w:p w:rsidRPr="00167244" w:rsidR="00167244" w:rsidP="00526253" w:rsidRDefault="00167244" w14:paraId="5467F74A" w14:textId="77777777"/>
    <w:p w:rsidRPr="00526253" w:rsidR="00526253" w:rsidP="00526253" w:rsidRDefault="00526253" w14:paraId="7D7BA8B1" w14:textId="2130AC6D">
      <w:pPr>
        <w:rPr>
          <w:b/>
          <w:bCs/>
        </w:rPr>
      </w:pPr>
      <w:r w:rsidRPr="00526253">
        <w:rPr>
          <w:b/>
          <w:bCs/>
        </w:rPr>
        <w:t>Vraag 2</w:t>
      </w:r>
      <w:r w:rsidRPr="00526253">
        <w:rPr>
          <w:b/>
          <w:bCs/>
        </w:rPr>
        <w:br/>
        <w:t>Wat is uw reactie hierop? Kunt u hierbij specifiek ingaan op de beelden die in de reportage getoond worden met betrekking tot vermeende drugshandel vanuit de COA-locatie in Budel?</w:t>
      </w:r>
    </w:p>
    <w:p w:rsidRPr="00E35744" w:rsidR="00526253" w:rsidP="00526253" w:rsidRDefault="00526253" w14:paraId="0C0382E5" w14:textId="23520D5E">
      <w:r w:rsidRPr="00526253">
        <w:rPr>
          <w:b/>
          <w:bCs/>
        </w:rPr>
        <w:br/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vraag 2</w:t>
      </w:r>
      <w:r w:rsidRPr="00526253">
        <w:rPr>
          <w:b/>
          <w:bCs/>
        </w:rPr>
        <w:br/>
      </w:r>
      <w:r w:rsidRPr="000B382E" w:rsidR="000B382E">
        <w:t xml:space="preserve">Het bezit van illegale drugs en de handel daarin is op COA-locaties verboden. Bewoners worden </w:t>
      </w:r>
      <w:r w:rsidR="007E3E55">
        <w:t xml:space="preserve">hierop </w:t>
      </w:r>
      <w:r w:rsidRPr="000B382E" w:rsidR="000B382E">
        <w:t xml:space="preserve">bij aankomst expliciet gewezen in relatie tot de huisregels. Het COA doet aangifte van strafbare feiten (zoals drugshandel) en/of doet melding bij de politie in situaties waarbij de openbare orde en veiligheid in het geding is. </w:t>
      </w:r>
      <w:r w:rsidRPr="00C4153C" w:rsidR="00C4153C">
        <w:t xml:space="preserve">In die gevallen worden </w:t>
      </w:r>
      <w:r w:rsidR="00C4153C">
        <w:t>illegale drugs</w:t>
      </w:r>
      <w:r w:rsidRPr="00C4153C" w:rsidR="00C4153C">
        <w:t xml:space="preserve"> in beslag genomen. Aanvullend kan het COA een passende maatregel opleggen en kan de IND het aanvraagproces versnellen.</w:t>
      </w:r>
    </w:p>
    <w:p w:rsidRPr="00526253" w:rsidR="00167244" w:rsidP="00526253" w:rsidRDefault="00167244" w14:paraId="50B8C6E7" w14:textId="77777777">
      <w:pPr>
        <w:rPr>
          <w:b/>
          <w:bCs/>
        </w:rPr>
      </w:pPr>
    </w:p>
    <w:p w:rsidRPr="00526253" w:rsidR="00526253" w:rsidP="00526253" w:rsidRDefault="00526253" w14:paraId="7DC13094" w14:textId="1EE2BF04">
      <w:pPr>
        <w:rPr>
          <w:b/>
          <w:bCs/>
        </w:rPr>
      </w:pPr>
      <w:r w:rsidRPr="00526253">
        <w:rPr>
          <w:b/>
          <w:bCs/>
        </w:rPr>
        <w:t>Vraag 3</w:t>
      </w:r>
      <w:r w:rsidRPr="00526253">
        <w:rPr>
          <w:b/>
          <w:bCs/>
        </w:rPr>
        <w:br/>
        <w:t>Welke (recente) cijfers zijn u bekend over drugshandel, -bezit en -gebruik in COA-locaties?</w:t>
      </w:r>
    </w:p>
    <w:p w:rsidR="00CF62E0" w:rsidP="00B7679F" w:rsidRDefault="00526253" w14:paraId="73E5B89C" w14:textId="7276E401">
      <w:r w:rsidRPr="00526253">
        <w:rPr>
          <w:b/>
          <w:bCs/>
        </w:rPr>
        <w:br/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vraag 3</w:t>
      </w:r>
      <w:r w:rsidRPr="00526253">
        <w:rPr>
          <w:b/>
          <w:bCs/>
        </w:rPr>
        <w:br/>
      </w:r>
      <w:r w:rsidR="001F65EF">
        <w:t>Wat strafrechtelijke registratie van misdrijven door COA-bewoners betreft; d</w:t>
      </w:r>
      <w:r w:rsidR="00B7679F">
        <w:t xml:space="preserve">e jaarlijkse Incidentenmonitor van het WODC geeft inzicht in het aantal afgehandelde misdrijven, waaronder drugsmisdrijven, van COA-bewoners. </w:t>
      </w:r>
    </w:p>
    <w:p w:rsidR="009623BA" w:rsidP="00B7679F" w:rsidRDefault="00B54E6C" w14:paraId="14E745CC" w14:textId="600BDA25">
      <w:r w:rsidRPr="00B54E6C">
        <w:t>Parallel publiceert het COA op haar website een overzicht van incidenten per locatie van het voorgaande jaar.</w:t>
      </w:r>
      <w:r>
        <w:t xml:space="preserve"> Drugshandel, -bezit en -gebruik worden </w:t>
      </w:r>
      <w:r w:rsidR="009623BA">
        <w:t>weliswaar door COA geregistreerd, maar niet als specifieke categorieën gerubriceerd. Daarom kan geen cijfermatig inzicht van dit type incidenten op COA-locaties worden gegeven.</w:t>
      </w:r>
    </w:p>
    <w:p w:rsidRPr="00526253" w:rsidR="00526253" w:rsidP="00526253" w:rsidRDefault="00526253" w14:paraId="5AB23CD7" w14:textId="0B45128F">
      <w:pPr>
        <w:rPr>
          <w:b/>
          <w:bCs/>
        </w:rPr>
      </w:pPr>
      <w:r w:rsidRPr="00526253">
        <w:rPr>
          <w:b/>
          <w:bCs/>
        </w:rPr>
        <w:br/>
        <w:t>Vraag 4</w:t>
      </w:r>
      <w:r w:rsidRPr="00526253">
        <w:rPr>
          <w:b/>
          <w:bCs/>
        </w:rPr>
        <w:br/>
        <w:t>Op welke wijze wordt hierop gecontroleerd in COA-locaties?</w:t>
      </w:r>
    </w:p>
    <w:p w:rsidRPr="00CF62E0" w:rsidR="00526253" w:rsidP="00526253" w:rsidRDefault="00526253" w14:paraId="0FE5613F" w14:textId="725137EE">
      <w:r w:rsidRPr="00526253">
        <w:rPr>
          <w:b/>
          <w:bCs/>
        </w:rPr>
        <w:br/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vraag 4</w:t>
      </w:r>
      <w:r w:rsidRPr="00526253">
        <w:rPr>
          <w:b/>
          <w:bCs/>
        </w:rPr>
        <w:br/>
      </w:r>
      <w:r w:rsidRPr="003027DE" w:rsidR="003027DE">
        <w:t xml:space="preserve">Op basis van de huisregels zijn COA-medewerkers onder voorwaarden bevoegd om de woonruimte te betreden ter verplichte kamercontroles. Er vinden standaard periodieke kamercontroles plaats op COA-locaties. Dit is </w:t>
      </w:r>
      <w:proofErr w:type="gramStart"/>
      <w:r w:rsidRPr="003027DE" w:rsidR="003027DE">
        <w:t>tevens</w:t>
      </w:r>
      <w:proofErr w:type="gramEnd"/>
      <w:r w:rsidRPr="003027DE" w:rsidR="003027DE">
        <w:t xml:space="preserve"> een contactmoment met de bewoner </w:t>
      </w:r>
      <w:r w:rsidR="007E3E55">
        <w:t xml:space="preserve">en dat </w:t>
      </w:r>
      <w:r w:rsidRPr="003027DE" w:rsidR="003027DE">
        <w:t>draagt bij aan signalering en sociale veiligheid.</w:t>
      </w:r>
      <w:r w:rsidR="0055456F">
        <w:t xml:space="preserve"> </w:t>
      </w:r>
      <w:r w:rsidRPr="0055456F" w:rsidR="0055456F">
        <w:t>Daarnaast kan COA extra kamercontroles uitvoeren bij signalen van strafbare feiten, zoals drugsbezit</w:t>
      </w:r>
      <w:r w:rsidR="0055456F">
        <w:t xml:space="preserve"> of -handel.</w:t>
      </w:r>
    </w:p>
    <w:p w:rsidRPr="00526253" w:rsidR="00CF62E0" w:rsidP="00526253" w:rsidRDefault="00CF62E0" w14:paraId="73309409" w14:textId="77777777">
      <w:pPr>
        <w:rPr>
          <w:b/>
          <w:bCs/>
        </w:rPr>
      </w:pPr>
    </w:p>
    <w:p w:rsidRPr="00526253" w:rsidR="00526253" w:rsidP="00526253" w:rsidRDefault="00526253" w14:paraId="3CA0CF96" w14:textId="2EE146F6">
      <w:pPr>
        <w:rPr>
          <w:b/>
          <w:bCs/>
        </w:rPr>
      </w:pPr>
      <w:bookmarkStart w:name="_Hlk227160478" w:id="0"/>
      <w:r w:rsidRPr="00526253">
        <w:rPr>
          <w:b/>
          <w:bCs/>
        </w:rPr>
        <w:t>Vraag 5</w:t>
      </w:r>
      <w:r w:rsidRPr="00526253">
        <w:rPr>
          <w:b/>
          <w:bCs/>
        </w:rPr>
        <w:br/>
        <w:t xml:space="preserve">Wat wordt verstaan onder de categorie "door het OM afgehandelde drugsmisdrijven" in het jaarlijkse WODC-onderzoek naar incidenten en misdrijven door bewoners van COA- en </w:t>
      </w:r>
      <w:proofErr w:type="spellStart"/>
      <w:r w:rsidRPr="00526253">
        <w:rPr>
          <w:b/>
          <w:bCs/>
        </w:rPr>
        <w:t>tgo</w:t>
      </w:r>
      <w:proofErr w:type="spellEnd"/>
      <w:r w:rsidRPr="00526253">
        <w:rPr>
          <w:b/>
          <w:bCs/>
        </w:rPr>
        <w:t>-locaties (in 2024 respectievelijk 30 en 15 zaken)? [2]</w:t>
      </w:r>
    </w:p>
    <w:p w:rsidRPr="00526253" w:rsidR="00526253" w:rsidP="00526253" w:rsidRDefault="00526253" w14:paraId="00487535" w14:textId="77777777">
      <w:pPr>
        <w:rPr>
          <w:b/>
          <w:bCs/>
        </w:rPr>
      </w:pPr>
    </w:p>
    <w:p w:rsidRPr="00526253" w:rsidR="00526253" w:rsidP="00526253" w:rsidRDefault="00526253" w14:paraId="724BC7B7" w14:textId="72BDF7E8">
      <w:pPr>
        <w:rPr>
          <w:b/>
          <w:bCs/>
        </w:rPr>
      </w:pPr>
      <w:r w:rsidRPr="00526253">
        <w:rPr>
          <w:b/>
          <w:bCs/>
        </w:rPr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vraag 5</w:t>
      </w:r>
    </w:p>
    <w:p w:rsidRPr="0072704F" w:rsidR="00526253" w:rsidP="00526253" w:rsidRDefault="0072704F" w14:paraId="34C2AC1C" w14:textId="216EDAE6">
      <w:r>
        <w:t>D</w:t>
      </w:r>
      <w:r w:rsidR="0027007C">
        <w:t>eze categorie</w:t>
      </w:r>
      <w:r w:rsidR="00B81018">
        <w:t xml:space="preserve"> betreft een door het Openbaar Ministerie geclassificeerde indeling van delicten. </w:t>
      </w:r>
      <w:r w:rsidR="0027007C">
        <w:t>Bij d</w:t>
      </w:r>
      <w:r w:rsidRPr="0027007C" w:rsidR="0027007C">
        <w:t xml:space="preserve">rugsmisdrijven (Opiumwet) </w:t>
      </w:r>
      <w:r w:rsidR="0027007C">
        <w:t xml:space="preserve">gaat het om </w:t>
      </w:r>
      <w:r w:rsidRPr="0027007C" w:rsidR="0027007C">
        <w:t xml:space="preserve">Harddrugs (art. 2, 10, 10a) </w:t>
      </w:r>
      <w:r w:rsidR="0027007C">
        <w:t>en</w:t>
      </w:r>
      <w:r w:rsidRPr="0027007C" w:rsidR="0027007C">
        <w:t xml:space="preserve"> Softdrugs (art. 3, 11, 11a, 11b)</w:t>
      </w:r>
      <w:r w:rsidR="0027007C">
        <w:t>.</w:t>
      </w:r>
    </w:p>
    <w:bookmarkEnd w:id="0"/>
    <w:p w:rsidRPr="00526253" w:rsidR="0072704F" w:rsidP="00526253" w:rsidRDefault="0072704F" w14:paraId="0A0290DB" w14:textId="77777777">
      <w:pPr>
        <w:rPr>
          <w:b/>
          <w:bCs/>
        </w:rPr>
      </w:pPr>
    </w:p>
    <w:p w:rsidRPr="00526253" w:rsidR="00526253" w:rsidP="00526253" w:rsidRDefault="00526253" w14:paraId="76C50FD9" w14:textId="3D9B5A39">
      <w:pPr>
        <w:rPr>
          <w:b/>
          <w:bCs/>
        </w:rPr>
      </w:pPr>
      <w:r w:rsidRPr="00526253">
        <w:rPr>
          <w:b/>
          <w:bCs/>
        </w:rPr>
        <w:t>Vraag 6</w:t>
      </w:r>
      <w:r w:rsidRPr="00526253">
        <w:rPr>
          <w:b/>
          <w:bCs/>
        </w:rPr>
        <w:br/>
        <w:t xml:space="preserve">Van hoeveel </w:t>
      </w:r>
      <w:proofErr w:type="spellStart"/>
      <w:r w:rsidRPr="00526253">
        <w:rPr>
          <w:b/>
          <w:bCs/>
        </w:rPr>
        <w:t>drugsgerelateerde</w:t>
      </w:r>
      <w:proofErr w:type="spellEnd"/>
      <w:r w:rsidRPr="00526253">
        <w:rPr>
          <w:b/>
          <w:bCs/>
        </w:rPr>
        <w:t xml:space="preserve"> zaken was vorig jaar in COA-locaties sprake onder andere in de in het onderzoek genoemde categorieën, zoals "incidenten" of "afdoening politie"?</w:t>
      </w:r>
    </w:p>
    <w:p w:rsidRPr="00526253" w:rsidR="00526253" w:rsidP="00526253" w:rsidRDefault="00526253" w14:paraId="00FDEE60" w14:textId="77777777">
      <w:pPr>
        <w:rPr>
          <w:b/>
          <w:bCs/>
        </w:rPr>
      </w:pPr>
    </w:p>
    <w:p w:rsidRPr="00526253" w:rsidR="00526253" w:rsidP="00526253" w:rsidRDefault="00526253" w14:paraId="54E2EDC3" w14:textId="71E4D95C">
      <w:pPr>
        <w:rPr>
          <w:b/>
          <w:bCs/>
        </w:rPr>
      </w:pPr>
      <w:r w:rsidRPr="00526253">
        <w:rPr>
          <w:b/>
          <w:bCs/>
        </w:rPr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vraag 6</w:t>
      </w:r>
    </w:p>
    <w:p w:rsidR="001D1B14" w:rsidP="00526253" w:rsidRDefault="00760087" w14:paraId="3626DF7B" w14:textId="36DFD271">
      <w:r>
        <w:t>De Incidentenmonitor van het WODC geeft een jaarlijks overzicht van het a</w:t>
      </w:r>
      <w:r w:rsidRPr="00760087">
        <w:t>antal geregistreerde incidenten per jaar</w:t>
      </w:r>
      <w:r w:rsidR="001D1B14">
        <w:t>,</w:t>
      </w:r>
      <w:r w:rsidRPr="00760087">
        <w:t xml:space="preserve"> uitgesplitst naar type inciden</w:t>
      </w:r>
      <w:r>
        <w:t>ten</w:t>
      </w:r>
      <w:r w:rsidR="001D1B14">
        <w:t xml:space="preserve">. Die uitsplitsing kan echter niet systematisch worden gespecificeerd naar </w:t>
      </w:r>
      <w:r w:rsidR="00F7353A">
        <w:t xml:space="preserve">de categorie </w:t>
      </w:r>
      <w:r w:rsidR="001D1B14">
        <w:t>illegaal drugsbezit of drugshandel.</w:t>
      </w:r>
    </w:p>
    <w:p w:rsidRPr="00760087" w:rsidR="00760087" w:rsidP="00526253" w:rsidRDefault="00760087" w14:paraId="4B571F72" w14:textId="77777777"/>
    <w:p w:rsidRPr="00526253" w:rsidR="00526253" w:rsidP="00526253" w:rsidRDefault="00526253" w14:paraId="28AE8203" w14:textId="320C709A">
      <w:pPr>
        <w:rPr>
          <w:b/>
          <w:bCs/>
        </w:rPr>
      </w:pPr>
      <w:r w:rsidRPr="00526253">
        <w:rPr>
          <w:b/>
          <w:bCs/>
        </w:rPr>
        <w:t>Vraag 7</w:t>
      </w:r>
      <w:r w:rsidRPr="00526253">
        <w:rPr>
          <w:b/>
          <w:bCs/>
        </w:rPr>
        <w:br/>
        <w:t>Wat is de standaardprocedure wanneer een bewoner van een COA-locatie zich schuldig maakt aan het dealen van drugs?</w:t>
      </w:r>
    </w:p>
    <w:p w:rsidRPr="00526253" w:rsidR="00AC7BB2" w:rsidP="00526253" w:rsidRDefault="00AC7BB2" w14:paraId="135D92F8" w14:textId="77777777">
      <w:pPr>
        <w:rPr>
          <w:b/>
          <w:bCs/>
        </w:rPr>
      </w:pPr>
    </w:p>
    <w:p w:rsidRPr="00526253" w:rsidR="00526253" w:rsidP="00526253" w:rsidRDefault="00526253" w14:paraId="2BB02821" w14:textId="275E32E6">
      <w:pPr>
        <w:rPr>
          <w:b/>
          <w:bCs/>
        </w:rPr>
      </w:pPr>
      <w:r w:rsidRPr="00526253">
        <w:rPr>
          <w:b/>
          <w:bCs/>
        </w:rPr>
        <w:t>Vraag 8</w:t>
      </w:r>
      <w:r w:rsidRPr="00526253">
        <w:rPr>
          <w:b/>
          <w:bCs/>
        </w:rPr>
        <w:br/>
        <w:t>Wat is de standaardprocedure wanneer er sprake is van harddrugsbezit bij een bewoner van een COA-locatie?</w:t>
      </w:r>
    </w:p>
    <w:p w:rsidRPr="00526253" w:rsidR="00526253" w:rsidP="00526253" w:rsidRDefault="00526253" w14:paraId="20004990" w14:textId="41153BAD">
      <w:pPr>
        <w:rPr>
          <w:b/>
          <w:bCs/>
        </w:rPr>
      </w:pPr>
    </w:p>
    <w:p w:rsidRPr="00526253" w:rsidR="00526253" w:rsidP="00526253" w:rsidRDefault="00526253" w14:paraId="05E9A675" w14:textId="3439440A">
      <w:pPr>
        <w:rPr>
          <w:b/>
          <w:bCs/>
        </w:rPr>
      </w:pPr>
      <w:r w:rsidRPr="00526253">
        <w:rPr>
          <w:b/>
          <w:bCs/>
        </w:rPr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</w:t>
      </w:r>
      <w:r w:rsidR="00F7353A">
        <w:rPr>
          <w:b/>
          <w:bCs/>
        </w:rPr>
        <w:t>gen 7 en 8</w:t>
      </w:r>
    </w:p>
    <w:p w:rsidR="00F7353A" w:rsidP="00F7353A" w:rsidRDefault="00F7353A" w14:paraId="7165C0C7" w14:textId="6F61ED8C">
      <w:r w:rsidRPr="00FB16D3">
        <w:t xml:space="preserve">Bij feitelijke signalen </w:t>
      </w:r>
      <w:r>
        <w:t xml:space="preserve">dat een bewoner van een COA-locatie dealt in drugs of illegale drugs bezit, </w:t>
      </w:r>
      <w:r w:rsidRPr="00FB16D3">
        <w:t>wordt er een melding gemaakt bij de politie. De politie</w:t>
      </w:r>
      <w:r>
        <w:t xml:space="preserve"> kan dan een s</w:t>
      </w:r>
      <w:r w:rsidRPr="00FB16D3">
        <w:t>trafrechtelijk onderzoek</w:t>
      </w:r>
      <w:r>
        <w:t xml:space="preserve"> starten</w:t>
      </w:r>
      <w:r w:rsidRPr="00FB16D3">
        <w:t xml:space="preserve">. </w:t>
      </w:r>
    </w:p>
    <w:p w:rsidR="00F7353A" w:rsidP="00F7353A" w:rsidRDefault="00485C99" w14:paraId="67A1811C" w14:textId="2662685E">
      <w:r w:rsidRPr="00485C99">
        <w:t>Aanvullend kan het COA een passende maatregel opleggen en kan de IND het aanvraagproces versnellen.</w:t>
      </w:r>
      <w:r w:rsidRPr="00FB16D3" w:rsidR="00F7353A">
        <w:t xml:space="preserve"> </w:t>
      </w:r>
    </w:p>
    <w:p w:rsidRPr="00AC7BB2" w:rsidR="00AC7BB2" w:rsidP="00526253" w:rsidRDefault="00AC7BB2" w14:paraId="2814A968" w14:textId="77777777"/>
    <w:p w:rsidRPr="00526253" w:rsidR="00526253" w:rsidP="00526253" w:rsidRDefault="00526253" w14:paraId="4612EF68" w14:textId="1ADBF35B">
      <w:pPr>
        <w:rPr>
          <w:b/>
          <w:bCs/>
        </w:rPr>
      </w:pPr>
      <w:r w:rsidRPr="00526253">
        <w:rPr>
          <w:b/>
          <w:bCs/>
        </w:rPr>
        <w:t>Vraag 9</w:t>
      </w:r>
      <w:r w:rsidRPr="00526253">
        <w:rPr>
          <w:b/>
          <w:bCs/>
        </w:rPr>
        <w:br/>
        <w:t>Kunt u van beide gevallen aangeven hoe vaak hiervan de afgelopen vijf jaar sprake is geweest, in welke COA-locaties en tot welke straffen en sancties dit heeft geleid?</w:t>
      </w:r>
    </w:p>
    <w:p w:rsidR="00881F62" w:rsidP="00526253" w:rsidRDefault="00526253" w14:paraId="0DD73AEC" w14:textId="1761235A">
      <w:r w:rsidRPr="00526253">
        <w:rPr>
          <w:b/>
          <w:bCs/>
        </w:rPr>
        <w:br/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vraag 9</w:t>
      </w:r>
      <w:r w:rsidRPr="00526253">
        <w:rPr>
          <w:b/>
          <w:bCs/>
        </w:rPr>
        <w:br/>
      </w:r>
      <w:r w:rsidRPr="00B43076" w:rsidR="00B43076">
        <w:t xml:space="preserve">Er is geen volledig overzicht te geven van </w:t>
      </w:r>
      <w:r w:rsidR="00B43076">
        <w:t xml:space="preserve">dit </w:t>
      </w:r>
      <w:r w:rsidRPr="00B43076" w:rsidR="00B43076">
        <w:t xml:space="preserve">aantal </w:t>
      </w:r>
      <w:r w:rsidR="00B43076">
        <w:t>delicten op</w:t>
      </w:r>
      <w:r w:rsidRPr="00B43076" w:rsidR="00B43076">
        <w:t xml:space="preserve"> COA-locaties omdat uit de politieregistraties</w:t>
      </w:r>
      <w:r w:rsidR="00B43076">
        <w:t xml:space="preserve"> niet kan worden herleid </w:t>
      </w:r>
      <w:r w:rsidRPr="00B43076" w:rsidR="00B43076">
        <w:t xml:space="preserve">of het om een COA-locatie </w:t>
      </w:r>
      <w:r w:rsidR="00B43076">
        <w:t xml:space="preserve">en/of een COA-bewoner gaat. </w:t>
      </w:r>
    </w:p>
    <w:p w:rsidR="00CB3E9A" w:rsidP="00526253" w:rsidRDefault="00881F62" w14:paraId="7C69976D" w14:textId="6309F36B">
      <w:r>
        <w:t xml:space="preserve">De </w:t>
      </w:r>
      <w:r w:rsidR="00B43076">
        <w:t xml:space="preserve">jaarlijkse Incidentenmonitor van het WODC </w:t>
      </w:r>
      <w:r>
        <w:t xml:space="preserve">geeft inzicht in het aantal </w:t>
      </w:r>
      <w:r w:rsidR="00B43076">
        <w:t xml:space="preserve">afgehandelde drugsmisdrijven door </w:t>
      </w:r>
      <w:r>
        <w:t>het Openbaar Ministerie en de rechter in eerste aanleg.</w:t>
      </w:r>
    </w:p>
    <w:p w:rsidR="00024660" w:rsidP="00526253" w:rsidRDefault="00526253" w14:paraId="06CF4948" w14:textId="77777777">
      <w:pPr>
        <w:rPr>
          <w:b/>
          <w:bCs/>
        </w:rPr>
      </w:pPr>
      <w:r w:rsidRPr="00526253">
        <w:rPr>
          <w:b/>
          <w:bCs/>
        </w:rPr>
        <w:br/>
      </w:r>
    </w:p>
    <w:p w:rsidRPr="00526253" w:rsidR="00526253" w:rsidP="00526253" w:rsidRDefault="00526253" w14:paraId="7B9192F5" w14:textId="0495EDC5">
      <w:pPr>
        <w:rPr>
          <w:b/>
          <w:bCs/>
        </w:rPr>
      </w:pPr>
      <w:r w:rsidRPr="00526253">
        <w:rPr>
          <w:b/>
          <w:bCs/>
        </w:rPr>
        <w:t>Vraag 10</w:t>
      </w:r>
      <w:r w:rsidRPr="00526253">
        <w:rPr>
          <w:b/>
          <w:bCs/>
        </w:rPr>
        <w:br/>
      </w:r>
      <w:r w:rsidRPr="00526253">
        <w:rPr>
          <w:b/>
          <w:bCs/>
        </w:rPr>
        <w:lastRenderedPageBreak/>
        <w:t>Kunt u deze vragen afzonderlijk en voorafgaand aan het eerstvolgende commissiedebat Asiel en Migratie beantwoorden?</w:t>
      </w:r>
    </w:p>
    <w:p w:rsidR="00526253" w:rsidP="00526253" w:rsidRDefault="00526253" w14:paraId="1ABFC93A" w14:textId="1182C618">
      <w:r w:rsidRPr="00526253">
        <w:rPr>
          <w:b/>
          <w:bCs/>
        </w:rPr>
        <w:br/>
        <w:t xml:space="preserve">Antwoord </w:t>
      </w:r>
      <w:r w:rsidR="00024660">
        <w:rPr>
          <w:b/>
          <w:bCs/>
        </w:rPr>
        <w:t xml:space="preserve">op </w:t>
      </w:r>
      <w:r w:rsidRPr="00526253">
        <w:rPr>
          <w:b/>
          <w:bCs/>
        </w:rPr>
        <w:t>vraag 10</w:t>
      </w:r>
      <w:r>
        <w:br/>
      </w:r>
      <w:r w:rsidR="00AC7BB2">
        <w:t xml:space="preserve">Ik heb ernaar gestreefd de vragen zo spoedig </w:t>
      </w:r>
      <w:r w:rsidR="007C58E0">
        <w:t xml:space="preserve">als </w:t>
      </w:r>
      <w:r w:rsidR="00AC7BB2">
        <w:t>mogelijk te beantwoorden.</w:t>
      </w:r>
      <w:r>
        <w:br/>
      </w:r>
    </w:p>
    <w:p w:rsidR="002113CA" w:rsidP="00526253" w:rsidRDefault="002113CA" w14:paraId="383E38B0" w14:textId="77777777"/>
    <w:p w:rsidR="002113CA" w:rsidP="00526253" w:rsidRDefault="002113CA" w14:paraId="2CA1DEFD" w14:textId="77777777"/>
    <w:p w:rsidR="00526253" w:rsidP="00526253" w:rsidRDefault="00526253" w14:paraId="4A97723D" w14:textId="77777777">
      <w:r>
        <w:t xml:space="preserve">[1] X, 2 april 2026 (https://x.com/nieuwsvandedag_/status/2039746755563024882?s=48) </w:t>
      </w:r>
    </w:p>
    <w:p w:rsidR="00526253" w:rsidP="00526253" w:rsidRDefault="00526253" w14:paraId="2F066288" w14:textId="77777777"/>
    <w:p w:rsidR="00526253" w:rsidP="00526253" w:rsidRDefault="00526253" w14:paraId="22FEC31D" w14:textId="77777777">
      <w:r>
        <w:t xml:space="preserve">[2] Wetenschappelijk Onderzoek- en Datacentrum, Incidenten en misdrijven door bewoners van COA- en </w:t>
      </w:r>
      <w:proofErr w:type="spellStart"/>
      <w:r>
        <w:t>tgo</w:t>
      </w:r>
      <w:proofErr w:type="spellEnd"/>
      <w:r>
        <w:t>-locaties 2017-2024, 2025-4, tabel 4.6 (repository.wodc.nl/bitstream/handle/20.500.12832/3460/rapport-incidenten-en-misdrijven-2017-2024.pdf?</w:t>
      </w:r>
      <w:proofErr w:type="gramStart"/>
      <w:r>
        <w:t>sequence</w:t>
      </w:r>
      <w:proofErr w:type="gramEnd"/>
      <w:r>
        <w:t>=1&amp;isAllowed=y)</w:t>
      </w:r>
    </w:p>
    <w:p w:rsidR="00526253" w:rsidP="00526253" w:rsidRDefault="00526253" w14:paraId="229002DC" w14:textId="77777777"/>
    <w:p w:rsidR="00526253" w:rsidRDefault="00526253" w14:paraId="34FCF0D8" w14:textId="77777777"/>
    <w:sectPr w:rsidR="0052625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9341" w14:textId="77777777" w:rsidR="009276BF" w:rsidRDefault="009276BF">
      <w:pPr>
        <w:spacing w:line="240" w:lineRule="auto"/>
      </w:pPr>
      <w:r>
        <w:separator/>
      </w:r>
    </w:p>
  </w:endnote>
  <w:endnote w:type="continuationSeparator" w:id="0">
    <w:p w14:paraId="555A831F" w14:textId="77777777" w:rsidR="009276BF" w:rsidRDefault="00927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5CEC" w14:textId="77777777" w:rsidR="0035201B" w:rsidRDefault="0035201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4899" w14:textId="77777777" w:rsidR="009276BF" w:rsidRDefault="009276BF">
      <w:pPr>
        <w:spacing w:line="240" w:lineRule="auto"/>
      </w:pPr>
      <w:r>
        <w:separator/>
      </w:r>
    </w:p>
  </w:footnote>
  <w:footnote w:type="continuationSeparator" w:id="0">
    <w:p w14:paraId="60A34D2E" w14:textId="77777777" w:rsidR="009276BF" w:rsidRDefault="009276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BE51" w14:textId="77777777" w:rsidR="0035201B" w:rsidRDefault="00AA092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6C7983C" wp14:editId="62281B7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DE93C" w14:textId="77777777" w:rsidR="0035201B" w:rsidRDefault="00AA0928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B598F98" w14:textId="77777777" w:rsidR="0035201B" w:rsidRDefault="00AA0928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75E68A2A" w14:textId="77777777" w:rsidR="0035201B" w:rsidRDefault="00AA0928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284F6632" w14:textId="77777777" w:rsidR="0035201B" w:rsidRDefault="0035201B">
                          <w:pPr>
                            <w:pStyle w:val="WitregelW2"/>
                          </w:pPr>
                        </w:p>
                        <w:p w14:paraId="0910463D" w14:textId="77777777" w:rsidR="0035201B" w:rsidRDefault="00AA092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0633CDE" w14:textId="0CC88127" w:rsidR="0035201B" w:rsidRDefault="00FF6CE2">
                          <w:pPr>
                            <w:pStyle w:val="Referentiegegevens"/>
                          </w:pPr>
                          <w:sdt>
                            <w:sdtPr>
                              <w:id w:val="1986736482"/>
                              <w:date w:fullDate="2026-05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24660">
                                <w:rPr>
                                  <w:lang w:val="nl"/>
                                </w:rPr>
                                <w:t>29 mei 2026</w:t>
                              </w:r>
                            </w:sdtContent>
                          </w:sdt>
                        </w:p>
                        <w:p w14:paraId="0A22FF05" w14:textId="77777777" w:rsidR="0035201B" w:rsidRDefault="0035201B">
                          <w:pPr>
                            <w:pStyle w:val="WitregelW1"/>
                          </w:pPr>
                        </w:p>
                        <w:p w14:paraId="7B9E2BA5" w14:textId="77777777" w:rsidR="0035201B" w:rsidRDefault="00AA092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FD480E" w14:textId="77777777" w:rsidR="0035201B" w:rsidRDefault="00AA0928">
                          <w:pPr>
                            <w:pStyle w:val="Referentiegegevens"/>
                          </w:pPr>
                          <w:r>
                            <w:t>7474531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C7983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B2DE93C" w14:textId="77777777" w:rsidR="0035201B" w:rsidRDefault="00AA0928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B598F98" w14:textId="77777777" w:rsidR="0035201B" w:rsidRDefault="00AA0928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75E68A2A" w14:textId="77777777" w:rsidR="0035201B" w:rsidRDefault="00AA0928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284F6632" w14:textId="77777777" w:rsidR="0035201B" w:rsidRDefault="0035201B">
                    <w:pPr>
                      <w:pStyle w:val="WitregelW2"/>
                    </w:pPr>
                  </w:p>
                  <w:p w14:paraId="0910463D" w14:textId="77777777" w:rsidR="0035201B" w:rsidRDefault="00AA0928">
                    <w:pPr>
                      <w:pStyle w:val="Referentiegegevensbold"/>
                    </w:pPr>
                    <w:r>
                      <w:t>Datum</w:t>
                    </w:r>
                  </w:p>
                  <w:p w14:paraId="50633CDE" w14:textId="0CC88127" w:rsidR="0035201B" w:rsidRDefault="00FF6CE2">
                    <w:pPr>
                      <w:pStyle w:val="Referentiegegevens"/>
                    </w:pPr>
                    <w:sdt>
                      <w:sdtPr>
                        <w:id w:val="1986736482"/>
                        <w:date w:fullDate="2026-05-2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24660">
                          <w:rPr>
                            <w:lang w:val="nl"/>
                          </w:rPr>
                          <w:t>29 mei 2026</w:t>
                        </w:r>
                      </w:sdtContent>
                    </w:sdt>
                  </w:p>
                  <w:p w14:paraId="0A22FF05" w14:textId="77777777" w:rsidR="0035201B" w:rsidRDefault="0035201B">
                    <w:pPr>
                      <w:pStyle w:val="WitregelW1"/>
                    </w:pPr>
                  </w:p>
                  <w:p w14:paraId="7B9E2BA5" w14:textId="77777777" w:rsidR="0035201B" w:rsidRDefault="00AA092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FD480E" w14:textId="77777777" w:rsidR="0035201B" w:rsidRDefault="00AA0928">
                    <w:pPr>
                      <w:pStyle w:val="Referentiegegevens"/>
                    </w:pPr>
                    <w:r>
                      <w:t>7474531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7B2DD87" wp14:editId="63E9657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76CCC" w14:textId="77777777" w:rsidR="00D7672A" w:rsidRDefault="00D767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B2DD8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1776CCC" w14:textId="77777777" w:rsidR="00D7672A" w:rsidRDefault="00D767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BE5CBB7" wp14:editId="09C4E44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DC2BD" w14:textId="65ACD153" w:rsidR="0035201B" w:rsidRDefault="00AA092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62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62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E5CBB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47DC2BD" w14:textId="65ACD153" w:rsidR="0035201B" w:rsidRDefault="00AA092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62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62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8040" w14:textId="77777777" w:rsidR="0035201B" w:rsidRDefault="00AA092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176457E" wp14:editId="1154DA7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7040B" w14:textId="77F14F31" w:rsidR="0035201B" w:rsidRDefault="00AA0928">
                          <w:r>
                            <w:t>Aan de Voorzitter van de Tweede Kamer</w:t>
                          </w:r>
                          <w:r w:rsidR="00024660">
                            <w:br/>
                          </w:r>
                          <w:r>
                            <w:t>der Staten-Generaal</w:t>
                          </w:r>
                        </w:p>
                        <w:p w14:paraId="4BA2E227" w14:textId="77777777" w:rsidR="0035201B" w:rsidRDefault="00AA0928">
                          <w:r>
                            <w:t xml:space="preserve">Postbus 20018 </w:t>
                          </w:r>
                        </w:p>
                        <w:p w14:paraId="42CAC8EF" w14:textId="77777777" w:rsidR="0035201B" w:rsidRDefault="00AA092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76457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A37040B" w14:textId="77F14F31" w:rsidR="0035201B" w:rsidRDefault="00AA0928">
                    <w:r>
                      <w:t>Aan de Voorzitter van de Tweede Kamer</w:t>
                    </w:r>
                    <w:r w:rsidR="00024660">
                      <w:br/>
                    </w:r>
                    <w:r>
                      <w:t>der Staten-Generaal</w:t>
                    </w:r>
                  </w:p>
                  <w:p w14:paraId="4BA2E227" w14:textId="77777777" w:rsidR="0035201B" w:rsidRDefault="00AA0928">
                    <w:r>
                      <w:t xml:space="preserve">Postbus 20018 </w:t>
                    </w:r>
                  </w:p>
                  <w:p w14:paraId="42CAC8EF" w14:textId="77777777" w:rsidR="0035201B" w:rsidRDefault="00AA092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F4E3CC7" wp14:editId="777EA2E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5201B" w14:paraId="61772C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E33EEE" w14:textId="77777777" w:rsidR="0035201B" w:rsidRDefault="00AA09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9F1EF53" w14:textId="494E33C6" w:rsidR="0035201B" w:rsidRDefault="00FF6CE2">
                                <w:sdt>
                                  <w:sdtPr>
                                    <w:id w:val="-1500497477"/>
                                    <w:date w:fullDate="2026-05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24660">
                                      <w:rPr>
                                        <w:lang w:val="nl"/>
                                      </w:rPr>
                                      <w:t>29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5201B" w14:paraId="3704D5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E793B1" w14:textId="77777777" w:rsidR="0035201B" w:rsidRDefault="00AA092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19CE1B" w14:textId="77777777" w:rsidR="0035201B" w:rsidRDefault="00AA0928">
                                <w:r>
                                  <w:t>Antwoorden Kamervragen over drugs in COA-locaties</w:t>
                                </w:r>
                              </w:p>
                            </w:tc>
                          </w:tr>
                        </w:tbl>
                        <w:p w14:paraId="4F87F3F8" w14:textId="77777777" w:rsidR="00D7672A" w:rsidRDefault="00D767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E3CC7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5201B" w14:paraId="61772C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E33EEE" w14:textId="77777777" w:rsidR="0035201B" w:rsidRDefault="00AA092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9F1EF53" w14:textId="494E33C6" w:rsidR="0035201B" w:rsidRDefault="00FF6CE2">
                          <w:sdt>
                            <w:sdtPr>
                              <w:id w:val="-1500497477"/>
                              <w:date w:fullDate="2026-05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24660">
                                <w:rPr>
                                  <w:lang w:val="nl"/>
                                </w:rPr>
                                <w:t>29 mei 2026</w:t>
                              </w:r>
                            </w:sdtContent>
                          </w:sdt>
                        </w:p>
                      </w:tc>
                    </w:tr>
                    <w:tr w:rsidR="0035201B" w14:paraId="3704D5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E793B1" w14:textId="77777777" w:rsidR="0035201B" w:rsidRDefault="00AA092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19CE1B" w14:textId="77777777" w:rsidR="0035201B" w:rsidRDefault="00AA0928">
                          <w:r>
                            <w:t>Antwoorden Kamervragen over drugs in COA-locaties</w:t>
                          </w:r>
                        </w:p>
                      </w:tc>
                    </w:tr>
                  </w:tbl>
                  <w:p w14:paraId="4F87F3F8" w14:textId="77777777" w:rsidR="00D7672A" w:rsidRDefault="00D767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3CD854" wp14:editId="4943E8F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6D9C69" w14:textId="77777777" w:rsidR="0035201B" w:rsidRDefault="00AA0928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D160FA2" w14:textId="77777777" w:rsidR="0035201B" w:rsidRDefault="00AA0928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62628920" w14:textId="77777777" w:rsidR="0035201B" w:rsidRDefault="00AA0928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79337134" w14:textId="77777777" w:rsidR="0035201B" w:rsidRDefault="0035201B">
                          <w:pPr>
                            <w:pStyle w:val="WitregelW1"/>
                          </w:pPr>
                        </w:p>
                        <w:p w14:paraId="458ADD43" w14:textId="77777777" w:rsidR="0035201B" w:rsidRPr="007E3E55" w:rsidRDefault="00AA092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7E3E55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7E3E55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B573977" w14:textId="77777777" w:rsidR="0035201B" w:rsidRPr="007E3E55" w:rsidRDefault="00AA092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3E55">
                            <w:rPr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7E3E55">
                            <w:rPr>
                              <w:lang w:val="de-DE"/>
                            </w:rPr>
                            <w:t>DP  Den</w:t>
                          </w:r>
                          <w:proofErr w:type="gramEnd"/>
                          <w:r w:rsidRPr="007E3E5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C447A2C" w14:textId="77777777" w:rsidR="0035201B" w:rsidRPr="007E3E55" w:rsidRDefault="00AA092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3E55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A0FD236" w14:textId="77777777" w:rsidR="0035201B" w:rsidRPr="007E3E55" w:rsidRDefault="00AA092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3E55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7E3E55">
                            <w:rPr>
                              <w:lang w:val="de-DE"/>
                            </w:rPr>
                            <w:t>EH  Den</w:t>
                          </w:r>
                          <w:proofErr w:type="gramEnd"/>
                          <w:r w:rsidRPr="007E3E5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C002E7E" w14:textId="77777777" w:rsidR="0035201B" w:rsidRPr="007E3E55" w:rsidRDefault="00AA092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3E5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E047F8D" w14:textId="77777777" w:rsidR="0035201B" w:rsidRPr="007E3E55" w:rsidRDefault="0035201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D9E0DA7" w14:textId="77777777" w:rsidR="0035201B" w:rsidRDefault="00AA092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7E99CF" w14:textId="77777777" w:rsidR="0035201B" w:rsidRDefault="00AA0928">
                          <w:pPr>
                            <w:pStyle w:val="Referentiegegevens"/>
                          </w:pPr>
                          <w:r>
                            <w:t>7474531</w:t>
                          </w:r>
                        </w:p>
                        <w:p w14:paraId="7ADF6161" w14:textId="77777777" w:rsidR="0035201B" w:rsidRDefault="0035201B">
                          <w:pPr>
                            <w:pStyle w:val="WitregelW1"/>
                          </w:pPr>
                        </w:p>
                        <w:p w14:paraId="66A7B581" w14:textId="77777777" w:rsidR="0035201B" w:rsidRDefault="00AA092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AEB0C06" w14:textId="77777777" w:rsidR="0035201B" w:rsidRDefault="00FF6CE2">
                          <w:pPr>
                            <w:pStyle w:val="Referentiegegevens"/>
                          </w:pPr>
                          <w:sdt>
                            <w:sdtPr>
                              <w:id w:val="-8685031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526253">
                                <w:t>2026Z070601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3CD85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96D9C69" w14:textId="77777777" w:rsidR="0035201B" w:rsidRDefault="00AA0928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D160FA2" w14:textId="77777777" w:rsidR="0035201B" w:rsidRDefault="00AA0928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62628920" w14:textId="77777777" w:rsidR="0035201B" w:rsidRDefault="00AA0928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79337134" w14:textId="77777777" w:rsidR="0035201B" w:rsidRDefault="0035201B">
                    <w:pPr>
                      <w:pStyle w:val="WitregelW1"/>
                    </w:pPr>
                  </w:p>
                  <w:p w14:paraId="458ADD43" w14:textId="77777777" w:rsidR="0035201B" w:rsidRPr="007E3E55" w:rsidRDefault="00AA092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7E3E55">
                      <w:rPr>
                        <w:lang w:val="de-DE"/>
                      </w:rPr>
                      <w:t>Turfmarkt</w:t>
                    </w:r>
                    <w:proofErr w:type="spellEnd"/>
                    <w:r w:rsidRPr="007E3E55">
                      <w:rPr>
                        <w:lang w:val="de-DE"/>
                      </w:rPr>
                      <w:t xml:space="preserve"> 147</w:t>
                    </w:r>
                  </w:p>
                  <w:p w14:paraId="7B573977" w14:textId="77777777" w:rsidR="0035201B" w:rsidRPr="007E3E55" w:rsidRDefault="00AA0928">
                    <w:pPr>
                      <w:pStyle w:val="Referentiegegevens"/>
                      <w:rPr>
                        <w:lang w:val="de-DE"/>
                      </w:rPr>
                    </w:pPr>
                    <w:r w:rsidRPr="007E3E55">
                      <w:rPr>
                        <w:lang w:val="de-DE"/>
                      </w:rPr>
                      <w:t xml:space="preserve">2511 </w:t>
                    </w:r>
                    <w:proofErr w:type="gramStart"/>
                    <w:r w:rsidRPr="007E3E55">
                      <w:rPr>
                        <w:lang w:val="de-DE"/>
                      </w:rPr>
                      <w:t>DP  Den</w:t>
                    </w:r>
                    <w:proofErr w:type="gramEnd"/>
                    <w:r w:rsidRPr="007E3E55">
                      <w:rPr>
                        <w:lang w:val="de-DE"/>
                      </w:rPr>
                      <w:t xml:space="preserve"> Haag</w:t>
                    </w:r>
                  </w:p>
                  <w:p w14:paraId="5C447A2C" w14:textId="77777777" w:rsidR="0035201B" w:rsidRPr="007E3E55" w:rsidRDefault="00AA0928">
                    <w:pPr>
                      <w:pStyle w:val="Referentiegegevens"/>
                      <w:rPr>
                        <w:lang w:val="de-DE"/>
                      </w:rPr>
                    </w:pPr>
                    <w:r w:rsidRPr="007E3E55">
                      <w:rPr>
                        <w:lang w:val="de-DE"/>
                      </w:rPr>
                      <w:t>Postbus 20011</w:t>
                    </w:r>
                  </w:p>
                  <w:p w14:paraId="4A0FD236" w14:textId="77777777" w:rsidR="0035201B" w:rsidRPr="007E3E55" w:rsidRDefault="00AA0928">
                    <w:pPr>
                      <w:pStyle w:val="Referentiegegevens"/>
                      <w:rPr>
                        <w:lang w:val="de-DE"/>
                      </w:rPr>
                    </w:pPr>
                    <w:r w:rsidRPr="007E3E55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7E3E55">
                      <w:rPr>
                        <w:lang w:val="de-DE"/>
                      </w:rPr>
                      <w:t>EH  Den</w:t>
                    </w:r>
                    <w:proofErr w:type="gramEnd"/>
                    <w:r w:rsidRPr="007E3E55">
                      <w:rPr>
                        <w:lang w:val="de-DE"/>
                      </w:rPr>
                      <w:t xml:space="preserve"> Haag</w:t>
                    </w:r>
                  </w:p>
                  <w:p w14:paraId="5C002E7E" w14:textId="77777777" w:rsidR="0035201B" w:rsidRPr="007E3E55" w:rsidRDefault="00AA0928">
                    <w:pPr>
                      <w:pStyle w:val="Referentiegegevens"/>
                      <w:rPr>
                        <w:lang w:val="de-DE"/>
                      </w:rPr>
                    </w:pPr>
                    <w:r w:rsidRPr="007E3E55">
                      <w:rPr>
                        <w:lang w:val="de-DE"/>
                      </w:rPr>
                      <w:t>www.rijksoverheid.nl/jenv</w:t>
                    </w:r>
                  </w:p>
                  <w:p w14:paraId="0E047F8D" w14:textId="77777777" w:rsidR="0035201B" w:rsidRPr="007E3E55" w:rsidRDefault="0035201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D9E0DA7" w14:textId="77777777" w:rsidR="0035201B" w:rsidRDefault="00AA092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7E99CF" w14:textId="77777777" w:rsidR="0035201B" w:rsidRDefault="00AA0928">
                    <w:pPr>
                      <w:pStyle w:val="Referentiegegevens"/>
                    </w:pPr>
                    <w:r>
                      <w:t>7474531</w:t>
                    </w:r>
                  </w:p>
                  <w:p w14:paraId="7ADF6161" w14:textId="77777777" w:rsidR="0035201B" w:rsidRDefault="0035201B">
                    <w:pPr>
                      <w:pStyle w:val="WitregelW1"/>
                    </w:pPr>
                  </w:p>
                  <w:p w14:paraId="66A7B581" w14:textId="77777777" w:rsidR="0035201B" w:rsidRDefault="00AA092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AEB0C06" w14:textId="77777777" w:rsidR="0035201B" w:rsidRDefault="00FF6CE2">
                    <w:pPr>
                      <w:pStyle w:val="Referentiegegevens"/>
                    </w:pPr>
                    <w:sdt>
                      <w:sdtPr>
                        <w:id w:val="-8685031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526253">
                          <w:t>2026Z070601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4CBBB2" wp14:editId="13C97A7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86FFDF" w14:textId="77777777" w:rsidR="00D7672A" w:rsidRDefault="00D767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CBBB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A86FFDF" w14:textId="77777777" w:rsidR="00D7672A" w:rsidRDefault="00D767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36B5F00" wp14:editId="392858F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16E22" w14:textId="77777777" w:rsidR="0035201B" w:rsidRDefault="00AA092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62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62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B5F0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A916E22" w14:textId="77777777" w:rsidR="0035201B" w:rsidRDefault="00AA092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62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62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E8FC80" wp14:editId="142BAA5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E6B36" w14:textId="77777777" w:rsidR="0035201B" w:rsidRDefault="00AA09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6D9430" wp14:editId="48DAB32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8FC80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4AE6B36" w14:textId="77777777" w:rsidR="0035201B" w:rsidRDefault="00AA09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6D9430" wp14:editId="48DAB32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A33B941" wp14:editId="5D56DC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AB434" w14:textId="77777777" w:rsidR="0035201B" w:rsidRDefault="00AA09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8B8F7" wp14:editId="147C99A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3B94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0CAB434" w14:textId="77777777" w:rsidR="0035201B" w:rsidRDefault="00AA09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18B8F7" wp14:editId="147C99A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84434E9" wp14:editId="1BAEC13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8FAFC" w14:textId="77777777" w:rsidR="0035201B" w:rsidRDefault="00AA0928">
                          <w:pPr>
                            <w:pStyle w:val="Referentiegegevens"/>
                          </w:pPr>
                          <w:r>
                            <w:t>&gt; Retouradres Postbus 20011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434E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938FAFC" w14:textId="77777777" w:rsidR="0035201B" w:rsidRDefault="00AA0928">
                    <w:pPr>
                      <w:pStyle w:val="Referentiegegevens"/>
                    </w:pPr>
                    <w:r>
                      <w:t>&gt; Retouradres Postbus 20011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F97BE2"/>
    <w:multiLevelType w:val="multilevel"/>
    <w:tmpl w:val="3AB5D55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9BE986F"/>
    <w:multiLevelType w:val="multilevel"/>
    <w:tmpl w:val="B42309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71B82F"/>
    <w:multiLevelType w:val="multilevel"/>
    <w:tmpl w:val="1C152B3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57A9F01"/>
    <w:multiLevelType w:val="multilevel"/>
    <w:tmpl w:val="17BB57B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A7B657F"/>
    <w:multiLevelType w:val="multilevel"/>
    <w:tmpl w:val="3375BCA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F551F20"/>
    <w:multiLevelType w:val="multilevel"/>
    <w:tmpl w:val="7A26E50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916089350">
    <w:abstractNumId w:val="4"/>
  </w:num>
  <w:num w:numId="2" w16cid:durableId="1355762268">
    <w:abstractNumId w:val="3"/>
  </w:num>
  <w:num w:numId="3" w16cid:durableId="366494537">
    <w:abstractNumId w:val="2"/>
  </w:num>
  <w:num w:numId="4" w16cid:durableId="912197791">
    <w:abstractNumId w:val="0"/>
  </w:num>
  <w:num w:numId="5" w16cid:durableId="1771272174">
    <w:abstractNumId w:val="5"/>
  </w:num>
  <w:num w:numId="6" w16cid:durableId="142680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1B"/>
    <w:rsid w:val="00024660"/>
    <w:rsid w:val="000B382E"/>
    <w:rsid w:val="00121F33"/>
    <w:rsid w:val="00167244"/>
    <w:rsid w:val="001D1B14"/>
    <w:rsid w:val="001F0BE2"/>
    <w:rsid w:val="001F0F24"/>
    <w:rsid w:val="001F65EF"/>
    <w:rsid w:val="002113CA"/>
    <w:rsid w:val="0027007C"/>
    <w:rsid w:val="003027DE"/>
    <w:rsid w:val="00307473"/>
    <w:rsid w:val="0035201B"/>
    <w:rsid w:val="00382F43"/>
    <w:rsid w:val="00440C68"/>
    <w:rsid w:val="00485C99"/>
    <w:rsid w:val="00526253"/>
    <w:rsid w:val="0055258C"/>
    <w:rsid w:val="0055456F"/>
    <w:rsid w:val="0067686C"/>
    <w:rsid w:val="0068791D"/>
    <w:rsid w:val="0072704F"/>
    <w:rsid w:val="00760087"/>
    <w:rsid w:val="007C58E0"/>
    <w:rsid w:val="007D7B2D"/>
    <w:rsid w:val="007E3E55"/>
    <w:rsid w:val="007F57D6"/>
    <w:rsid w:val="00804ADA"/>
    <w:rsid w:val="00844398"/>
    <w:rsid w:val="00844F54"/>
    <w:rsid w:val="00881F62"/>
    <w:rsid w:val="009276BF"/>
    <w:rsid w:val="0094517C"/>
    <w:rsid w:val="009623BA"/>
    <w:rsid w:val="009F06CF"/>
    <w:rsid w:val="00A269C8"/>
    <w:rsid w:val="00A343EF"/>
    <w:rsid w:val="00A5359C"/>
    <w:rsid w:val="00A734BE"/>
    <w:rsid w:val="00AA0928"/>
    <w:rsid w:val="00AC7BB2"/>
    <w:rsid w:val="00B43076"/>
    <w:rsid w:val="00B54E6C"/>
    <w:rsid w:val="00B7679F"/>
    <w:rsid w:val="00B81018"/>
    <w:rsid w:val="00B9094D"/>
    <w:rsid w:val="00BB6829"/>
    <w:rsid w:val="00BE51F5"/>
    <w:rsid w:val="00C4153C"/>
    <w:rsid w:val="00CB3E9A"/>
    <w:rsid w:val="00CF62E0"/>
    <w:rsid w:val="00D226F1"/>
    <w:rsid w:val="00D7672A"/>
    <w:rsid w:val="00D9049C"/>
    <w:rsid w:val="00E35744"/>
    <w:rsid w:val="00F728FC"/>
    <w:rsid w:val="00F7353A"/>
    <w:rsid w:val="00F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19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00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700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7007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00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007C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0246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466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779</ap:Words>
  <ap:Characters>4289</ap:Characters>
  <ap:DocSecurity>0</ap:DocSecurity>
  <ap:Lines>35</ap:Lines>
  <ap:Paragraphs>10</ap:Paragraphs>
  <ap:ScaleCrop>false</ap:ScaleCrop>
  <ap:LinksUpToDate>false</ap:LinksUpToDate>
  <ap:CharactersWithSpaces>5058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2026-05-29T12:15:00.0000000Z</dcterms:created>
  <dcterms:modified xsi:type="dcterms:W3CDTF">2026-05-29T12:15:00.0000000Z</dcterms:modified>
  <dc:description>------------------------</dc:description>
  <dc:subject/>
  <keywords/>
  <version/>
  <category/>
</coreProperties>
</file>