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2026Z11362</w:t>
        <w:br/>
      </w:r>
      <w:proofErr w:type="spellEnd"/>
    </w:p>
    <w:p>
      <w:pPr>
        <w:pStyle w:val="Normal"/>
        <w:rPr>
          <w:b w:val="1"/>
          <w:bCs w:val="1"/>
        </w:rPr>
      </w:pPr>
      <w:r w:rsidR="250AE766">
        <w:rPr>
          <w:b w:val="0"/>
          <w:bCs w:val="0"/>
        </w:rPr>
        <w:t>(ingezonden 29 mei 2026)</w:t>
        <w:br/>
      </w:r>
    </w:p>
    <w:p>
      <w:r>
        <w:t xml:space="preserve">Vragen van het lid Van der Plas (BBB) aan de minister van Landbouw, Visserij, Voedselzekerheid en Natuur over het schriftelijk overleg met als onderwerp 'Zienswijzeprocedure Woo-verzoeken emissiegegevens'.</w:t>
      </w:r>
      <w:r>
        <w:br/>
      </w:r>
    </w:p>
    <w:p>
      <w:pPr>
        <w:pStyle w:val="ListParagraph"/>
        <w:numPr>
          <w:ilvl w:val="0"/>
          <w:numId w:val="100508840"/>
        </w:numPr>
        <w:ind w:left="360"/>
      </w:pPr>
      <w:r>
        <w:t xml:space="preserve">Klopt het dat het bestuursorganen is toegestaan om zienswijzen uit te vragen via het toezenden van een informatieve brief?</w:t>
      </w:r>
      <w:r>
        <w:br/>
      </w:r>
    </w:p>
    <w:p>
      <w:pPr>
        <w:pStyle w:val="ListParagraph"/>
        <w:numPr>
          <w:ilvl w:val="0"/>
          <w:numId w:val="100508840"/>
        </w:numPr>
        <w:ind w:left="360"/>
      </w:pPr>
      <w:r>
        <w:t xml:space="preserve">Klopt het dat de eis van de mediabedrijven, waarbij zij de rechtbank Den Haag verzochten om De Staat der Nederlanden (de minister van Landbouw, Visserij, Voedselzekerheid en Natuur) te verbieden om zienswijzen via toezending van een informatieve brief, is afgewezen door de rechtbank (ECLI:NL:RBDHA:2025:16439)?</w:t>
      </w:r>
      <w:r>
        <w:br/>
      </w:r>
    </w:p>
    <w:p>
      <w:pPr>
        <w:pStyle w:val="ListParagraph"/>
        <w:numPr>
          <w:ilvl w:val="0"/>
          <w:numId w:val="100508840"/>
        </w:numPr>
        <w:ind w:left="360"/>
      </w:pPr>
      <w:r>
        <w:t xml:space="preserve">Klopt het dat dit ook de gebruikelijke wijze is van het uitvragen van een zienswijze?</w:t>
      </w:r>
      <w:r>
        <w:br/>
      </w:r>
    </w:p>
    <w:p>
      <w:pPr>
        <w:pStyle w:val="ListParagraph"/>
        <w:numPr>
          <w:ilvl w:val="0"/>
          <w:numId w:val="100508840"/>
        </w:numPr>
        <w:ind w:left="360"/>
      </w:pPr>
      <w:r>
        <w:t xml:space="preserve">Klopt het dat de Rijksdienst voor Ondernemend Nederland (RVO) en/ of u beschikken over de e-mailadressen van agrarische bedrijven, onder andere omdat zij deze invullen bij de gecombineerde opgave?</w:t>
      </w:r>
      <w:r>
        <w:br/>
      </w:r>
    </w:p>
    <w:p>
      <w:pPr>
        <w:pStyle w:val="ListParagraph"/>
        <w:numPr>
          <w:ilvl w:val="0"/>
          <w:numId w:val="100508840"/>
        </w:numPr>
        <w:ind w:left="360"/>
      </w:pPr>
      <w:r>
        <w:t xml:space="preserve">Waarom worden derde-belanghebbenden niet tevens per e-mail geïnformeerd over de mogelijkheid om een zienswijze in te dienen?</w:t>
      </w:r>
      <w:r>
        <w:br/>
      </w:r>
    </w:p>
    <w:p>
      <w:pPr>
        <w:pStyle w:val="ListParagraph"/>
        <w:numPr>
          <w:ilvl w:val="0"/>
          <w:numId w:val="100508840"/>
        </w:numPr>
        <w:ind w:left="360"/>
      </w:pPr>
      <w:r>
        <w:t xml:space="preserve">Hoeveel agrariërs hebben een abonnement op de Staatscourant en hoeveel agrariërs hebben een abonnement op een agrarisch weekblad?</w:t>
      </w:r>
      <w:r>
        <w:br/>
      </w:r>
    </w:p>
    <w:p>
      <w:pPr>
        <w:pStyle w:val="ListParagraph"/>
        <w:numPr>
          <w:ilvl w:val="0"/>
          <w:numId w:val="100508840"/>
        </w:numPr>
        <w:ind w:left="360"/>
      </w:pPr>
      <w:r>
        <w:t xml:space="preserve">Kunt u een overzicht verstrekken van het aantal zienswijzen dat is ingediend bij Wet open overheid (Woo)-procedures waarbij meer dan 500 belanghebbende agrariërs zijn betrokken sinds 2020, waarbij per procedure wordt aangegeven hoe derde-belanghebbenden zijn geïnformeerd over de zienswijzeprocedure?</w:t>
      </w:r>
      <w:r>
        <w:br/>
      </w:r>
    </w:p>
    <w:p>
      <w:pPr>
        <w:pStyle w:val="ListParagraph"/>
        <w:numPr>
          <w:ilvl w:val="0"/>
          <w:numId w:val="100508840"/>
        </w:numPr>
        <w:ind w:left="360"/>
      </w:pPr>
      <w:r>
        <w:t xml:space="preserve">Welk percentage van de agrarische derde-belanghebbenden leest binnen een week na publicatie van een kennisgeving over een Woo-procedure in de Staatscourant deze kennisgeving?</w:t>
      </w:r>
      <w:r>
        <w:br/>
      </w:r>
    </w:p>
    <w:p>
      <w:pPr>
        <w:pStyle w:val="ListParagraph"/>
        <w:numPr>
          <w:ilvl w:val="0"/>
          <w:numId w:val="100508840"/>
        </w:numPr>
        <w:ind w:left="360"/>
      </w:pPr>
      <w:r>
        <w:t xml:space="preserve">Waarom worden agrariërs niet tevens via advertenties in een agrarisch weekblad geïnformeerd over de mogelijkheid om een zienswijze in te dienen?</w:t>
      </w:r>
      <w:r>
        <w:br/>
      </w:r>
    </w:p>
    <w:p>
      <w:pPr>
        <w:pStyle w:val="ListParagraph"/>
        <w:numPr>
          <w:ilvl w:val="0"/>
          <w:numId w:val="100508840"/>
        </w:numPr>
        <w:ind w:left="360"/>
      </w:pPr>
      <w:r>
        <w:t xml:space="preserve">Waarom krijgen derde-belanghebbende geen afschrift van de stukken die u voornemens bent om over hen openbaar te maken?</w:t>
      </w:r>
      <w:r>
        <w:br/>
      </w:r>
    </w:p>
    <w:p>
      <w:pPr>
        <w:pStyle w:val="ListParagraph"/>
        <w:numPr>
          <w:ilvl w:val="0"/>
          <w:numId w:val="100508840"/>
        </w:numPr>
        <w:ind w:left="360"/>
      </w:pPr>
      <w:r>
        <w:t xml:space="preserve">Deelt u de analyse dat een derde-belanghebbende deze stukken nodig heeft om een goede zienswijze te kunnen geven?</w:t>
      </w:r>
      <w:r>
        <w:br/>
      </w:r>
    </w:p>
    <w:p>
      <w:pPr>
        <w:pStyle w:val="ListParagraph"/>
        <w:numPr>
          <w:ilvl w:val="0"/>
          <w:numId w:val="100508840"/>
        </w:numPr>
        <w:ind w:left="360"/>
      </w:pPr>
      <w:r>
        <w:t xml:space="preserve">Kan een derde-belanghebbende deze stukken tijdens de zienswijzeprocedure opvragen bij RVO en/ of de minister?</w:t>
      </w:r>
      <w:r>
        <w:br/>
      </w:r>
    </w:p>
    <w:p>
      <w:pPr>
        <w:pStyle w:val="ListParagraph"/>
        <w:numPr>
          <w:ilvl w:val="0"/>
          <w:numId w:val="100508840"/>
        </w:numPr>
        <w:ind w:left="360"/>
      </w:pPr>
      <w:r>
        <w:t xml:space="preserve">Wordt de termijn tot het indienen van een zienswijze verlengd op het moment dat een derde-belanghebbe een afschrift opvraagt van de stukken die deze derde-belanghebbende betreffen? Zo nee, waarom niet?</w:t>
      </w:r>
      <w:r>
        <w:br/>
      </w:r>
    </w:p>
    <w:p>
      <w:pPr>
        <w:pStyle w:val="ListParagraph"/>
        <w:numPr>
          <w:ilvl w:val="0"/>
          <w:numId w:val="100508840"/>
        </w:numPr>
        <w:ind w:left="360"/>
      </w:pPr>
      <w:r>
        <w:t xml:space="preserve">Waarom worden derde-belanghebbende niet gewezen op hun recht om ook mondeling een zienswijze te geven (op grond van artikel 4:9 van de Algemene wet bestuursrecht (Awb)?</w:t>
      </w:r>
      <w:r>
        <w:br/>
      </w:r>
    </w:p>
    <w:p>
      <w:pPr>
        <w:pStyle w:val="ListParagraph"/>
        <w:numPr>
          <w:ilvl w:val="0"/>
          <w:numId w:val="100508840"/>
        </w:numPr>
        <w:ind w:left="360"/>
      </w:pPr>
      <w:r>
        <w:t xml:space="preserve">Bent u bereid om derde-belanghebbenden erop te wijzen dat zij ook mondeling hun zienswijze naar voren kunnen brengen middels een zienswijzegesprek?</w:t>
      </w:r>
      <w:r>
        <w:br/>
      </w:r>
    </w:p>
    <w:p>
      <w:pPr>
        <w:pStyle w:val="ListParagraph"/>
        <w:numPr>
          <w:ilvl w:val="0"/>
          <w:numId w:val="100508840"/>
        </w:numPr>
        <w:ind w:left="360"/>
      </w:pPr>
      <w:r>
        <w:t xml:space="preserve">Gaat u weer zienswijzen uitvragen door het toezenden van een informatieve brief aan derde-belanghebbenden, met daarbij een afschrift van de stukken die u voornemens is om openbaar te maken met betrekking tot die derde-belanghebbende?</w:t>
      </w:r>
      <w:r>
        <w:br/>
      </w:r>
    </w:p>
    <w:p>
      <w:pPr>
        <w:pStyle w:val="ListParagraph"/>
        <w:numPr>
          <w:ilvl w:val="0"/>
          <w:numId w:val="100508840"/>
        </w:numPr>
        <w:ind w:left="360"/>
      </w:pPr>
      <w:r>
        <w:t xml:space="preserve">Klopt het dat de bekendmaking van een besluit aan derde-belanghebbenden op grond van artikel 3:41 van de Awb plaats moet vinden via toezending en dat is gebleken dat bekendmaking ook gewoon op deze wijze kan geschieden?</w:t>
      </w:r>
      <w:r>
        <w:br/>
      </w:r>
    </w:p>
    <w:p>
      <w:pPr>
        <w:pStyle w:val="ListParagraph"/>
        <w:numPr>
          <w:ilvl w:val="0"/>
          <w:numId w:val="100508840"/>
        </w:numPr>
        <w:ind w:left="360"/>
      </w:pPr>
      <w:r>
        <w:t xml:space="preserve">Gaat u de bekendmaking van Woo-besluiten aan derde-belanghebbenden door middel van toezending voortzetten? Zo nee, waarom niet?</w:t>
      </w:r>
      <w:r>
        <w:br/>
      </w:r>
    </w:p>
    <w:p>
      <w:pPr>
        <w:pStyle w:val="ListParagraph"/>
        <w:numPr>
          <w:ilvl w:val="0"/>
          <w:numId w:val="100508840"/>
        </w:numPr>
        <w:ind w:left="360"/>
      </w:pPr>
      <w:r>
        <w:t xml:space="preserve">Hoe gaat u de zienswijzeprocedure inrichten indien u mogelijk over gaat tot actieve openbaarmaking (zoals voortvloeit uit artikel 3.1, derde lid, van de Woo)?</w:t>
      </w:r>
      <w:r>
        <w:br/>
      </w:r>
    </w:p>
    <w:p>
      <w:pPr>
        <w:pStyle w:val="ListParagraph"/>
        <w:numPr>
          <w:ilvl w:val="0"/>
          <w:numId w:val="100508840"/>
        </w:numPr>
        <w:ind w:left="360"/>
      </w:pPr>
      <w:r>
        <w:t xml:space="preserve">Hoe gaat u de bekendmakingsprocedure van een openbaarmakingsbesluit bij actieve openbaarmaking inrichten?</w:t>
      </w:r>
      <w:r>
        <w:br/>
      </w:r>
    </w:p>
    <w:p>
      <w:pPr>
        <w:pStyle w:val="ListParagraph"/>
        <w:numPr>
          <w:ilvl w:val="0"/>
          <w:numId w:val="100508840"/>
        </w:numPr>
        <w:ind w:left="360"/>
      </w:pPr>
      <w:r>
        <w:t xml:space="preserve">Hoe betrekt u derde-belanghebbenden bij het horen tijdens een bezwaarprocedure in een Woo-procedure op grond van artikel 7:2 van de Awb?</w:t>
      </w:r>
      <w:r>
        <w:br/>
      </w:r>
    </w:p>
    <w:p>
      <w:pPr>
        <w:pStyle w:val="ListParagraph"/>
        <w:numPr>
          <w:ilvl w:val="0"/>
          <w:numId w:val="100508840"/>
        </w:numPr>
        <w:ind w:left="360"/>
      </w:pPr>
      <w:r>
        <w:t xml:space="preserve">Waarom zijn derde-belanghebbenden niet betrokken bij het horen in Woo-procedure Woo/2023/066?</w:t>
      </w:r>
      <w:r>
        <w:br/>
      </w:r>
    </w:p>
    <w:p>
      <w:pPr>
        <w:pStyle w:val="ListParagraph"/>
        <w:numPr>
          <w:ilvl w:val="0"/>
          <w:numId w:val="100508840"/>
        </w:numPr>
        <w:ind w:left="360"/>
      </w:pPr>
      <w:r>
        <w:t xml:space="preserve">Hoeveel bezwaarschriften zijn als beroepschrift doorgestuurd aan de rechtbank in Woo-procedure Woo/2023/066?</w:t>
      </w:r>
      <w:r>
        <w:br/>
      </w:r>
    </w:p>
    <w:p>
      <w:pPr>
        <w:pStyle w:val="ListParagraph"/>
        <w:numPr>
          <w:ilvl w:val="0"/>
          <w:numId w:val="100508840"/>
        </w:numPr>
        <w:ind w:left="360"/>
      </w:pPr>
      <w:r>
        <w:t xml:space="preserve">Klopt het dat het niet horen van derde-belanghebbende op basis van de vaste jurisprudentie leidt tot het veroordelen van het bestuursorgaan tot vergoeding van het griffierecht en proceskosten (zie bijvoorbeeld de uitspraak van de Rechtbank Gelderland op 30 oktober 2026 (ECLI:NL:RBGEL:2025:9169))?</w:t>
      </w:r>
      <w:r>
        <w:br/>
      </w:r>
    </w:p>
    <w:p>
      <w:pPr>
        <w:pStyle w:val="ListParagraph"/>
        <w:numPr>
          <w:ilvl w:val="0"/>
          <w:numId w:val="100508840"/>
        </w:numPr>
        <w:ind w:left="360"/>
      </w:pPr>
      <w:r>
        <w:t xml:space="preserve">Klopt het dat RVO en/ of u de bezwaarmakers in Woo-procedure Woo/2023/066 onjuist heeft geïnformeerd over de mogelijkheid om bezwaar te maken tegen het Woo-besluit?</w:t>
      </w:r>
      <w:r>
        <w:br/>
      </w:r>
    </w:p>
    <w:p>
      <w:pPr>
        <w:pStyle w:val="ListParagraph"/>
        <w:numPr>
          <w:ilvl w:val="0"/>
          <w:numId w:val="100508840"/>
        </w:numPr>
        <w:ind w:left="360"/>
      </w:pPr>
      <w:r>
        <w:t xml:space="preserve">Deelt u de opvatting dat het op de weg ligt van RVO en/ of u om het griffierecht te betalen voor de bezwaarden van wie het bezwaarschrift als beroepschrift naar de rechtbank is doorgezonden in Woo-procedure Woo/2023/066? Dit omdat dit voortvloeit uit uw fout en u hoogstwaarschijnlijk sowieso wordt veroordeeld tot het vergoeden van griffierecht in verband met het niet betrekken van de derde-belanghebbenden bij de bezwaarprocedure?</w:t>
      </w:r>
      <w:r>
        <w:br/>
      </w:r>
    </w:p>
    <w:p>
      <w:pPr>
        <w:pStyle w:val="ListParagraph"/>
        <w:numPr>
          <w:ilvl w:val="0"/>
          <w:numId w:val="100508840"/>
        </w:numPr>
        <w:ind w:left="360"/>
      </w:pPr>
      <w:r>
        <w:t xml:space="preserve">Bent u bereid om voor alle bezwaarden in Woo-procedure Woo/2023/066 de griffierechten te betalen? Zo nee, waarom niet?</w:t>
      </w:r>
      <w:r>
        <w:br/>
      </w:r>
    </w:p>
    <w:p>
      <w:pPr>
        <w:pStyle w:val="ListParagraph"/>
        <w:numPr>
          <w:ilvl w:val="0"/>
          <w:numId w:val="100508840"/>
        </w:numPr>
        <w:ind w:left="360"/>
      </w:pPr>
      <w:r>
        <w:t xml:space="preserve">Welke documenten vallen volgens u onder de definitie van “officiële documenten” zoals gebruikt in artikel 86 van Vo. (EU) 2016/679?</w:t>
      </w:r>
      <w:r>
        <w:br/>
      </w:r>
    </w:p>
    <w:p>
      <w:pPr>
        <w:pStyle w:val="ListParagraph"/>
        <w:numPr>
          <w:ilvl w:val="0"/>
          <w:numId w:val="100508840"/>
        </w:numPr>
        <w:ind w:left="360"/>
      </w:pPr>
      <w:r>
        <w:t xml:space="preserve">Deelt u de analyse dat artikel 86 van Vo. (EU) 2016/679 is geïntroduceerd op verzoek van Scandinavische landen, waar het openbaarmakingsregime slechts van toepassing is op “officiële documenten” in plaats van alle documenten?</w:t>
      </w:r>
      <w:r>
        <w:br/>
      </w:r>
    </w:p>
    <w:p>
      <w:pPr>
        <w:pStyle w:val="ListParagraph"/>
        <w:numPr>
          <w:ilvl w:val="0"/>
          <w:numId w:val="100508840"/>
        </w:numPr>
        <w:ind w:left="360"/>
      </w:pPr>
      <w:r>
        <w:t xml:space="preserve">Deelt u de analyse dat niet alle documenten die zich onder een bestuursorgaan bevinden kwalificeren als “officiële documenten”?</w:t>
      </w:r>
      <w:r>
        <w:br/>
      </w:r>
    </w:p>
    <w:p>
      <w:pPr>
        <w:pStyle w:val="ListParagraph"/>
        <w:numPr>
          <w:ilvl w:val="0"/>
          <w:numId w:val="100508840"/>
        </w:numPr>
        <w:ind w:left="360"/>
      </w:pPr>
      <w:r>
        <w:t xml:space="preserve">Deelt u de opvatting dat de bezwaarprocedure in de Woo-procedures met zaaknummers Woo/2024/040 en Woo/2024/073 onzorgvuldig is verlopen? Zo nee, waarom niet?</w:t>
      </w:r>
      <w:r>
        <w:br/>
      </w:r>
    </w:p>
    <w:p>
      <w:pPr>
        <w:pStyle w:val="ListParagraph"/>
        <w:numPr>
          <w:ilvl w:val="0"/>
          <w:numId w:val="100508840"/>
        </w:numPr>
        <w:ind w:left="360"/>
      </w:pPr>
      <w:r>
        <w:t xml:space="preserve">Waarom is in de Woo-procedures met zaaknummers Woo/2024/040 en Woo/2024/073 niet ingegaan op de individuele bezwaargronden van bezwaarmakers?</w:t>
      </w:r>
      <w:r>
        <w:br/>
      </w:r>
    </w:p>
    <w:p>
      <w:pPr>
        <w:pStyle w:val="ListParagraph"/>
        <w:numPr>
          <w:ilvl w:val="0"/>
          <w:numId w:val="100508840"/>
        </w:numPr>
        <w:ind w:left="360"/>
      </w:pPr>
      <w:r>
        <w:t xml:space="preserve">Waarom zijn bezwaarmakers niet gehoord in de Woo-procedures met zaaknummers Woo/2024/040 en Woo/2024/073?</w:t>
      </w:r>
      <w:r>
        <w:br/>
      </w:r>
    </w:p>
    <w:p>
      <w:pPr>
        <w:pStyle w:val="ListParagraph"/>
        <w:numPr>
          <w:ilvl w:val="0"/>
          <w:numId w:val="100508840"/>
        </w:numPr>
        <w:ind w:left="360"/>
      </w:pPr>
      <w:r>
        <w:t xml:space="preserve">Denkt u dat de bezwaarmakers zich serieus genomen voelen?</w:t>
      </w:r>
      <w:r>
        <w:br/>
      </w:r>
    </w:p>
    <w:p>
      <w:pPr>
        <w:pStyle w:val="ListParagraph"/>
        <w:numPr>
          <w:ilvl w:val="0"/>
          <w:numId w:val="100508840"/>
        </w:numPr>
        <w:ind w:left="360"/>
      </w:pPr>
      <w:r>
        <w:t xml:space="preserve">Bent u zich bewust dat de handelswijze, door de bezwaren in de Woo-procedures met zaaknummers Woo/2024/040 en Woo/2024/073 zonder horen kennelijk ongegrond te verklaren, zeer afwijkt van de normale behandeling van bezwaarschriften en ook zeer afwijkt van de behandeling van bezwaren rondom de openbaarmaking van emissiegegevens door andere bestuursorganen?</w:t>
      </w:r>
      <w:r>
        <w:br/>
      </w:r>
    </w:p>
    <w:p>
      <w:pPr>
        <w:pStyle w:val="ListParagraph"/>
        <w:numPr>
          <w:ilvl w:val="0"/>
          <w:numId w:val="100508840"/>
        </w:numPr>
        <w:ind w:left="360"/>
      </w:pPr>
      <w:r>
        <w:t xml:space="preserve">Bent u voornemens om ook in de toekomst bezwaarmakers via een standaardbrief, zonder horen, kennelijk ongegrond te verklaren?</w:t>
      </w:r>
      <w:r>
        <w:br/>
      </w:r>
    </w:p>
    <w:p>
      <w:pPr>
        <w:pStyle w:val="ListParagraph"/>
        <w:numPr>
          <w:ilvl w:val="0"/>
          <w:numId w:val="100508840"/>
        </w:numPr>
        <w:ind w:left="360"/>
      </w:pPr>
      <w:r>
        <w:t xml:space="preserve">Waarom zijn in de Woo-procedures met Woo-procedures met zaaknummers Woo/2024/040 en Woo/2024/073 allemaal aparte beslissingen op bezwaar genomen, terwijl er bij verschillende bezwaren tegen één besluit één beslissing op bezwaar genomen moet worden (zie onder andere de uitspraak van de Rechtbank Gelderland van 31 augustus 2018 (ECLI:NL:RBGEL:2018:3763)?</w:t>
      </w:r>
      <w:r>
        <w:br/>
      </w:r>
    </w:p>
    <w:p>
      <w:pPr>
        <w:pStyle w:val="ListParagraph"/>
        <w:numPr>
          <w:ilvl w:val="0"/>
          <w:numId w:val="100508840"/>
        </w:numPr>
        <w:ind w:left="360"/>
      </w:pPr>
      <w:r>
        <w:t xml:space="preserve">Waarom zijn bezwaren tegen verschillende primaire besluiten in een veelvoud geconsolideerde beslissingen op bezwaar afgedaan, waarbij per beslissing op bezwaar zowel werd besloten op bezwaren tegen de besluiten met kenmerk Woo/2024/040 als ook kenmerk Woo/2024/073? Acht u dat er voldoende samenhang tussen deze primaire besluiten is om een gecombineerde beslissing op het bezwaar te nemen? Zo ja, waarom?</w:t>
      </w:r>
      <w:r>
        <w:br/>
      </w:r>
    </w:p>
    <w:p>
      <w:pPr>
        <w:pStyle w:val="ListParagraph"/>
        <w:numPr>
          <w:ilvl w:val="0"/>
          <w:numId w:val="100508840"/>
        </w:numPr>
        <w:ind w:left="360"/>
      </w:pPr>
      <w:r>
        <w:t xml:space="preserve">Wat als straks een beroepszaak van één van de bezwaarden in de Woo-procedures met Woo-procedures met zaaknummers Woo/2024/040 of Woo/2024/073 wél gegrond wordt verklaard en de beslissing op bezwaar vernietigd wordt, maar andere bezwaarden niet in beroep gaan? Moeten dan alle beslissingen op de bezwaren als vernietigd worden beschouwd? Gaat u dan het volledige primaire besluit herroepen bij een nieuwe beslissing op het bezwaar?</w:t>
      </w:r>
      <w:r>
        <w:br/>
      </w:r>
    </w:p>
    <w:p>
      <w:pPr>
        <w:pStyle w:val="ListParagraph"/>
        <w:numPr>
          <w:ilvl w:val="0"/>
          <w:numId w:val="100508840"/>
        </w:numPr>
        <w:ind w:left="360"/>
      </w:pPr>
      <w:r>
        <w:t xml:space="preserve">Deelt u de opvatting dat de Woo een zware en complexe uitvoeringslast met zich meebrengt?</w:t>
      </w:r>
      <w:r>
        <w:br/>
      </w:r>
    </w:p>
    <w:p>
      <w:pPr>
        <w:pStyle w:val="ListParagraph"/>
        <w:numPr>
          <w:ilvl w:val="0"/>
          <w:numId w:val="100508840"/>
        </w:numPr>
        <w:ind w:left="360"/>
      </w:pPr>
      <w:r>
        <w:t xml:space="preserve">Is de regering voornemens om met wetsvoorstellen te komen om de Woo aan te passen?</w:t>
      </w:r>
      <w:r>
        <w:br/>
      </w:r>
    </w:p>
    <w:p>
      <w:pPr>
        <w:pStyle w:val="ListParagraph"/>
        <w:numPr>
          <w:ilvl w:val="0"/>
          <w:numId w:val="100508840"/>
        </w:numPr>
        <w:ind w:left="360"/>
      </w:pPr>
      <w:r>
        <w:t xml:space="preserve">Hoe staat het met de uitvoering van de motie-Flach/Van der Plas over het begrip "emissiegegevens" in de milieu-informatierichtlijn beter afbakenen (Kamerstuk 32802, nr. 120)?</w:t>
      </w:r>
      <w:r>
        <w:br/>
      </w:r>
    </w:p>
    <w:p>
      <w:pPr>
        <w:pStyle w:val="ListParagraph"/>
        <w:numPr>
          <w:ilvl w:val="0"/>
          <w:numId w:val="100508840"/>
        </w:numPr>
        <w:ind w:left="360"/>
      </w:pPr>
      <w:r>
        <w:t xml:space="preserve">Hoe staat het met de uitvoering van de motie-Wijen-Nass over de mogelijkheid verkennen om het Verdrag van Aarhus op te zeggen (Kamerstuk 36512, nr. 83)?</w:t>
      </w:r>
      <w:r>
        <w:br/>
      </w:r>
    </w:p>
    <w:p>
      <w:pPr>
        <w:pStyle w:val="ListParagraph"/>
        <w:numPr>
          <w:ilvl w:val="0"/>
          <w:numId w:val="100508840"/>
        </w:numPr>
        <w:ind w:left="360"/>
      </w:pPr>
      <w:r>
        <w:t xml:space="preserve">Kunt u deze vragen betrekken bij de antwoorden van het schriftelijk overleg “Zienswijzeprocedure Woo-verzoeken emissiegegevens”?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