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34AD" w:rsidR="00CD5856" w:rsidP="00483A53" w:rsidRDefault="00CD5856" w14:paraId="11668225" w14:textId="77777777">
      <w:pPr>
        <w:rPr>
          <w:szCs w:val="18"/>
        </w:rPr>
        <w:sectPr w:rsidRPr="009834AD"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9834AD" w:rsidR="009834AD" w:rsidP="00483A53" w:rsidRDefault="009834AD" w14:paraId="249B8D99" w14:textId="77777777">
      <w:pPr>
        <w:pStyle w:val="Huisstijl-Aanhef"/>
        <w:rPr>
          <w:szCs w:val="18"/>
        </w:rPr>
      </w:pPr>
    </w:p>
    <w:p w:rsidRPr="009834AD" w:rsidR="00CD5856" w:rsidP="00483A53" w:rsidRDefault="00000000" w14:paraId="7E93FD58" w14:textId="77777777">
      <w:pPr>
        <w:pStyle w:val="Huisstijl-Aanhef"/>
        <w:rPr>
          <w:szCs w:val="18"/>
        </w:rPr>
      </w:pPr>
      <w:r w:rsidRPr="009834AD">
        <w:rPr>
          <w:szCs w:val="18"/>
        </w:rPr>
        <w:t>Geachte voorzitter,</w:t>
      </w:r>
    </w:p>
    <w:p w:rsidRPr="009834AD" w:rsidR="009463DD" w:rsidP="00483A53" w:rsidRDefault="00000000" w14:paraId="0E6B2636" w14:textId="77777777">
      <w:pPr>
        <w:pStyle w:val="Huisstijl-Aanhef"/>
        <w:spacing w:before="0" w:after="0" w:line="240" w:lineRule="atLeast"/>
        <w:rPr>
          <w:szCs w:val="18"/>
        </w:rPr>
      </w:pPr>
      <w:r w:rsidRPr="009834AD">
        <w:rPr>
          <w:szCs w:val="18"/>
        </w:rPr>
        <w:t xml:space="preserve">De afgelopen maanden hebben diverse partijen gevraagd om een </w:t>
      </w:r>
      <w:bookmarkStart w:name="_Hlk229584457" w:id="2"/>
      <w:r w:rsidRPr="009834AD">
        <w:rPr>
          <w:szCs w:val="18"/>
        </w:rPr>
        <w:t xml:space="preserve">aparte route </w:t>
      </w:r>
      <w:r w:rsidRPr="009834AD" w:rsidR="00B93907">
        <w:rPr>
          <w:szCs w:val="18"/>
        </w:rPr>
        <w:t xml:space="preserve">voor de beoordeling van de vergoeding </w:t>
      </w:r>
      <w:r w:rsidRPr="009834AD">
        <w:rPr>
          <w:szCs w:val="18"/>
        </w:rPr>
        <w:t>voor weesgeneesmiddelen</w:t>
      </w:r>
      <w:r>
        <w:rPr>
          <w:rStyle w:val="Voetnootmarkering"/>
          <w:szCs w:val="18"/>
        </w:rPr>
        <w:footnoteReference w:id="1"/>
      </w:r>
      <w:r w:rsidRPr="009834AD">
        <w:rPr>
          <w:szCs w:val="18"/>
        </w:rPr>
        <w:t xml:space="preserve">. </w:t>
      </w:r>
      <w:bookmarkEnd w:id="2"/>
      <w:r w:rsidRPr="009834AD">
        <w:rPr>
          <w:szCs w:val="18"/>
        </w:rPr>
        <w:t xml:space="preserve">Zij geven aan dat effectiviteit van weesgeneesmiddelen vaak moeilijk overtuigend aan te tonen is </w:t>
      </w:r>
      <w:r w:rsidRPr="009834AD" w:rsidR="00166580">
        <w:rPr>
          <w:szCs w:val="18"/>
        </w:rPr>
        <w:t>vanwege</w:t>
      </w:r>
      <w:r w:rsidRPr="009834AD">
        <w:rPr>
          <w:szCs w:val="18"/>
        </w:rPr>
        <w:t xml:space="preserve"> kleine patiëntgroepen en beperkte data. De partijen stellen dat het huidige vergoedingssysteem in de praktijk onvoldoende aansluit bij de kenmerken van (zeer) zeldzame aandoeningen en wijzen op pilots zoals het ODAP (</w:t>
      </w:r>
      <w:proofErr w:type="spellStart"/>
      <w:r w:rsidRPr="009834AD">
        <w:rPr>
          <w:i/>
          <w:iCs/>
          <w:szCs w:val="18"/>
        </w:rPr>
        <w:t>Orphan</w:t>
      </w:r>
      <w:proofErr w:type="spellEnd"/>
      <w:r w:rsidRPr="009834AD">
        <w:rPr>
          <w:i/>
          <w:iCs/>
          <w:szCs w:val="18"/>
        </w:rPr>
        <w:t xml:space="preserve"> Drug Access Protocol</w:t>
      </w:r>
      <w:r w:rsidRPr="009834AD">
        <w:rPr>
          <w:szCs w:val="18"/>
        </w:rPr>
        <w:t xml:space="preserve">) waarbij gegevens over de effectiviteit worden verzameld na opname in het basispakket. </w:t>
      </w:r>
    </w:p>
    <w:p w:rsidRPr="009834AD" w:rsidR="009463DD" w:rsidP="00483A53" w:rsidRDefault="009463DD" w14:paraId="3FA5A83B" w14:textId="77777777">
      <w:pPr>
        <w:spacing w:line="240" w:lineRule="atLeast"/>
        <w:contextualSpacing/>
        <w:rPr>
          <w:szCs w:val="18"/>
        </w:rPr>
      </w:pPr>
    </w:p>
    <w:p w:rsidRPr="009834AD" w:rsidR="009463DD" w:rsidP="00483A53" w:rsidRDefault="00000000" w14:paraId="5133A544" w14:textId="77777777">
      <w:pPr>
        <w:spacing w:line="240" w:lineRule="atLeast"/>
        <w:contextualSpacing/>
        <w:rPr>
          <w:szCs w:val="18"/>
        </w:rPr>
      </w:pPr>
      <w:r w:rsidRPr="009834AD">
        <w:rPr>
          <w:szCs w:val="18"/>
        </w:rPr>
        <w:t>In deze brief wordt uitgelegd dat het kabinet geen aanleiding ziet om een aparte route voor weesgeneesmiddelen te ontwikkelen. Het kabinet is van mening dat het huidige beoordelingskader geschikt is om ook bij weesgeneesmiddelen te komen tot een positief oordeel over de effectiviteit</w:t>
      </w:r>
      <w:r>
        <w:rPr>
          <w:rStyle w:val="Voetnootmarkering"/>
          <w:szCs w:val="18"/>
        </w:rPr>
        <w:footnoteReference w:id="2"/>
      </w:r>
      <w:r w:rsidRPr="009834AD">
        <w:rPr>
          <w:szCs w:val="18"/>
        </w:rPr>
        <w:t xml:space="preserve"> en kan worden toegelaten tot het verzekerde pakket, eventueel gecombineerd met aanvullende beheers</w:t>
      </w:r>
      <w:r w:rsidRPr="009834AD" w:rsidR="00166580">
        <w:rPr>
          <w:szCs w:val="18"/>
        </w:rPr>
        <w:t>maatregelen</w:t>
      </w:r>
      <w:r w:rsidRPr="009834AD">
        <w:rPr>
          <w:szCs w:val="18"/>
        </w:rPr>
        <w:t xml:space="preserve"> voor een gepaste inzet. Wel wordt overleg gevoerd met het Zorginstituut over een aparte route voor ultra-weesgeneesmiddelen. In deze brief wordt dit verder toegelicht. </w:t>
      </w:r>
    </w:p>
    <w:p w:rsidRPr="009834AD" w:rsidR="009463DD" w:rsidP="00483A53" w:rsidRDefault="009463DD" w14:paraId="455806A2" w14:textId="77777777">
      <w:pPr>
        <w:spacing w:line="240" w:lineRule="atLeast"/>
        <w:contextualSpacing/>
        <w:rPr>
          <w:szCs w:val="18"/>
        </w:rPr>
      </w:pPr>
    </w:p>
    <w:p w:rsidRPr="009834AD" w:rsidR="009463DD" w:rsidP="00483A53" w:rsidRDefault="00000000" w14:paraId="5D034207" w14:textId="77777777">
      <w:pPr>
        <w:spacing w:line="240" w:lineRule="atLeast"/>
        <w:contextualSpacing/>
        <w:rPr>
          <w:szCs w:val="18"/>
        </w:rPr>
      </w:pPr>
      <w:r w:rsidRPr="009834AD">
        <w:rPr>
          <w:szCs w:val="18"/>
        </w:rPr>
        <w:t xml:space="preserve">Gedurende het afgelopen jaar is er ook veel aandacht geweest voor het weesgeneesmiddel </w:t>
      </w:r>
      <w:proofErr w:type="spellStart"/>
      <w:r w:rsidRPr="009834AD">
        <w:rPr>
          <w:szCs w:val="18"/>
        </w:rPr>
        <w:t>Voxzogo</w:t>
      </w:r>
      <w:proofErr w:type="spellEnd"/>
      <w:r>
        <w:rPr>
          <w:rStyle w:val="Voetnootmarkering"/>
          <w:szCs w:val="18"/>
        </w:rPr>
        <w:footnoteReference w:id="3"/>
      </w:r>
      <w:r w:rsidRPr="009834AD">
        <w:rPr>
          <w:szCs w:val="18"/>
        </w:rPr>
        <w:t xml:space="preserve">. Daar wordt later in deze brief op ingegaan. </w:t>
      </w:r>
    </w:p>
    <w:p w:rsidRPr="009834AD" w:rsidR="009463DD" w:rsidP="00483A53" w:rsidRDefault="009463DD" w14:paraId="6108E3D4" w14:textId="77777777">
      <w:pPr>
        <w:spacing w:line="240" w:lineRule="atLeast"/>
        <w:contextualSpacing/>
        <w:rPr>
          <w:szCs w:val="18"/>
        </w:rPr>
      </w:pPr>
    </w:p>
    <w:p w:rsidRPr="009834AD" w:rsidR="009463DD" w:rsidP="00483A53" w:rsidRDefault="00000000" w14:paraId="2D191B53" w14:textId="77777777">
      <w:pPr>
        <w:pStyle w:val="Huisstijl-Aanhef"/>
        <w:spacing w:before="0" w:after="0" w:line="240" w:lineRule="atLeast"/>
        <w:rPr>
          <w:b/>
          <w:bCs/>
          <w:szCs w:val="18"/>
        </w:rPr>
      </w:pPr>
      <w:r w:rsidRPr="009834AD">
        <w:rPr>
          <w:b/>
          <w:bCs/>
          <w:szCs w:val="18"/>
        </w:rPr>
        <w:lastRenderedPageBreak/>
        <w:t xml:space="preserve">Achtergrond </w:t>
      </w:r>
    </w:p>
    <w:p w:rsidRPr="009834AD" w:rsidR="009463DD" w:rsidP="00483A53" w:rsidRDefault="00000000" w14:paraId="373A1ACA" w14:textId="77777777">
      <w:pPr>
        <w:pStyle w:val="Huisstijl-Aanhef"/>
        <w:spacing w:before="0" w:after="0" w:line="240" w:lineRule="atLeast"/>
        <w:rPr>
          <w:szCs w:val="18"/>
        </w:rPr>
      </w:pPr>
      <w:r w:rsidRPr="009834AD">
        <w:rPr>
          <w:szCs w:val="18"/>
        </w:rPr>
        <w:t xml:space="preserve">Diagnostiek wordt steeds meer gepersonaliseerd, waardoor geneesmiddelen vaker voor relatief kleine aantallen patiënten worden ontwikkeld. Dit betreft niet alleen zeldzame erfelijke ziektes maar bijvoorbeeld ook de steeds verdere onderverdeling </w:t>
      </w:r>
      <w:r w:rsidRPr="009834AD" w:rsidR="005F5AC3">
        <w:rPr>
          <w:szCs w:val="18"/>
        </w:rPr>
        <w:t xml:space="preserve">binnen </w:t>
      </w:r>
      <w:r w:rsidRPr="009834AD">
        <w:rPr>
          <w:szCs w:val="18"/>
        </w:rPr>
        <w:t xml:space="preserve">kankersoorten. Deze ontwikkeling kan leiden tot vragen over de toepassing van het Nederlandse vergoedingssysteem. </w:t>
      </w:r>
    </w:p>
    <w:p w:rsidRPr="009834AD" w:rsidR="009463DD" w:rsidP="00483A53" w:rsidRDefault="009463DD" w14:paraId="4B2296D7" w14:textId="77777777">
      <w:pPr>
        <w:pStyle w:val="Huisstijl-Aanhef"/>
        <w:spacing w:before="0" w:after="0" w:line="240" w:lineRule="atLeast"/>
        <w:rPr>
          <w:szCs w:val="18"/>
        </w:rPr>
      </w:pPr>
    </w:p>
    <w:p w:rsidRPr="009834AD" w:rsidR="009463DD" w:rsidP="00483A53" w:rsidRDefault="00000000" w14:paraId="09019FAF" w14:textId="77777777">
      <w:pPr>
        <w:pStyle w:val="Huisstijl-Aanhef"/>
        <w:spacing w:before="0" w:after="0" w:line="240" w:lineRule="atLeast"/>
        <w:rPr>
          <w:szCs w:val="18"/>
        </w:rPr>
      </w:pPr>
      <w:r w:rsidRPr="009834AD">
        <w:rPr>
          <w:szCs w:val="18"/>
        </w:rPr>
        <w:t xml:space="preserve">Het is belangrijk om onderscheid te maken tussen weesindicaties met grotere aantallen patiënten en ultra-wees indicaties. Dit heeft namelijk consequenties voor de mogelijkheid tot beoordeling van (kosten)effectiviteit. Een weesgeneesmiddel is een geneesmiddel voor een zeldzame ziekte. In Europa wordt een ziekte als zeldzaam beschouwd als deze minder dan 1 op de 2.000 mensen treft. Het kan dan alsnog gaan om honderden patiënten in Nederland. Voor ultra-weesgeneesmiddelen is geen duidelijke definitie, maar soms wordt een aantal van 1 op de 50.000 mensen gehanteerd. Het kan hierbij gaan om slechts enkele patiënten in Nederland. </w:t>
      </w:r>
    </w:p>
    <w:p w:rsidRPr="009834AD" w:rsidR="009463DD" w:rsidP="00483A53" w:rsidRDefault="009463DD" w14:paraId="1E57AD6E" w14:textId="77777777">
      <w:pPr>
        <w:pStyle w:val="Huisstijl-Aanhef"/>
        <w:spacing w:before="0" w:after="0" w:line="240" w:lineRule="atLeast"/>
        <w:rPr>
          <w:szCs w:val="18"/>
        </w:rPr>
      </w:pPr>
    </w:p>
    <w:p w:rsidRPr="009834AD" w:rsidR="009463DD" w:rsidP="00483A53" w:rsidRDefault="00000000" w14:paraId="24A518EC" w14:textId="77777777">
      <w:pPr>
        <w:pStyle w:val="Huisstijl-Aanhef"/>
        <w:spacing w:before="0" w:after="0" w:line="240" w:lineRule="atLeast"/>
        <w:rPr>
          <w:szCs w:val="18"/>
        </w:rPr>
      </w:pPr>
      <w:r w:rsidRPr="009834AD">
        <w:rPr>
          <w:b/>
          <w:bCs/>
          <w:szCs w:val="18"/>
        </w:rPr>
        <w:t>Opbouw van de brief</w:t>
      </w:r>
    </w:p>
    <w:p w:rsidRPr="009834AD" w:rsidR="009463DD" w:rsidP="00483A53" w:rsidRDefault="00000000" w14:paraId="6CB9E5E8" w14:textId="77777777">
      <w:pPr>
        <w:pStyle w:val="Huisstijl-Aanhef"/>
        <w:spacing w:before="0" w:after="0" w:line="240" w:lineRule="atLeast"/>
        <w:rPr>
          <w:szCs w:val="18"/>
          <w:u w:val="single"/>
        </w:rPr>
      </w:pPr>
      <w:r w:rsidRPr="009834AD">
        <w:rPr>
          <w:szCs w:val="18"/>
        </w:rPr>
        <w:t xml:space="preserve">In deze brief wordt eerst ingegaan op de beoordeling van weesgeneesmiddelen. Daarbij wordt ook aandacht besteed aan de ODAP, de Voorwaardelijke Toelating weesgeneesmiddelen, </w:t>
      </w:r>
      <w:proofErr w:type="spellStart"/>
      <w:r w:rsidRPr="009834AD">
        <w:rPr>
          <w:i/>
          <w:iCs/>
          <w:szCs w:val="18"/>
        </w:rPr>
        <w:t>conditionals</w:t>
      </w:r>
      <w:proofErr w:type="spellEnd"/>
      <w:r w:rsidRPr="009834AD">
        <w:rPr>
          <w:szCs w:val="18"/>
        </w:rPr>
        <w:t xml:space="preserve"> en </w:t>
      </w:r>
      <w:proofErr w:type="spellStart"/>
      <w:r w:rsidRPr="009834AD">
        <w:rPr>
          <w:i/>
          <w:iCs/>
          <w:szCs w:val="18"/>
        </w:rPr>
        <w:t>exceptionals</w:t>
      </w:r>
      <w:proofErr w:type="spellEnd"/>
      <w:r w:rsidRPr="009834AD">
        <w:rPr>
          <w:szCs w:val="18"/>
        </w:rPr>
        <w:t xml:space="preserve"> (VT), en </w:t>
      </w:r>
      <w:proofErr w:type="spellStart"/>
      <w:r w:rsidRPr="009834AD">
        <w:rPr>
          <w:szCs w:val="18"/>
        </w:rPr>
        <w:t>Voxzogo</w:t>
      </w:r>
      <w:proofErr w:type="spellEnd"/>
      <w:r w:rsidRPr="009834AD">
        <w:rPr>
          <w:szCs w:val="18"/>
        </w:rPr>
        <w:t xml:space="preserve">. Daarna gaat de brief in op de ultra-weesgeneesmiddelen. </w:t>
      </w:r>
    </w:p>
    <w:p w:rsidRPr="009834AD" w:rsidR="009463DD" w:rsidP="00483A53" w:rsidRDefault="009463DD" w14:paraId="32B5DCC2" w14:textId="77777777">
      <w:pPr>
        <w:pStyle w:val="Huisstijl-Aanhef"/>
        <w:spacing w:before="0" w:after="0" w:line="240" w:lineRule="atLeast"/>
        <w:rPr>
          <w:szCs w:val="18"/>
          <w:u w:val="single"/>
        </w:rPr>
      </w:pPr>
    </w:p>
    <w:p w:rsidRPr="009834AD" w:rsidR="009463DD" w:rsidP="00483A53" w:rsidRDefault="00000000" w14:paraId="05E2D27A" w14:textId="77777777">
      <w:pPr>
        <w:pStyle w:val="Huisstijl-Aanhef"/>
        <w:spacing w:before="0" w:after="0" w:line="240" w:lineRule="atLeast"/>
        <w:rPr>
          <w:b/>
          <w:bCs/>
          <w:szCs w:val="18"/>
        </w:rPr>
      </w:pPr>
      <w:r w:rsidRPr="009834AD">
        <w:rPr>
          <w:b/>
          <w:bCs/>
          <w:szCs w:val="18"/>
        </w:rPr>
        <w:t>Weesgeneesmiddelen</w:t>
      </w:r>
    </w:p>
    <w:p w:rsidRPr="009834AD" w:rsidR="00B93907" w:rsidP="00483A53" w:rsidRDefault="00000000" w14:paraId="69B1372F" w14:textId="77777777">
      <w:pPr>
        <w:pStyle w:val="Huisstijl-Aanhef"/>
        <w:spacing w:before="0" w:after="0" w:line="240" w:lineRule="atLeast"/>
        <w:rPr>
          <w:szCs w:val="18"/>
        </w:rPr>
      </w:pPr>
      <w:r w:rsidRPr="009834AD">
        <w:rPr>
          <w:szCs w:val="18"/>
        </w:rPr>
        <w:t xml:space="preserve">Het is belangrijk om te onderstrepen dat het voor weesgeneesmiddelen niet per definitie zo is dat bewijs voor de pakketwaardigheid niet of moeilijk is aan te tonen. Weesgeneesmiddelen kunnen via de reguliere vergoedingsroute worden beoordeeld en, indien wordt voldaan aan de pakketcriteria, opgenomen in het basispakket. </w:t>
      </w:r>
    </w:p>
    <w:p w:rsidRPr="009834AD" w:rsidR="009463DD" w:rsidP="00483A53" w:rsidRDefault="00000000" w14:paraId="4E9EEE00" w14:textId="77777777">
      <w:pPr>
        <w:pStyle w:val="Huisstijl-Aanhef"/>
        <w:spacing w:before="0" w:after="0" w:line="240" w:lineRule="atLeast"/>
        <w:rPr>
          <w:szCs w:val="18"/>
        </w:rPr>
      </w:pPr>
      <w:r w:rsidRPr="009834AD">
        <w:rPr>
          <w:szCs w:val="18"/>
        </w:rPr>
        <w:t xml:space="preserve">Het Zorginstituut kan daarbij rekening houden met contextuele factoren. </w:t>
      </w:r>
      <w:r w:rsidRPr="009834AD" w:rsidR="005F5AC3">
        <w:rPr>
          <w:szCs w:val="18"/>
        </w:rPr>
        <w:t>Hiermee wordt bedoeld dat het Zorginstituut v</w:t>
      </w:r>
      <w:r w:rsidRPr="009834AD">
        <w:rPr>
          <w:szCs w:val="18"/>
        </w:rPr>
        <w:t xml:space="preserve">oor het bepalen van de </w:t>
      </w:r>
      <w:r w:rsidRPr="009834AD" w:rsidR="005F5AC3">
        <w:rPr>
          <w:szCs w:val="18"/>
        </w:rPr>
        <w:t xml:space="preserve">effectiviteit </w:t>
      </w:r>
      <w:r w:rsidRPr="009834AD">
        <w:rPr>
          <w:szCs w:val="18"/>
        </w:rPr>
        <w:t xml:space="preserve">rekening </w:t>
      </w:r>
      <w:r w:rsidRPr="009834AD" w:rsidR="005F5AC3">
        <w:rPr>
          <w:szCs w:val="18"/>
        </w:rPr>
        <w:t xml:space="preserve">kan </w:t>
      </w:r>
      <w:r w:rsidRPr="009834AD">
        <w:rPr>
          <w:szCs w:val="18"/>
        </w:rPr>
        <w:t>houden met specifieke kenmerken van het middel, waaronder de ernst van de aandoening. Verder kan het Zorginstituut kijken naar wat passend bewijs is. Hierbij kan het Zorginstituut bijvoorbeeld accepteren dat er gebruik wordt gemaakt van surrogaateindpunten</w:t>
      </w:r>
      <w:r w:rsidRPr="009834AD" w:rsidR="005F5AC3">
        <w:rPr>
          <w:szCs w:val="18"/>
        </w:rPr>
        <w:t>. Dit betekent dat</w:t>
      </w:r>
      <w:r w:rsidRPr="009834AD">
        <w:rPr>
          <w:szCs w:val="18"/>
        </w:rPr>
        <w:t xml:space="preserve"> op een eerder moment al iets gezegd kan worden over mogelijke effectiviteit in de toekomst. Ook kan worden geconcludeerd dat de gouden standaard van een </w:t>
      </w:r>
      <w:proofErr w:type="spellStart"/>
      <w:r w:rsidRPr="009834AD">
        <w:rPr>
          <w:i/>
          <w:iCs/>
          <w:szCs w:val="18"/>
        </w:rPr>
        <w:t>Randomized</w:t>
      </w:r>
      <w:proofErr w:type="spellEnd"/>
      <w:r w:rsidRPr="009834AD">
        <w:rPr>
          <w:i/>
          <w:iCs/>
          <w:szCs w:val="18"/>
        </w:rPr>
        <w:t xml:space="preserve"> </w:t>
      </w:r>
      <w:proofErr w:type="spellStart"/>
      <w:r w:rsidRPr="009834AD">
        <w:rPr>
          <w:i/>
          <w:iCs/>
          <w:szCs w:val="18"/>
        </w:rPr>
        <w:t>Controlled</w:t>
      </w:r>
      <w:proofErr w:type="spellEnd"/>
      <w:r w:rsidRPr="009834AD">
        <w:rPr>
          <w:i/>
          <w:iCs/>
          <w:szCs w:val="18"/>
        </w:rPr>
        <w:t xml:space="preserve"> Trial</w:t>
      </w:r>
      <w:r w:rsidRPr="009834AD">
        <w:rPr>
          <w:szCs w:val="18"/>
        </w:rPr>
        <w:t xml:space="preserve"> (RCT)</w:t>
      </w:r>
      <w:r>
        <w:rPr>
          <w:rStyle w:val="Voetnootmarkering"/>
          <w:szCs w:val="18"/>
        </w:rPr>
        <w:footnoteReference w:id="4"/>
      </w:r>
      <w:r w:rsidRPr="009834AD">
        <w:rPr>
          <w:szCs w:val="18"/>
        </w:rPr>
        <w:t xml:space="preserve"> niet haalbaar en nodig is. Bovendien kan de situatie zoals het ontbreken van andere behandelopties worden meegewogen. Het Zorginstituut kan mij ook adviseren over omstandigheden die spelen bij weesgeneesmiddelen, zoals de ontwikkelingskosten. Daar kan bij de prijsonderhandelingen rekening mee worden gehouden.</w:t>
      </w:r>
    </w:p>
    <w:p w:rsidRPr="009834AD" w:rsidR="009463DD" w:rsidP="00483A53" w:rsidRDefault="009463DD" w14:paraId="421D4D5E" w14:textId="77777777">
      <w:pPr>
        <w:pStyle w:val="Huisstijl-Aanhef"/>
        <w:spacing w:before="0" w:after="0" w:line="240" w:lineRule="atLeast"/>
        <w:rPr>
          <w:szCs w:val="18"/>
        </w:rPr>
      </w:pPr>
    </w:p>
    <w:p w:rsidRPr="009834AD" w:rsidR="009463DD" w:rsidP="00483A53" w:rsidRDefault="00000000" w14:paraId="792DE10B" w14:textId="77777777">
      <w:pPr>
        <w:pStyle w:val="Huisstijl-Aanhef"/>
        <w:spacing w:before="0" w:after="0" w:line="240" w:lineRule="atLeast"/>
        <w:rPr>
          <w:szCs w:val="18"/>
        </w:rPr>
      </w:pPr>
      <w:r w:rsidRPr="009834AD">
        <w:rPr>
          <w:szCs w:val="18"/>
        </w:rPr>
        <w:t xml:space="preserve">Het Zorginstituut heeft geconstateerd dat </w:t>
      </w:r>
      <w:r w:rsidR="00B57B09">
        <w:rPr>
          <w:szCs w:val="18"/>
        </w:rPr>
        <w:t xml:space="preserve">de </w:t>
      </w:r>
      <w:r w:rsidRPr="009834AD">
        <w:rPr>
          <w:szCs w:val="18"/>
        </w:rPr>
        <w:t xml:space="preserve">beoordeling </w:t>
      </w:r>
      <w:r w:rsidR="00B57B09">
        <w:rPr>
          <w:szCs w:val="18"/>
        </w:rPr>
        <w:t xml:space="preserve">van de effectiviteit </w:t>
      </w:r>
      <w:r w:rsidRPr="009834AD">
        <w:rPr>
          <w:szCs w:val="18"/>
        </w:rPr>
        <w:t xml:space="preserve">voor weesgeneesmiddelen niet vaker negatief uitvalt dan </w:t>
      </w:r>
      <w:r w:rsidR="00B57B09">
        <w:rPr>
          <w:szCs w:val="18"/>
        </w:rPr>
        <w:t xml:space="preserve">de beoordeling van de effectiviteit </w:t>
      </w:r>
      <w:r w:rsidRPr="009834AD">
        <w:rPr>
          <w:szCs w:val="18"/>
        </w:rPr>
        <w:t xml:space="preserve">voor niet-weesgeneesmiddelen. Dit bevestigt dat het </w:t>
      </w:r>
      <w:bookmarkStart w:name="_Hlk229580913" w:id="4"/>
      <w:r w:rsidRPr="009834AD">
        <w:rPr>
          <w:szCs w:val="18"/>
        </w:rPr>
        <w:t xml:space="preserve">beoordelingskader geschikt is om ook bij weesgeneesmiddelen te komen tot een positief oordeel over </w:t>
      </w:r>
      <w:r w:rsidR="00B57B09">
        <w:rPr>
          <w:szCs w:val="18"/>
        </w:rPr>
        <w:t>de effectiviteit</w:t>
      </w:r>
      <w:r w:rsidRPr="009834AD">
        <w:rPr>
          <w:szCs w:val="18"/>
        </w:rPr>
        <w:t xml:space="preserve">. </w:t>
      </w:r>
      <w:bookmarkEnd w:id="4"/>
      <w:r w:rsidRPr="009834AD">
        <w:rPr>
          <w:szCs w:val="18"/>
        </w:rPr>
        <w:t>Tot op heden zijn, op één na</w:t>
      </w:r>
      <w:r>
        <w:rPr>
          <w:rStyle w:val="Voetnootmarkering"/>
          <w:szCs w:val="18"/>
        </w:rPr>
        <w:footnoteReference w:id="5"/>
      </w:r>
      <w:r w:rsidRPr="009834AD">
        <w:rPr>
          <w:szCs w:val="18"/>
        </w:rPr>
        <w:t xml:space="preserve">, alle weesgeneesmiddelen die </w:t>
      </w:r>
      <w:r w:rsidR="00833A6B">
        <w:rPr>
          <w:szCs w:val="18"/>
        </w:rPr>
        <w:t xml:space="preserve">voldoende effectief zijn bevonden, </w:t>
      </w:r>
      <w:r w:rsidRPr="009834AD">
        <w:rPr>
          <w:szCs w:val="18"/>
        </w:rPr>
        <w:t>ook vergoed vanuit het basispakket.</w:t>
      </w:r>
    </w:p>
    <w:p w:rsidRPr="009834AD" w:rsidR="009463DD" w:rsidP="00483A53" w:rsidRDefault="009463DD" w14:paraId="701F514A" w14:textId="77777777">
      <w:pPr>
        <w:pStyle w:val="Huisstijl-Aanhef"/>
        <w:spacing w:before="0" w:after="0" w:line="240" w:lineRule="atLeast"/>
        <w:rPr>
          <w:szCs w:val="18"/>
        </w:rPr>
      </w:pPr>
    </w:p>
    <w:p w:rsidRPr="009834AD" w:rsidR="009463DD" w:rsidP="00483A53" w:rsidRDefault="00000000" w14:paraId="7C7E6C1B" w14:textId="77777777">
      <w:pPr>
        <w:spacing w:line="240" w:lineRule="atLeast"/>
        <w:rPr>
          <w:szCs w:val="18"/>
          <w:u w:val="single"/>
          <w:lang w:val="en-US"/>
        </w:rPr>
      </w:pPr>
      <w:r w:rsidRPr="009834AD">
        <w:rPr>
          <w:i/>
          <w:iCs/>
          <w:szCs w:val="18"/>
          <w:u w:val="single"/>
          <w:lang w:val="en-US"/>
        </w:rPr>
        <w:t>Orphan Drug Access Protocol</w:t>
      </w:r>
      <w:r w:rsidRPr="009834AD">
        <w:rPr>
          <w:szCs w:val="18"/>
          <w:u w:val="single"/>
          <w:lang w:val="en-US"/>
        </w:rPr>
        <w:t xml:space="preserve"> (ODAP)</w:t>
      </w:r>
    </w:p>
    <w:p w:rsidRPr="009834AD" w:rsidR="009463DD" w:rsidP="00483A53" w:rsidRDefault="00000000" w14:paraId="19063B20" w14:textId="77777777">
      <w:pPr>
        <w:spacing w:line="240" w:lineRule="atLeast"/>
        <w:rPr>
          <w:szCs w:val="18"/>
        </w:rPr>
      </w:pPr>
      <w:r w:rsidRPr="009834AD">
        <w:rPr>
          <w:szCs w:val="18"/>
        </w:rPr>
        <w:t xml:space="preserve">De ODAP is een project dat wordt gefinancierd door Zorgverzekeraars Nederland (ZN) en uitgevoerd door Medicijn voor de Maatschappij. Dit initiatief is gericht op het geven van toegang aan patiënten tot (niet-oncologische) weesgeneesmiddelen waarbij onzekerheid bestaat over de effectiviteit, in combinatie met een vorm van onderzoek in de praktijk. </w:t>
      </w:r>
    </w:p>
    <w:p w:rsidRPr="009834AD" w:rsidR="009463DD" w:rsidP="00483A53" w:rsidRDefault="009463DD" w14:paraId="1F170315" w14:textId="77777777">
      <w:pPr>
        <w:spacing w:line="240" w:lineRule="atLeast"/>
        <w:rPr>
          <w:szCs w:val="18"/>
        </w:rPr>
      </w:pPr>
    </w:p>
    <w:p w:rsidRPr="009834AD" w:rsidR="009463DD" w:rsidP="00483A53" w:rsidRDefault="00000000" w14:paraId="50DE08E8" w14:textId="77777777">
      <w:pPr>
        <w:pStyle w:val="Huisstijl-Aanhef"/>
        <w:spacing w:before="0" w:after="0" w:line="240" w:lineRule="atLeast"/>
        <w:rPr>
          <w:szCs w:val="18"/>
        </w:rPr>
      </w:pPr>
      <w:r w:rsidRPr="009834AD">
        <w:rPr>
          <w:szCs w:val="18"/>
        </w:rPr>
        <w:t>Er wordt overleg gevoerd met het Zorginstituut en ZN over routes zoals de ODAP. De wens om nieuwe, veelbelovende middelen snel beschikbaar te maken voor patiënten is begrijpelijk. We zien echter dat snelheid zich in de praktijk toch vooral terugvertaalt in onzekerheid over de effecten. Sterker nog, onderzoek heeft uitgewezen dat juist van geneesmiddelen die versneld zijn toegelaten uiteindelijk de (toegevoegde) waarde niet of nauwelijks viel vast te stellen.</w:t>
      </w:r>
      <w:r>
        <w:rPr>
          <w:rStyle w:val="Voetnootmarkering"/>
          <w:szCs w:val="18"/>
        </w:rPr>
        <w:footnoteReference w:id="6"/>
      </w:r>
      <w:r w:rsidRPr="009834AD">
        <w:rPr>
          <w:szCs w:val="18"/>
        </w:rPr>
        <w:t xml:space="preserve"> Het is dan de vraag of een versnelde toelating het probleem van onzekerheid niet slechts verplaatst, in plaats van oplost, maar dan wel ten laste van de samenleving omdat die het financiële risico daarvan (meer) gaat dragen.</w:t>
      </w:r>
    </w:p>
    <w:p w:rsidRPr="009834AD" w:rsidR="009463DD" w:rsidP="00483A53" w:rsidRDefault="009463DD" w14:paraId="710882AC" w14:textId="77777777">
      <w:pPr>
        <w:rPr>
          <w:szCs w:val="18"/>
        </w:rPr>
      </w:pPr>
    </w:p>
    <w:p w:rsidRPr="009834AD" w:rsidR="009463DD" w:rsidP="00483A53" w:rsidRDefault="00000000" w14:paraId="6E89EAE1" w14:textId="77777777">
      <w:pPr>
        <w:pStyle w:val="Huisstijl-Aanhef"/>
        <w:spacing w:before="0" w:after="0" w:line="240" w:lineRule="atLeast"/>
        <w:rPr>
          <w:szCs w:val="18"/>
        </w:rPr>
      </w:pPr>
      <w:r w:rsidRPr="009834AD">
        <w:rPr>
          <w:szCs w:val="18"/>
        </w:rPr>
        <w:t xml:space="preserve">Zoals vermeld worden bij de </w:t>
      </w:r>
      <w:r w:rsidRPr="009834AD" w:rsidR="00922E1B">
        <w:rPr>
          <w:szCs w:val="18"/>
        </w:rPr>
        <w:t>ODAP-gegevens</w:t>
      </w:r>
      <w:r w:rsidRPr="009834AD">
        <w:rPr>
          <w:szCs w:val="18"/>
        </w:rPr>
        <w:t xml:space="preserve"> over de effectiviteit verzameld ná vergoeding door de zorgverzekeraars. Het kabinet vindt dat firma’s in principe zelf moeten bewijzen dat een geneesmiddel effectief is voor toelating tot het basispakket, ook bij weesgeneesmiddelen. Het is de vraag hoe wenselijk het is om weesgeneesmiddelen waarvoor het mogelijk is om pakketwaardigheid vast te stellen binnen een redelijke termijn, en waarvoor een firma het onderzoek ook zelf kan uitvoeren, nog via de ODAP te vergoeden. Hierbij is van belang dat firma’s aangeven dat als bestaande data uit internationale registratiestudies (voor weesgeneesmiddelen) onvoldoende blijken voor een beoordeling van de effectiviteit, het onwaarschijnlijk is dat op basis van Nederlands onderzoek (verzamelen van data in de praktijk) wel voldoende data verzameld kunnen worden voor (definitieve) opname in het basispakket. </w:t>
      </w:r>
    </w:p>
    <w:p w:rsidRPr="009834AD" w:rsidR="009463DD" w:rsidP="00483A53" w:rsidRDefault="009463DD" w14:paraId="3C04B73E" w14:textId="77777777">
      <w:pPr>
        <w:pStyle w:val="Huisstijl-Aanhef"/>
        <w:spacing w:before="0" w:after="0" w:line="240" w:lineRule="atLeast"/>
        <w:rPr>
          <w:szCs w:val="18"/>
        </w:rPr>
      </w:pPr>
    </w:p>
    <w:p w:rsidRPr="009834AD" w:rsidR="009463DD" w:rsidP="00483A53" w:rsidRDefault="00000000" w14:paraId="1BF6A8F5" w14:textId="77777777">
      <w:pPr>
        <w:pStyle w:val="Huisstijl-Aanhef"/>
        <w:spacing w:before="0" w:after="0" w:line="240" w:lineRule="atLeast"/>
        <w:rPr>
          <w:szCs w:val="18"/>
        </w:rPr>
      </w:pPr>
      <w:bookmarkStart w:name="_Hlk229141728" w:id="5"/>
      <w:r w:rsidRPr="009834AD">
        <w:rPr>
          <w:szCs w:val="18"/>
        </w:rPr>
        <w:t>Elementen van de ODAP kunnen wel onderdeel uitmaken van het Toekomstbestendig Stelsel Geneesmiddelen (TSG)</w:t>
      </w:r>
      <w:r>
        <w:rPr>
          <w:rStyle w:val="Voetnootmarkering"/>
          <w:szCs w:val="18"/>
        </w:rPr>
        <w:footnoteReference w:id="7"/>
      </w:r>
      <w:r w:rsidRPr="009834AD">
        <w:rPr>
          <w:szCs w:val="18"/>
        </w:rPr>
        <w:t xml:space="preserve">, zoals afspraken over de gepaste inzet van het middel, financiële afspraken of eventueel een </w:t>
      </w:r>
      <w:proofErr w:type="spellStart"/>
      <w:r w:rsidRPr="009834AD">
        <w:rPr>
          <w:i/>
          <w:iCs/>
          <w:szCs w:val="18"/>
        </w:rPr>
        <w:t>pay</w:t>
      </w:r>
      <w:proofErr w:type="spellEnd"/>
      <w:r w:rsidRPr="009834AD">
        <w:rPr>
          <w:i/>
          <w:iCs/>
          <w:szCs w:val="18"/>
        </w:rPr>
        <w:t>-</w:t>
      </w:r>
      <w:proofErr w:type="spellStart"/>
      <w:r w:rsidRPr="009834AD">
        <w:rPr>
          <w:i/>
          <w:iCs/>
          <w:szCs w:val="18"/>
        </w:rPr>
        <w:t>for</w:t>
      </w:r>
      <w:proofErr w:type="spellEnd"/>
      <w:r w:rsidRPr="009834AD">
        <w:rPr>
          <w:i/>
          <w:iCs/>
          <w:szCs w:val="18"/>
        </w:rPr>
        <w:t>-performance</w:t>
      </w:r>
      <w:r w:rsidRPr="009834AD">
        <w:rPr>
          <w:szCs w:val="18"/>
        </w:rPr>
        <w:t xml:space="preserve"> component</w:t>
      </w:r>
      <w:r>
        <w:rPr>
          <w:rStyle w:val="Voetnootmarkering"/>
          <w:szCs w:val="18"/>
        </w:rPr>
        <w:footnoteReference w:id="8"/>
      </w:r>
      <w:r w:rsidRPr="009834AD">
        <w:rPr>
          <w:szCs w:val="18"/>
        </w:rPr>
        <w:t>.</w:t>
      </w:r>
      <w:bookmarkEnd w:id="5"/>
    </w:p>
    <w:p w:rsidRPr="009834AD" w:rsidR="009463DD" w:rsidP="00483A53" w:rsidRDefault="009463DD" w14:paraId="60BC73E7" w14:textId="77777777">
      <w:pPr>
        <w:pStyle w:val="Huisstijl-Aanhef"/>
        <w:spacing w:before="0" w:after="0" w:line="240" w:lineRule="atLeast"/>
        <w:rPr>
          <w:szCs w:val="18"/>
        </w:rPr>
      </w:pPr>
    </w:p>
    <w:p w:rsidRPr="009834AD" w:rsidR="009463DD" w:rsidP="00483A53" w:rsidRDefault="00000000" w14:paraId="38B747E6" w14:textId="77777777">
      <w:pPr>
        <w:pStyle w:val="Huisstijl-Aanhef"/>
        <w:spacing w:before="0" w:after="0" w:line="240" w:lineRule="atLeast"/>
        <w:rPr>
          <w:szCs w:val="18"/>
          <w:u w:val="single"/>
        </w:rPr>
      </w:pPr>
      <w:r w:rsidRPr="009834AD">
        <w:rPr>
          <w:szCs w:val="18"/>
          <w:u w:val="single"/>
        </w:rPr>
        <w:t xml:space="preserve">Voorwaardelijke Toelating weesgeneesmiddelen, </w:t>
      </w:r>
      <w:proofErr w:type="spellStart"/>
      <w:r w:rsidRPr="009834AD">
        <w:rPr>
          <w:i/>
          <w:iCs/>
          <w:szCs w:val="18"/>
          <w:u w:val="single"/>
        </w:rPr>
        <w:t>conditionals</w:t>
      </w:r>
      <w:proofErr w:type="spellEnd"/>
      <w:r w:rsidRPr="009834AD">
        <w:rPr>
          <w:szCs w:val="18"/>
          <w:u w:val="single"/>
        </w:rPr>
        <w:t xml:space="preserve"> en </w:t>
      </w:r>
      <w:proofErr w:type="spellStart"/>
      <w:r w:rsidRPr="009834AD">
        <w:rPr>
          <w:i/>
          <w:iCs/>
          <w:szCs w:val="18"/>
          <w:u w:val="single"/>
        </w:rPr>
        <w:t>exceptionals</w:t>
      </w:r>
      <w:proofErr w:type="spellEnd"/>
      <w:r w:rsidRPr="009834AD" w:rsidR="00D204DE">
        <w:rPr>
          <w:i/>
          <w:iCs/>
          <w:szCs w:val="18"/>
          <w:u w:val="single"/>
        </w:rPr>
        <w:t xml:space="preserve"> (VT)</w:t>
      </w:r>
    </w:p>
    <w:p w:rsidRPr="009834AD" w:rsidR="00444E2D" w:rsidP="00483A53" w:rsidRDefault="00000000" w14:paraId="6A4E1A5E" w14:textId="77777777">
      <w:pPr>
        <w:pStyle w:val="Huisstijl-Aanhef"/>
        <w:spacing w:before="0" w:after="0" w:line="240" w:lineRule="atLeast"/>
        <w:rPr>
          <w:szCs w:val="18"/>
        </w:rPr>
      </w:pPr>
      <w:r>
        <w:rPr>
          <w:szCs w:val="18"/>
        </w:rPr>
        <w:t xml:space="preserve">Tegelijk met deze brief </w:t>
      </w:r>
      <w:r w:rsidRPr="009834AD">
        <w:rPr>
          <w:szCs w:val="18"/>
        </w:rPr>
        <w:t xml:space="preserve">wordt ook een brief met de appreciatie van de evaluatie van de VT met de Kamer gedeeld. Daarin wordt uitgelegd dat het kabinet het niet langer gerechtvaardigd vindt om een aparte route voor weesgeneesmiddelen, </w:t>
      </w:r>
      <w:proofErr w:type="spellStart"/>
      <w:r w:rsidRPr="009834AD">
        <w:rPr>
          <w:i/>
          <w:iCs/>
          <w:szCs w:val="18"/>
        </w:rPr>
        <w:t>conditionals</w:t>
      </w:r>
      <w:proofErr w:type="spellEnd"/>
      <w:r w:rsidRPr="009834AD">
        <w:rPr>
          <w:szCs w:val="18"/>
        </w:rPr>
        <w:t xml:space="preserve"> en </w:t>
      </w:r>
      <w:proofErr w:type="spellStart"/>
      <w:r w:rsidRPr="009834AD">
        <w:rPr>
          <w:i/>
          <w:iCs/>
          <w:szCs w:val="18"/>
        </w:rPr>
        <w:t>exceptionals</w:t>
      </w:r>
      <w:proofErr w:type="spellEnd"/>
      <w:r w:rsidRPr="009834AD">
        <w:rPr>
          <w:szCs w:val="18"/>
        </w:rPr>
        <w:t xml:space="preserve"> in stand te houden. Ook hierbij speelt de overweging dat de firma in principe de verantwoordelijkheid heeft om de bewijslast voor de effectiviteit van zijn geneesmiddel aan te leveren, ook voor weesgeneesmiddelen, </w:t>
      </w:r>
      <w:proofErr w:type="spellStart"/>
      <w:r w:rsidRPr="009834AD">
        <w:rPr>
          <w:i/>
          <w:iCs/>
          <w:szCs w:val="18"/>
        </w:rPr>
        <w:t>conditionals</w:t>
      </w:r>
      <w:proofErr w:type="spellEnd"/>
      <w:r w:rsidRPr="009834AD">
        <w:rPr>
          <w:szCs w:val="18"/>
        </w:rPr>
        <w:t xml:space="preserve"> en </w:t>
      </w:r>
      <w:proofErr w:type="spellStart"/>
      <w:r w:rsidRPr="009834AD">
        <w:rPr>
          <w:i/>
          <w:iCs/>
          <w:szCs w:val="18"/>
        </w:rPr>
        <w:t>exceptionals</w:t>
      </w:r>
      <w:proofErr w:type="spellEnd"/>
      <w:r w:rsidRPr="009834AD">
        <w:rPr>
          <w:szCs w:val="18"/>
        </w:rPr>
        <w:t xml:space="preserve">. </w:t>
      </w:r>
    </w:p>
    <w:p w:rsidRPr="009834AD" w:rsidR="00444E2D" w:rsidP="00483A53" w:rsidRDefault="00444E2D" w14:paraId="515683DB" w14:textId="77777777">
      <w:pPr>
        <w:pStyle w:val="Huisstijl-Aanhef"/>
        <w:spacing w:before="0" w:after="0" w:line="240" w:lineRule="atLeast"/>
        <w:rPr>
          <w:szCs w:val="18"/>
        </w:rPr>
      </w:pPr>
    </w:p>
    <w:p w:rsidR="009834AD" w:rsidP="00483A53" w:rsidRDefault="009834AD" w14:paraId="7F0D3E20" w14:textId="77777777">
      <w:pPr>
        <w:pStyle w:val="Huisstijl-Aanhef"/>
        <w:spacing w:before="0" w:after="0" w:line="240" w:lineRule="atLeast"/>
        <w:rPr>
          <w:szCs w:val="18"/>
        </w:rPr>
      </w:pPr>
    </w:p>
    <w:p w:rsidR="009834AD" w:rsidP="00483A53" w:rsidRDefault="009834AD" w14:paraId="3A153C19" w14:textId="77777777">
      <w:pPr>
        <w:pStyle w:val="Huisstijl-Aanhef"/>
        <w:spacing w:before="0" w:after="0" w:line="240" w:lineRule="atLeast"/>
        <w:rPr>
          <w:szCs w:val="18"/>
        </w:rPr>
      </w:pPr>
    </w:p>
    <w:p w:rsidR="009834AD" w:rsidP="00483A53" w:rsidRDefault="009834AD" w14:paraId="5BAF6944" w14:textId="77777777">
      <w:pPr>
        <w:pStyle w:val="Huisstijl-Aanhef"/>
        <w:spacing w:before="0" w:after="0" w:line="240" w:lineRule="atLeast"/>
        <w:rPr>
          <w:szCs w:val="18"/>
        </w:rPr>
      </w:pPr>
    </w:p>
    <w:p w:rsidRPr="009834AD" w:rsidR="009463DD" w:rsidP="00483A53" w:rsidRDefault="00000000" w14:paraId="73663BE7" w14:textId="77777777">
      <w:pPr>
        <w:pStyle w:val="Huisstijl-Aanhef"/>
        <w:spacing w:before="0" w:after="0" w:line="240" w:lineRule="atLeast"/>
        <w:rPr>
          <w:szCs w:val="18"/>
        </w:rPr>
      </w:pPr>
      <w:r w:rsidRPr="009834AD">
        <w:rPr>
          <w:szCs w:val="18"/>
        </w:rPr>
        <w:t xml:space="preserve">In de brief wordt ook uitgelegd dat het kabinet de VT nog wel wil openstellen voor geneesmiddelen waarvoor het gevraagde onderzoek specifiek is voor Nederland en </w:t>
      </w:r>
      <w:r w:rsidRPr="009834AD" w:rsidR="006D48D4">
        <w:rPr>
          <w:szCs w:val="18"/>
        </w:rPr>
        <w:t xml:space="preserve">daarmee </w:t>
      </w:r>
      <w:r w:rsidRPr="009834AD">
        <w:rPr>
          <w:szCs w:val="18"/>
        </w:rPr>
        <w:t xml:space="preserve">niet van bredere waarde </w:t>
      </w:r>
      <w:r w:rsidRPr="009834AD" w:rsidR="006D48D4">
        <w:rPr>
          <w:szCs w:val="18"/>
        </w:rPr>
        <w:t xml:space="preserve">is </w:t>
      </w:r>
      <w:r w:rsidRPr="009834AD">
        <w:rPr>
          <w:szCs w:val="18"/>
        </w:rPr>
        <w:t>voor een firma</w:t>
      </w:r>
      <w:r>
        <w:rPr>
          <w:rStyle w:val="Voetnootmarkering"/>
          <w:szCs w:val="18"/>
        </w:rPr>
        <w:footnoteReference w:id="9"/>
      </w:r>
      <w:r w:rsidRPr="009834AD">
        <w:rPr>
          <w:szCs w:val="18"/>
        </w:rPr>
        <w:t>.</w:t>
      </w:r>
    </w:p>
    <w:p w:rsidRPr="009834AD" w:rsidR="009463DD" w:rsidP="00483A53" w:rsidRDefault="009463DD" w14:paraId="341503D5" w14:textId="77777777">
      <w:pPr>
        <w:pStyle w:val="Huisstijl-Aanhef"/>
        <w:spacing w:before="0" w:after="0" w:line="240" w:lineRule="atLeast"/>
        <w:rPr>
          <w:szCs w:val="18"/>
        </w:rPr>
      </w:pPr>
    </w:p>
    <w:p w:rsidRPr="009834AD" w:rsidR="009463DD" w:rsidP="00483A53" w:rsidRDefault="00000000" w14:paraId="2540C00C" w14:textId="77777777">
      <w:pPr>
        <w:pStyle w:val="Huisstijl-Aanhef"/>
        <w:spacing w:before="0" w:after="0" w:line="240" w:lineRule="atLeast"/>
        <w:rPr>
          <w:szCs w:val="18"/>
          <w:u w:val="single"/>
        </w:rPr>
      </w:pPr>
      <w:proofErr w:type="spellStart"/>
      <w:r w:rsidRPr="009834AD">
        <w:rPr>
          <w:szCs w:val="18"/>
          <w:u w:val="single"/>
        </w:rPr>
        <w:t>Voxzogo</w:t>
      </w:r>
      <w:proofErr w:type="spellEnd"/>
    </w:p>
    <w:p w:rsidRPr="009834AD" w:rsidR="009463DD" w:rsidP="00483A53" w:rsidRDefault="00000000" w14:paraId="401452A4" w14:textId="77777777">
      <w:pPr>
        <w:rPr>
          <w:szCs w:val="18"/>
        </w:rPr>
      </w:pPr>
      <w:proofErr w:type="spellStart"/>
      <w:r w:rsidRPr="009834AD">
        <w:rPr>
          <w:szCs w:val="18"/>
        </w:rPr>
        <w:t>Voxzogo</w:t>
      </w:r>
      <w:proofErr w:type="spellEnd"/>
      <w:r w:rsidRPr="009834AD">
        <w:rPr>
          <w:szCs w:val="18"/>
        </w:rPr>
        <w:t xml:space="preserve"> is een weesgeneesmiddel voor de behandeling van achondroplasie, een erfelijke en zeldzame botaandoening en de meest voorkomende vorm van dwerggroei. De firma heeft tot op heden geen vergoedingsdossier ingediend bij het Zorginstituut. In de laatste Kamerbrief over dit geneesmiddel</w:t>
      </w:r>
      <w:r>
        <w:rPr>
          <w:rStyle w:val="Voetnootmarkering"/>
          <w:szCs w:val="18"/>
        </w:rPr>
        <w:footnoteReference w:id="10"/>
      </w:r>
      <w:r w:rsidRPr="009834AD">
        <w:rPr>
          <w:szCs w:val="18"/>
        </w:rPr>
        <w:t xml:space="preserve"> is aangegeven dat de Kamer opnieuw zal worden geïnformeerd nadat de firma heeft besloten over het vervolg. Inmiddels heeft de firma bekendgemaakt definitief geen vergoeding aan te vragen in Nederland voor </w:t>
      </w:r>
      <w:proofErr w:type="spellStart"/>
      <w:r w:rsidRPr="009834AD">
        <w:rPr>
          <w:szCs w:val="18"/>
        </w:rPr>
        <w:t>Voxzogo</w:t>
      </w:r>
      <w:proofErr w:type="spellEnd"/>
      <w:r>
        <w:rPr>
          <w:rStyle w:val="Voetnootmarkering"/>
          <w:szCs w:val="18"/>
        </w:rPr>
        <w:footnoteReference w:id="11"/>
      </w:r>
      <w:r w:rsidRPr="009834AD">
        <w:rPr>
          <w:szCs w:val="18"/>
        </w:rPr>
        <w:t xml:space="preserve">. De firma heeft dit in een gesprek nader toegelicht. Zonder dossier is verdere discussie helaas niet mogelijk. Ik roep de firma daarom nogmaals op om zijn besluit te herzien en een dossier aan te leveren. Hiermee wordt de Kamer, zoals toegezegd, geïnformeerd over deze betreurenswaardige situatie. </w:t>
      </w:r>
    </w:p>
    <w:p w:rsidRPr="009834AD" w:rsidR="009463DD" w:rsidP="00483A53" w:rsidRDefault="009463DD" w14:paraId="66B345F4" w14:textId="77777777">
      <w:pPr>
        <w:pStyle w:val="Huisstijl-Aanhef"/>
        <w:spacing w:before="0" w:after="0" w:line="240" w:lineRule="atLeast"/>
        <w:rPr>
          <w:szCs w:val="18"/>
        </w:rPr>
      </w:pPr>
    </w:p>
    <w:p w:rsidRPr="009834AD" w:rsidR="009463DD" w:rsidP="00483A53" w:rsidRDefault="00000000" w14:paraId="068F7C75" w14:textId="77777777">
      <w:pPr>
        <w:pStyle w:val="Huisstijl-Aanhef"/>
        <w:spacing w:before="0" w:after="0" w:line="240" w:lineRule="atLeast"/>
        <w:rPr>
          <w:szCs w:val="18"/>
        </w:rPr>
      </w:pPr>
      <w:r w:rsidRPr="009834AD">
        <w:rPr>
          <w:szCs w:val="18"/>
        </w:rPr>
        <w:t xml:space="preserve">Volgens de horizonscan geneesmiddelen zijn er twee andere geneesmiddelen in ontwikkeling voor achondroplasie bij kinderen. Hierbij gaat het om de geneesmiddelen </w:t>
      </w:r>
      <w:proofErr w:type="spellStart"/>
      <w:r w:rsidRPr="009834AD">
        <w:rPr>
          <w:szCs w:val="18"/>
        </w:rPr>
        <w:t>navepegritide</w:t>
      </w:r>
      <w:proofErr w:type="spellEnd"/>
      <w:r>
        <w:rPr>
          <w:rStyle w:val="Voetnootmarkering"/>
          <w:szCs w:val="18"/>
        </w:rPr>
        <w:footnoteReference w:id="12"/>
      </w:r>
      <w:r w:rsidRPr="009834AD">
        <w:rPr>
          <w:szCs w:val="18"/>
        </w:rPr>
        <w:t xml:space="preserve"> en </w:t>
      </w:r>
      <w:proofErr w:type="spellStart"/>
      <w:r w:rsidRPr="009834AD">
        <w:rPr>
          <w:szCs w:val="18"/>
        </w:rPr>
        <w:t>infigratinib</w:t>
      </w:r>
      <w:proofErr w:type="spellEnd"/>
      <w:r>
        <w:rPr>
          <w:rStyle w:val="Voetnootmarkering"/>
          <w:szCs w:val="18"/>
        </w:rPr>
        <w:footnoteReference w:id="13"/>
      </w:r>
      <w:r w:rsidRPr="009834AD">
        <w:rPr>
          <w:szCs w:val="18"/>
        </w:rPr>
        <w:t xml:space="preserve">. Wat betreft </w:t>
      </w:r>
      <w:proofErr w:type="spellStart"/>
      <w:r w:rsidRPr="009834AD">
        <w:rPr>
          <w:szCs w:val="18"/>
        </w:rPr>
        <w:t>navepegritide</w:t>
      </w:r>
      <w:proofErr w:type="spellEnd"/>
      <w:r w:rsidRPr="009834AD">
        <w:rPr>
          <w:szCs w:val="18"/>
        </w:rPr>
        <w:t xml:space="preserve"> is de registratieaanvraag voor toetreding tot de Europese markt bij het Europees Geneesmiddelenbureau (EMA) in behandeling, naar verwachting wordt dit geneesmiddel in november 2026 geregistreerd. Wat betreft </w:t>
      </w:r>
      <w:proofErr w:type="spellStart"/>
      <w:r w:rsidRPr="009834AD">
        <w:rPr>
          <w:szCs w:val="18"/>
        </w:rPr>
        <w:t>infigratinib</w:t>
      </w:r>
      <w:proofErr w:type="spellEnd"/>
      <w:r w:rsidRPr="009834AD">
        <w:rPr>
          <w:szCs w:val="18"/>
        </w:rPr>
        <w:t xml:space="preserve"> is de verwachte registratie bij het </w:t>
      </w:r>
      <w:r w:rsidRPr="009834AD" w:rsidR="00922E1B">
        <w:rPr>
          <w:szCs w:val="18"/>
        </w:rPr>
        <w:t>EMA</w:t>
      </w:r>
      <w:r w:rsidRPr="009834AD" w:rsidR="00D204DE">
        <w:rPr>
          <w:szCs w:val="18"/>
        </w:rPr>
        <w:t xml:space="preserve"> </w:t>
      </w:r>
      <w:r w:rsidRPr="009834AD" w:rsidR="00922E1B">
        <w:rPr>
          <w:szCs w:val="18"/>
        </w:rPr>
        <w:t>juni</w:t>
      </w:r>
      <w:r w:rsidRPr="009834AD">
        <w:rPr>
          <w:szCs w:val="18"/>
        </w:rPr>
        <w:t xml:space="preserve"> 2027. Het is nog te vroeg in het ontwikkelingsproces om de verschillen tussen deze nieuwe geneesmiddelen en </w:t>
      </w:r>
      <w:proofErr w:type="spellStart"/>
      <w:r w:rsidRPr="009834AD">
        <w:rPr>
          <w:szCs w:val="18"/>
        </w:rPr>
        <w:t>Voxzogo</w:t>
      </w:r>
      <w:proofErr w:type="spellEnd"/>
      <w:r w:rsidRPr="009834AD">
        <w:rPr>
          <w:szCs w:val="18"/>
        </w:rPr>
        <w:t xml:space="preserve"> duidelijk vast te stellen.</w:t>
      </w:r>
    </w:p>
    <w:p w:rsidRPr="009834AD" w:rsidR="009463DD" w:rsidP="00483A53" w:rsidRDefault="009463DD" w14:paraId="49A64DAD" w14:textId="77777777">
      <w:pPr>
        <w:pStyle w:val="Huisstijl-Aanhef"/>
        <w:spacing w:before="0" w:after="0" w:line="240" w:lineRule="atLeast"/>
        <w:rPr>
          <w:szCs w:val="18"/>
        </w:rPr>
      </w:pPr>
    </w:p>
    <w:p w:rsidRPr="009834AD" w:rsidR="009463DD" w:rsidP="00483A53" w:rsidRDefault="00000000" w14:paraId="0BFEB008" w14:textId="77777777">
      <w:pPr>
        <w:pStyle w:val="Huisstijl-Aanhef"/>
        <w:spacing w:before="0" w:after="0" w:line="240" w:lineRule="atLeast"/>
        <w:rPr>
          <w:b/>
          <w:bCs/>
          <w:szCs w:val="18"/>
        </w:rPr>
      </w:pPr>
      <w:r w:rsidRPr="009834AD">
        <w:rPr>
          <w:b/>
          <w:bCs/>
          <w:szCs w:val="18"/>
        </w:rPr>
        <w:t xml:space="preserve">Ultra-weesgeneesmiddelen </w:t>
      </w:r>
    </w:p>
    <w:p w:rsidRPr="009834AD" w:rsidR="009463DD" w:rsidP="00483A53" w:rsidRDefault="00000000" w14:paraId="44B3CFA3" w14:textId="77777777">
      <w:pPr>
        <w:pStyle w:val="Huisstijl-Aanhef"/>
        <w:spacing w:before="0" w:after="0" w:line="240" w:lineRule="atLeast"/>
        <w:rPr>
          <w:szCs w:val="18"/>
        </w:rPr>
      </w:pPr>
      <w:r w:rsidRPr="009834AD">
        <w:rPr>
          <w:szCs w:val="18"/>
        </w:rPr>
        <w:t>De VT is, zoals aangegeven, recent geëvalueerd</w:t>
      </w:r>
      <w:r>
        <w:rPr>
          <w:rStyle w:val="Voetnootmarkering"/>
          <w:szCs w:val="18"/>
        </w:rPr>
        <w:footnoteReference w:id="14"/>
      </w:r>
      <w:r w:rsidRPr="009834AD">
        <w:rPr>
          <w:szCs w:val="18"/>
        </w:rPr>
        <w:t>. Daarbij is geadviseerd een alternatieve regeling te ontwikkelen voor ultra-weesgeneesmiddelen, omdat het aantonen van effectiviteit volgens de reguliere vereisten vaak niet haalbaar is. Het kabinet onderschrijft de noodzaak van een specifiek traject voor deze middelen, zeker nu er sprake lijkt te zijn van een toename van zeer gepersonaliseerde therapieën voor hele kleine aantallen patiënten</w:t>
      </w:r>
      <w:r>
        <w:rPr>
          <w:rStyle w:val="Voetnootmarkering"/>
          <w:szCs w:val="18"/>
        </w:rPr>
        <w:footnoteReference w:id="15"/>
      </w:r>
      <w:r w:rsidRPr="009834AD">
        <w:rPr>
          <w:szCs w:val="18"/>
        </w:rPr>
        <w:t xml:space="preserve">. Hierover wordt overleg gevoerd met het Zorginstituut. Het Zorginstituut heeft voorgesteld een aparte route voor ultra-weesgeneesmiddelen te introduceren binnen het TSG (los van de VT). Het kabinet ziet dit als een goed voorstel. De precieze afbakening hiervan wordt nog uitgewerkt. Daarnaast heeft het Zorginstituut aandacht voor de beoordeling van kosteneffectiviteit van deze geneesmiddelen omdat dit vaak lastig is bij hele kleine aantallen patiënten. </w:t>
      </w:r>
      <w:bookmarkStart w:name="_Hlk229141669" w:id="6"/>
      <w:r w:rsidRPr="009834AD">
        <w:rPr>
          <w:szCs w:val="18"/>
        </w:rPr>
        <w:t xml:space="preserve">Mogelijk dat de </w:t>
      </w:r>
      <w:bookmarkStart w:name="_Hlk229584721" w:id="7"/>
      <w:r w:rsidRPr="009834AD">
        <w:rPr>
          <w:szCs w:val="18"/>
        </w:rPr>
        <w:t>pakketrisico’s bij dergelijke middelen op andere wijze kunnen en moeten worden beheerst, dan via de kosteneffectiviteit</w:t>
      </w:r>
      <w:bookmarkEnd w:id="6"/>
      <w:r w:rsidRPr="009834AD">
        <w:rPr>
          <w:szCs w:val="18"/>
        </w:rPr>
        <w:t xml:space="preserve">. </w:t>
      </w:r>
    </w:p>
    <w:bookmarkEnd w:id="7"/>
    <w:p w:rsidRPr="009834AD" w:rsidR="009463DD" w:rsidP="00483A53" w:rsidRDefault="00000000" w14:paraId="41318AEA" w14:textId="77777777">
      <w:pPr>
        <w:pStyle w:val="Huisstijl-Aanhef"/>
        <w:spacing w:before="0" w:after="0" w:line="240" w:lineRule="atLeast"/>
        <w:rPr>
          <w:szCs w:val="18"/>
        </w:rPr>
      </w:pPr>
      <w:r w:rsidRPr="009834AD">
        <w:rPr>
          <w:szCs w:val="18"/>
        </w:rPr>
        <w:t xml:space="preserve">Het kabinet gaat ervan uit dat het hierbij gaat om het type middelen waarvoor </w:t>
      </w:r>
      <w:r w:rsidR="00B904F3">
        <w:rPr>
          <w:szCs w:val="18"/>
        </w:rPr>
        <w:t>de</w:t>
      </w:r>
      <w:r w:rsidRPr="009834AD">
        <w:rPr>
          <w:szCs w:val="18"/>
        </w:rPr>
        <w:t xml:space="preserve"> Kamer aandacht heeft gevraagd, omdat het systeem niet met deze ontwikkeling zou zijn “meegegroeid”. </w:t>
      </w:r>
    </w:p>
    <w:p w:rsidRPr="009834AD" w:rsidR="009463DD" w:rsidP="00483A53" w:rsidRDefault="009463DD" w14:paraId="24AAFFA9" w14:textId="77777777">
      <w:pPr>
        <w:pStyle w:val="Huisstijl-Aanhef"/>
        <w:spacing w:before="0" w:after="0" w:line="240" w:lineRule="atLeast"/>
        <w:rPr>
          <w:szCs w:val="18"/>
        </w:rPr>
      </w:pPr>
    </w:p>
    <w:p w:rsidRPr="009834AD" w:rsidR="00D204DE" w:rsidP="00483A53" w:rsidRDefault="00D204DE" w14:paraId="4F1EC944" w14:textId="77777777">
      <w:pPr>
        <w:spacing w:line="240" w:lineRule="auto"/>
        <w:rPr>
          <w:b/>
          <w:bCs/>
          <w:szCs w:val="18"/>
        </w:rPr>
      </w:pPr>
    </w:p>
    <w:p w:rsidRPr="009834AD" w:rsidR="009463DD" w:rsidP="00483A53" w:rsidRDefault="00000000" w14:paraId="6B1C0B7E" w14:textId="77777777">
      <w:pPr>
        <w:spacing w:line="240" w:lineRule="atLeast"/>
        <w:contextualSpacing/>
        <w:rPr>
          <w:b/>
          <w:bCs/>
          <w:szCs w:val="18"/>
        </w:rPr>
      </w:pPr>
      <w:r w:rsidRPr="009834AD">
        <w:rPr>
          <w:b/>
          <w:bCs/>
          <w:szCs w:val="18"/>
        </w:rPr>
        <w:t>Tot slot</w:t>
      </w:r>
    </w:p>
    <w:p w:rsidRPr="009834AD" w:rsidR="009463DD" w:rsidP="00483A53" w:rsidRDefault="00000000" w14:paraId="2DF1E027" w14:textId="77777777">
      <w:pPr>
        <w:spacing w:line="240" w:lineRule="atLeast"/>
        <w:contextualSpacing/>
        <w:rPr>
          <w:szCs w:val="18"/>
        </w:rPr>
      </w:pPr>
      <w:r w:rsidRPr="009834AD">
        <w:rPr>
          <w:szCs w:val="18"/>
        </w:rPr>
        <w:t>Zoals eerder vermeld werkt het kabinet aan een toekomstbestendig stelsel</w:t>
      </w:r>
      <w:r w:rsidRPr="009834AD" w:rsidR="00D204DE">
        <w:rPr>
          <w:szCs w:val="18"/>
        </w:rPr>
        <w:t xml:space="preserve"> geneesmiddelen</w:t>
      </w:r>
      <w:r w:rsidRPr="009834AD">
        <w:rPr>
          <w:szCs w:val="18"/>
        </w:rPr>
        <w:t xml:space="preserve"> (TSG) waarin nieuwe, effectieve medicijnen zo snel mogelijk beschikbaar komen voor patiënten die er baat bij hebben, tegen een maatschappelijk aanvaardbare prijs</w:t>
      </w:r>
      <w:r>
        <w:rPr>
          <w:rStyle w:val="Voetnootmarkering"/>
          <w:szCs w:val="18"/>
        </w:rPr>
        <w:footnoteReference w:id="16"/>
      </w:r>
      <w:r w:rsidRPr="009834AD">
        <w:rPr>
          <w:szCs w:val="18"/>
        </w:rPr>
        <w:t xml:space="preserve">. In het TSG zal aan de voorkant van het proces naar de eigenschappen van het geneesmiddel worden gekeken en wordt afhankelijk daarvan een route tot pakkettoelating gevolgd. </w:t>
      </w:r>
      <w:bookmarkStart w:name="_Hlk229584637" w:id="8"/>
      <w:r w:rsidRPr="009834AD">
        <w:rPr>
          <w:szCs w:val="18"/>
        </w:rPr>
        <w:t>Het Zorginstituut zal de komende tijd uitwerken wanneer en hoe weesgeneesmiddelen en ultraweesgeneesmiddelen door het instroomproces van TSG heen lopen.</w:t>
      </w:r>
    </w:p>
    <w:bookmarkEnd w:id="8"/>
    <w:p w:rsidRPr="009834AD" w:rsidR="009463DD" w:rsidP="00483A53" w:rsidRDefault="009463DD" w14:paraId="333109EA" w14:textId="77777777">
      <w:pPr>
        <w:spacing w:line="240" w:lineRule="atLeast"/>
        <w:contextualSpacing/>
        <w:rPr>
          <w:szCs w:val="18"/>
        </w:rPr>
      </w:pPr>
    </w:p>
    <w:p w:rsidRPr="009834AD" w:rsidR="00CD5856" w:rsidP="00483A53" w:rsidRDefault="00000000" w14:paraId="7B56365D" w14:textId="77777777">
      <w:pPr>
        <w:contextualSpacing/>
        <w:rPr>
          <w:szCs w:val="18"/>
        </w:rPr>
      </w:pPr>
      <w:r w:rsidRPr="009834AD">
        <w:rPr>
          <w:szCs w:val="18"/>
        </w:rPr>
        <w:t>Hoogachtend,</w:t>
      </w:r>
    </w:p>
    <w:p w:rsidRPr="009834AD" w:rsidR="00BC481F" w:rsidP="00483A53" w:rsidRDefault="00BC481F" w14:paraId="35707E41" w14:textId="77777777">
      <w:pPr>
        <w:spacing w:line="240" w:lineRule="auto"/>
        <w:rPr>
          <w:noProof/>
          <w:szCs w:val="18"/>
        </w:rPr>
      </w:pPr>
    </w:p>
    <w:p w:rsidRPr="009834AD" w:rsidR="009834AD" w:rsidP="00483A53" w:rsidRDefault="00000000" w14:paraId="37A84FD1" w14:textId="77777777">
      <w:pPr>
        <w:spacing w:line="240" w:lineRule="atLeast"/>
        <w:rPr>
          <w:szCs w:val="18"/>
        </w:rPr>
      </w:pPr>
      <w:r w:rsidRPr="009834AD">
        <w:rPr>
          <w:szCs w:val="18"/>
        </w:rPr>
        <w:t>de minister van Volksgezondheid,</w:t>
      </w:r>
    </w:p>
    <w:p w:rsidRPr="009834AD" w:rsidR="00C62B6C" w:rsidP="00483A53" w:rsidRDefault="00000000" w14:paraId="4F0AD459" w14:textId="77777777">
      <w:pPr>
        <w:spacing w:line="240" w:lineRule="atLeast"/>
        <w:rPr>
          <w:szCs w:val="18"/>
        </w:rPr>
      </w:pPr>
      <w:r w:rsidRPr="009834AD">
        <w:rPr>
          <w:szCs w:val="18"/>
        </w:rPr>
        <w:t>Welzijn en Sport ,</w:t>
      </w:r>
    </w:p>
    <w:p w:rsidRPr="009834AD" w:rsidR="00C62B6C" w:rsidP="00483A53" w:rsidRDefault="00C62B6C" w14:paraId="6D8148D9" w14:textId="77777777">
      <w:pPr>
        <w:spacing w:line="240" w:lineRule="atLeast"/>
        <w:rPr>
          <w:szCs w:val="18"/>
        </w:rPr>
      </w:pPr>
      <w:bookmarkStart w:name="bmkHandtekening" w:id="9"/>
    </w:p>
    <w:bookmarkEnd w:id="9"/>
    <w:p w:rsidRPr="009834AD" w:rsidR="009834AD" w:rsidP="00483A53" w:rsidRDefault="009834AD" w14:paraId="13D4A9F7" w14:textId="77777777">
      <w:pPr>
        <w:spacing w:line="240" w:lineRule="atLeast"/>
        <w:rPr>
          <w:szCs w:val="18"/>
        </w:rPr>
      </w:pPr>
    </w:p>
    <w:p w:rsidRPr="009834AD" w:rsidR="009834AD" w:rsidP="00483A53" w:rsidRDefault="009834AD" w14:paraId="60892964" w14:textId="77777777">
      <w:pPr>
        <w:spacing w:line="240" w:lineRule="atLeast"/>
        <w:rPr>
          <w:szCs w:val="18"/>
        </w:rPr>
      </w:pPr>
    </w:p>
    <w:p w:rsidRPr="009834AD" w:rsidR="00C62B6C" w:rsidP="00483A53" w:rsidRDefault="00000000" w14:paraId="0905D82B" w14:textId="77777777">
      <w:pPr>
        <w:spacing w:line="240" w:lineRule="atLeast"/>
        <w:rPr>
          <w:szCs w:val="18"/>
        </w:rPr>
      </w:pPr>
      <w:r w:rsidRPr="009834AD">
        <w:rPr>
          <w:szCs w:val="18"/>
        </w:rPr>
        <w:cr/>
      </w:r>
      <w:r w:rsidRPr="009834AD">
        <w:rPr>
          <w:szCs w:val="18"/>
        </w:rPr>
        <w:cr/>
      </w:r>
    </w:p>
    <w:p w:rsidRPr="009834AD" w:rsidR="00C62B6C" w:rsidP="00483A53" w:rsidRDefault="00000000" w14:paraId="4042A03E" w14:textId="77777777">
      <w:pPr>
        <w:spacing w:line="240" w:lineRule="atLeast"/>
        <w:rPr>
          <w:szCs w:val="18"/>
        </w:rPr>
      </w:pPr>
      <w:r w:rsidRPr="009834AD">
        <w:rPr>
          <w:szCs w:val="18"/>
        </w:rPr>
        <w:t>Sophie Hermans</w:t>
      </w:r>
    </w:p>
    <w:p w:rsidRPr="009834AD" w:rsidR="00C95CA9" w:rsidP="00483A53" w:rsidRDefault="00C95CA9" w14:paraId="570A5452" w14:textId="77777777">
      <w:pPr>
        <w:spacing w:line="240" w:lineRule="auto"/>
        <w:rPr>
          <w:noProof/>
          <w:szCs w:val="18"/>
        </w:rPr>
      </w:pPr>
    </w:p>
    <w:p w:rsidRPr="009834AD" w:rsidR="00235AED" w:rsidP="00483A53" w:rsidRDefault="00235AED" w14:paraId="4251B9E9" w14:textId="77777777">
      <w:pPr>
        <w:spacing w:line="240" w:lineRule="auto"/>
        <w:rPr>
          <w:noProof/>
          <w:szCs w:val="18"/>
        </w:rPr>
      </w:pPr>
    </w:p>
    <w:sectPr w:rsidRPr="009834AD"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DD7D" w14:textId="77777777" w:rsidR="000F6F97" w:rsidRDefault="000F6F97">
      <w:pPr>
        <w:spacing w:line="240" w:lineRule="auto"/>
      </w:pPr>
      <w:r>
        <w:separator/>
      </w:r>
    </w:p>
  </w:endnote>
  <w:endnote w:type="continuationSeparator" w:id="0">
    <w:p w14:paraId="6AC55D9B" w14:textId="77777777" w:rsidR="000F6F97" w:rsidRDefault="000F6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0A1E" w14:textId="3AAC4EDD" w:rsidR="00DC7639" w:rsidRDefault="00EA34B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E42A77B" wp14:editId="75D2FFCD">
              <wp:simplePos x="0" y="0"/>
              <wp:positionH relativeFrom="page">
                <wp:posOffset>5922645</wp:posOffset>
              </wp:positionH>
              <wp:positionV relativeFrom="page">
                <wp:posOffset>10225405</wp:posOffset>
              </wp:positionV>
              <wp:extent cx="1259840" cy="185420"/>
              <wp:effectExtent l="7620" t="5080" r="8890" b="9525"/>
              <wp:wrapNone/>
              <wp:docPr id="15635593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55ECD9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42A77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55ECD9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9CFE" w14:textId="77777777" w:rsidR="000F6F97" w:rsidRDefault="000F6F97">
      <w:pPr>
        <w:spacing w:line="240" w:lineRule="auto"/>
      </w:pPr>
      <w:r>
        <w:separator/>
      </w:r>
    </w:p>
  </w:footnote>
  <w:footnote w:type="continuationSeparator" w:id="0">
    <w:p w14:paraId="00B87567" w14:textId="77777777" w:rsidR="000F6F97" w:rsidRDefault="000F6F97">
      <w:pPr>
        <w:spacing w:line="240" w:lineRule="auto"/>
      </w:pPr>
      <w:r>
        <w:continuationSeparator/>
      </w:r>
    </w:p>
  </w:footnote>
  <w:footnote w:id="1">
    <w:p w14:paraId="6B7AEFA0" w14:textId="77777777" w:rsidR="009463DD" w:rsidRPr="00922E1B" w:rsidRDefault="00000000" w:rsidP="009463DD">
      <w:pPr>
        <w:pStyle w:val="Voetnoottekst"/>
        <w:rPr>
          <w:sz w:val="13"/>
          <w:szCs w:val="13"/>
        </w:rPr>
      </w:pPr>
      <w:r w:rsidRPr="00922E1B">
        <w:rPr>
          <w:rStyle w:val="Voetnootmarkering"/>
          <w:sz w:val="13"/>
          <w:szCs w:val="13"/>
        </w:rPr>
        <w:footnoteRef/>
      </w:r>
      <w:r w:rsidRPr="00922E1B">
        <w:rPr>
          <w:sz w:val="13"/>
          <w:szCs w:val="13"/>
        </w:rPr>
        <w:t xml:space="preserve"> </w:t>
      </w:r>
      <w:bookmarkStart w:id="3" w:name="_Hlk229584570"/>
      <w:r w:rsidRPr="00922E1B">
        <w:rPr>
          <w:sz w:val="13"/>
          <w:szCs w:val="13"/>
        </w:rPr>
        <w:t>Reactie Comité Weesgeneesmiddelen op het consultatiedocument van Zorginstituut Nederland over het Toekomstbestendig Stelsel Geneesmiddelen (TSG) (</w:t>
      </w:r>
      <w:hyperlink r:id="rId1" w:history="1">
        <w:r w:rsidR="009463DD" w:rsidRPr="00922E1B">
          <w:rPr>
            <w:rFonts w:cs="Lohit Hindi"/>
            <w:color w:val="0000FF"/>
            <w:sz w:val="13"/>
            <w:szCs w:val="13"/>
            <w:u w:val="single"/>
          </w:rPr>
          <w:t>(24) Post | LinkedIn</w:t>
        </w:r>
      </w:hyperlink>
      <w:r w:rsidRPr="00922E1B">
        <w:rPr>
          <w:rFonts w:cs="Lohit Hindi"/>
          <w:sz w:val="13"/>
          <w:szCs w:val="13"/>
        </w:rPr>
        <w:t>); Reactie VIG op het TSG (</w:t>
      </w:r>
      <w:hyperlink r:id="rId2" w:history="1">
        <w:r w:rsidR="009463DD" w:rsidRPr="00922E1B">
          <w:rPr>
            <w:rFonts w:cs="Lohit Hindi"/>
            <w:color w:val="0000FF"/>
            <w:sz w:val="13"/>
            <w:szCs w:val="13"/>
            <w:u w:val="single"/>
          </w:rPr>
          <w:t>VIG: impactanalyse wenselijk voor zorgvuldig vervolg van het Toekomstbestendig Stelsel Geneesmiddelen - Vereniging Innovatieve Geneesmiddelen</w:t>
        </w:r>
      </w:hyperlink>
      <w:r w:rsidRPr="00922E1B">
        <w:rPr>
          <w:rFonts w:cs="Lohit Hindi"/>
          <w:sz w:val="13"/>
          <w:szCs w:val="13"/>
        </w:rPr>
        <w:t>);</w:t>
      </w:r>
      <w:r w:rsidRPr="00922E1B">
        <w:rPr>
          <w:sz w:val="13"/>
          <w:szCs w:val="13"/>
        </w:rPr>
        <w:t xml:space="preserve"> </w:t>
      </w:r>
      <w:r w:rsidRPr="00922E1B">
        <w:rPr>
          <w:rFonts w:cs="Lohit Hindi"/>
          <w:sz w:val="13"/>
          <w:szCs w:val="13"/>
        </w:rPr>
        <w:t>Gezamenlijke oproep vergoeding voor weesgeneesmiddelen van</w:t>
      </w:r>
      <w:r w:rsidRPr="00922E1B">
        <w:rPr>
          <w:sz w:val="13"/>
          <w:szCs w:val="13"/>
        </w:rPr>
        <w:t xml:space="preserve"> </w:t>
      </w:r>
      <w:proofErr w:type="spellStart"/>
      <w:r w:rsidRPr="00922E1B">
        <w:rPr>
          <w:sz w:val="13"/>
          <w:szCs w:val="13"/>
        </w:rPr>
        <w:t>H</w:t>
      </w:r>
      <w:r w:rsidRPr="00922E1B">
        <w:rPr>
          <w:rFonts w:cs="Lohit Hindi"/>
          <w:sz w:val="13"/>
          <w:szCs w:val="13"/>
        </w:rPr>
        <w:t>ollandbio</w:t>
      </w:r>
      <w:proofErr w:type="spellEnd"/>
      <w:r w:rsidRPr="00922E1B">
        <w:rPr>
          <w:rFonts w:cs="Lohit Hindi"/>
          <w:sz w:val="13"/>
          <w:szCs w:val="13"/>
        </w:rPr>
        <w:t>, BVKM, VSOP, VKS, VIG en Comité Weesgeneesmiddelen (</w:t>
      </w:r>
      <w:hyperlink r:id="rId3" w:history="1">
        <w:r w:rsidR="009463DD" w:rsidRPr="00922E1B">
          <w:rPr>
            <w:rFonts w:cs="Lohit Hindi"/>
            <w:color w:val="0000FF"/>
            <w:sz w:val="13"/>
            <w:szCs w:val="13"/>
            <w:u w:val="single"/>
          </w:rPr>
          <w:t xml:space="preserve">Gezamenlijke oproep </w:t>
        </w:r>
        <w:proofErr w:type="spellStart"/>
        <w:r w:rsidR="009463DD" w:rsidRPr="00922E1B">
          <w:rPr>
            <w:rFonts w:cs="Lohit Hindi"/>
            <w:color w:val="0000FF"/>
            <w:sz w:val="13"/>
            <w:szCs w:val="13"/>
            <w:u w:val="single"/>
          </w:rPr>
          <w:t>Hollandbio</w:t>
        </w:r>
        <w:proofErr w:type="spellEnd"/>
        <w:r w:rsidR="009463DD" w:rsidRPr="00922E1B">
          <w:rPr>
            <w:rFonts w:cs="Lohit Hindi"/>
            <w:color w:val="0000FF"/>
            <w:sz w:val="13"/>
            <w:szCs w:val="13"/>
            <w:u w:val="single"/>
          </w:rPr>
          <w:t>, BVKM, VSOP, VKS, VIG en Comité voor passende route voor vergoeding voor weesgeneesmiddelen</w:t>
        </w:r>
      </w:hyperlink>
      <w:r w:rsidRPr="00922E1B">
        <w:rPr>
          <w:rFonts w:cs="Lohit Hindi"/>
          <w:sz w:val="13"/>
          <w:szCs w:val="13"/>
        </w:rPr>
        <w:t>); Bijdrage van Stichting Comité Weesgeneesmiddelen aan het nieuwe maatschappelijk wegingskader (</w:t>
      </w:r>
      <w:hyperlink r:id="rId4" w:history="1">
        <w:r w:rsidR="009463DD" w:rsidRPr="00922E1B">
          <w:rPr>
            <w:rFonts w:cs="Lohit Hindi"/>
            <w:color w:val="0000FF"/>
            <w:sz w:val="13"/>
            <w:szCs w:val="13"/>
            <w:u w:val="single"/>
          </w:rPr>
          <w:t>20260107-Observaties-Comite-Weesgeneesmiddelen-FINAL.pdf</w:t>
        </w:r>
      </w:hyperlink>
      <w:r w:rsidRPr="00922E1B">
        <w:rPr>
          <w:rFonts w:cs="Lohit Hindi"/>
          <w:sz w:val="13"/>
          <w:szCs w:val="13"/>
        </w:rPr>
        <w:t xml:space="preserve">); </w:t>
      </w:r>
      <w:bookmarkEnd w:id="3"/>
      <w:r w:rsidRPr="00922E1B">
        <w:rPr>
          <w:rFonts w:cs="Lohit Hindi"/>
          <w:sz w:val="13"/>
          <w:szCs w:val="13"/>
        </w:rPr>
        <w:t xml:space="preserve">motie van het lid Claassen Vergaderjaar 2025–2026, 36 800 XVI, nr. 155. </w:t>
      </w:r>
      <w:r w:rsidR="001C44E4" w:rsidRPr="00922E1B">
        <w:rPr>
          <w:rFonts w:cs="Lohit Hindi"/>
          <w:sz w:val="13"/>
          <w:szCs w:val="13"/>
        </w:rPr>
        <w:t xml:space="preserve">Ook is op verzoek van het lid </w:t>
      </w:r>
      <w:proofErr w:type="spellStart"/>
      <w:r w:rsidR="001C44E4" w:rsidRPr="00922E1B">
        <w:rPr>
          <w:rFonts w:cs="Lohit Hindi"/>
          <w:sz w:val="13"/>
          <w:szCs w:val="13"/>
        </w:rPr>
        <w:t>Maeijer</w:t>
      </w:r>
      <w:proofErr w:type="spellEnd"/>
      <w:r w:rsidR="001C44E4" w:rsidRPr="00922E1B">
        <w:rPr>
          <w:rFonts w:cs="Lohit Hindi"/>
          <w:sz w:val="13"/>
          <w:szCs w:val="13"/>
        </w:rPr>
        <w:t xml:space="preserve"> (PVV) een plenair debat aangevraagd over de toegang tot geneesmiddelen in Nederland. Aanleiding hiervoor is de </w:t>
      </w:r>
      <w:proofErr w:type="spellStart"/>
      <w:r w:rsidR="001C44E4" w:rsidRPr="00922E1B">
        <w:rPr>
          <w:rFonts w:cs="Lohit Hindi"/>
          <w:sz w:val="13"/>
          <w:szCs w:val="13"/>
        </w:rPr>
        <w:t>Voxzogo</w:t>
      </w:r>
      <w:proofErr w:type="spellEnd"/>
      <w:r w:rsidR="001C44E4" w:rsidRPr="00922E1B">
        <w:rPr>
          <w:rFonts w:cs="Lohit Hindi"/>
          <w:sz w:val="13"/>
          <w:szCs w:val="13"/>
        </w:rPr>
        <w:t xml:space="preserve"> casus en meer in het algemeen de toegang tot weesgeneesmiddelen.</w:t>
      </w:r>
    </w:p>
  </w:footnote>
  <w:footnote w:id="2">
    <w:p w14:paraId="6647B5F3" w14:textId="77777777" w:rsidR="009463DD" w:rsidRPr="00922E1B" w:rsidRDefault="00000000" w:rsidP="009463DD">
      <w:pPr>
        <w:pStyle w:val="Voetnoottekst"/>
        <w:rPr>
          <w:sz w:val="13"/>
          <w:szCs w:val="13"/>
        </w:rPr>
      </w:pPr>
      <w:r w:rsidRPr="00922E1B">
        <w:rPr>
          <w:rStyle w:val="Voetnootmarkering"/>
          <w:sz w:val="13"/>
          <w:szCs w:val="13"/>
        </w:rPr>
        <w:footnoteRef/>
      </w:r>
      <w:r w:rsidRPr="00922E1B">
        <w:rPr>
          <w:sz w:val="13"/>
          <w:szCs w:val="13"/>
        </w:rPr>
        <w:t xml:space="preserve"> Hierbij wordt gedoeld op het wettelijke criterium ‘de stand van wetenschap en praktijk’ (SWP) dat betekent dat wordt beoordeeld of het nieuwe geneesmiddel tenminste even effectief of effectiever is dan de huidige standaardbehandeling (d.w.z. de relatieve effectiviteit, hierna aangeduid als effectiviteit).</w:t>
      </w:r>
    </w:p>
  </w:footnote>
  <w:footnote w:id="3">
    <w:p w14:paraId="681C099C" w14:textId="77777777" w:rsidR="009463DD" w:rsidRPr="00191464" w:rsidRDefault="00000000" w:rsidP="009463DD">
      <w:pPr>
        <w:pStyle w:val="Voetnoottekst"/>
        <w:rPr>
          <w:sz w:val="13"/>
          <w:szCs w:val="13"/>
        </w:rPr>
      </w:pPr>
      <w:r w:rsidRPr="00922E1B">
        <w:rPr>
          <w:rStyle w:val="Voetnootmarkering"/>
          <w:sz w:val="13"/>
          <w:szCs w:val="13"/>
        </w:rPr>
        <w:footnoteRef/>
      </w:r>
      <w:r w:rsidRPr="00922E1B">
        <w:rPr>
          <w:sz w:val="13"/>
          <w:szCs w:val="13"/>
        </w:rPr>
        <w:t xml:space="preserve"> Zie bijvoorbeeld: Vergaderjaar 2025–2026,29 477, nr. 954</w:t>
      </w:r>
    </w:p>
  </w:footnote>
  <w:footnote w:id="4">
    <w:p w14:paraId="16A999D0" w14:textId="77777777" w:rsidR="009463DD" w:rsidRPr="00616644" w:rsidRDefault="00000000" w:rsidP="009463DD">
      <w:pPr>
        <w:pStyle w:val="Voetnoottekst"/>
        <w:rPr>
          <w:sz w:val="13"/>
          <w:szCs w:val="13"/>
        </w:rPr>
      </w:pPr>
      <w:r w:rsidRPr="00616644">
        <w:rPr>
          <w:rStyle w:val="Voetnootmarkering"/>
          <w:sz w:val="13"/>
          <w:szCs w:val="13"/>
        </w:rPr>
        <w:footnoteRef/>
      </w:r>
      <w:r w:rsidRPr="00616644">
        <w:rPr>
          <w:sz w:val="13"/>
          <w:szCs w:val="13"/>
        </w:rPr>
        <w:t xml:space="preserve"> Een RCT is een wetenschappelijk experiment waarbij deelnemers willekeurig worden verdeeld in een groep die de nieuwe behandeling krijgt en een controlegroep</w:t>
      </w:r>
    </w:p>
  </w:footnote>
  <w:footnote w:id="5">
    <w:p w14:paraId="037E88DF" w14:textId="77777777" w:rsidR="009463DD" w:rsidRPr="007A0832" w:rsidRDefault="00000000" w:rsidP="009463DD">
      <w:pPr>
        <w:pStyle w:val="Voetnoottekst"/>
        <w:rPr>
          <w:sz w:val="13"/>
          <w:szCs w:val="13"/>
        </w:rPr>
      </w:pPr>
      <w:r w:rsidRPr="007A0832">
        <w:rPr>
          <w:rStyle w:val="Voetnootmarkering"/>
          <w:sz w:val="13"/>
          <w:szCs w:val="13"/>
        </w:rPr>
        <w:footnoteRef/>
      </w:r>
      <w:r w:rsidRPr="007A0832">
        <w:rPr>
          <w:sz w:val="13"/>
          <w:szCs w:val="13"/>
        </w:rPr>
        <w:t xml:space="preserve"> Vergaderjaar 2025–2026, 29 477, nr. 955</w:t>
      </w:r>
    </w:p>
  </w:footnote>
  <w:footnote w:id="6">
    <w:p w14:paraId="2855915B" w14:textId="77777777" w:rsidR="009463DD" w:rsidRPr="004E424F" w:rsidRDefault="00000000" w:rsidP="009463DD">
      <w:pPr>
        <w:pStyle w:val="Voetnoottekst"/>
        <w:rPr>
          <w:sz w:val="13"/>
          <w:szCs w:val="13"/>
        </w:rPr>
      </w:pPr>
      <w:r w:rsidRPr="004E424F">
        <w:rPr>
          <w:rStyle w:val="Voetnootmarkering"/>
          <w:sz w:val="13"/>
          <w:szCs w:val="13"/>
        </w:rPr>
        <w:footnoteRef/>
      </w:r>
      <w:r w:rsidRPr="004E424F">
        <w:rPr>
          <w:sz w:val="13"/>
          <w:szCs w:val="13"/>
        </w:rPr>
        <w:t xml:space="preserve"> https://www.uu.nl/nieuws/veel-nieuwe-kankermedicijnen-in-de-eu-hebben-geen-bewezen-toegevoegde-waarde.</w:t>
      </w:r>
    </w:p>
  </w:footnote>
  <w:footnote w:id="7">
    <w:p w14:paraId="75B60854" w14:textId="77777777" w:rsidR="009463DD" w:rsidRPr="004E424F" w:rsidRDefault="00000000" w:rsidP="009463DD">
      <w:pPr>
        <w:pStyle w:val="Voetnoottekst"/>
        <w:rPr>
          <w:sz w:val="13"/>
          <w:szCs w:val="13"/>
        </w:rPr>
      </w:pPr>
      <w:r w:rsidRPr="004E424F">
        <w:rPr>
          <w:rStyle w:val="Voetnootmarkering"/>
          <w:sz w:val="13"/>
          <w:szCs w:val="13"/>
        </w:rPr>
        <w:footnoteRef/>
      </w:r>
      <w:r w:rsidRPr="004E424F">
        <w:rPr>
          <w:sz w:val="13"/>
          <w:szCs w:val="13"/>
        </w:rPr>
        <w:t xml:space="preserve"> Het Zorginstituut werkt in opdracht van het kabinet aan het TSG. </w:t>
      </w:r>
      <w:r w:rsidRPr="009B1BD4">
        <w:rPr>
          <w:sz w:val="13"/>
          <w:szCs w:val="13"/>
        </w:rPr>
        <w:t xml:space="preserve">Het </w:t>
      </w:r>
      <w:r>
        <w:rPr>
          <w:sz w:val="13"/>
          <w:szCs w:val="13"/>
        </w:rPr>
        <w:t xml:space="preserve">TSG heeft als </w:t>
      </w:r>
      <w:r w:rsidRPr="009B1BD4">
        <w:rPr>
          <w:sz w:val="13"/>
          <w:szCs w:val="13"/>
        </w:rPr>
        <w:t xml:space="preserve">doel nieuwe geneesmiddelen gecontroleerd toe te laten tot het basispakket van de zorgverzekering. </w:t>
      </w:r>
      <w:r>
        <w:rPr>
          <w:sz w:val="13"/>
          <w:szCs w:val="13"/>
        </w:rPr>
        <w:t xml:space="preserve">Het doel is ook om </w:t>
      </w:r>
      <w:r w:rsidRPr="009B1BD4">
        <w:rPr>
          <w:sz w:val="13"/>
          <w:szCs w:val="13"/>
        </w:rPr>
        <w:t xml:space="preserve">beoordelingsprocessen </w:t>
      </w:r>
      <w:r>
        <w:rPr>
          <w:sz w:val="13"/>
          <w:szCs w:val="13"/>
        </w:rPr>
        <w:t xml:space="preserve">te </w:t>
      </w:r>
      <w:r w:rsidRPr="009B1BD4">
        <w:rPr>
          <w:sz w:val="13"/>
          <w:szCs w:val="13"/>
        </w:rPr>
        <w:t xml:space="preserve">verduidelijken en </w:t>
      </w:r>
      <w:r>
        <w:rPr>
          <w:sz w:val="13"/>
          <w:szCs w:val="13"/>
        </w:rPr>
        <w:t xml:space="preserve">te </w:t>
      </w:r>
      <w:r w:rsidRPr="009B1BD4">
        <w:rPr>
          <w:sz w:val="13"/>
          <w:szCs w:val="13"/>
        </w:rPr>
        <w:t xml:space="preserve">versnellen waar dat kan. Zo komen goede geneesmiddelen sneller beschikbaar en tegen maatschappelijk aanvaardbare prijzen. </w:t>
      </w:r>
      <w:r w:rsidRPr="004E424F">
        <w:rPr>
          <w:sz w:val="13"/>
          <w:szCs w:val="13"/>
        </w:rPr>
        <w:t>Het kabinet zal de Kamer over de voortgang van TSG nog voor de zomer informeren. Zie ook Kamerbrief Vergaderjaar 2025–2026, 29 477, nr. 960.</w:t>
      </w:r>
    </w:p>
  </w:footnote>
  <w:footnote w:id="8">
    <w:p w14:paraId="636A682A" w14:textId="77777777" w:rsidR="009463DD" w:rsidRDefault="00000000" w:rsidP="009463DD">
      <w:pPr>
        <w:pStyle w:val="Voetnoottekst"/>
      </w:pPr>
      <w:r w:rsidRPr="004E424F">
        <w:rPr>
          <w:rStyle w:val="Voetnootmarkering"/>
          <w:sz w:val="13"/>
          <w:szCs w:val="13"/>
        </w:rPr>
        <w:footnoteRef/>
      </w:r>
      <w:r w:rsidRPr="004E424F">
        <w:rPr>
          <w:sz w:val="13"/>
          <w:szCs w:val="13"/>
        </w:rPr>
        <w:t xml:space="preserve"> Zie hiervoor ook de Kamerbrief met aandachtspunten bij de inzet van </w:t>
      </w:r>
      <w:proofErr w:type="spellStart"/>
      <w:r w:rsidRPr="004E424F">
        <w:rPr>
          <w:sz w:val="13"/>
          <w:szCs w:val="13"/>
        </w:rPr>
        <w:t>pay</w:t>
      </w:r>
      <w:proofErr w:type="spellEnd"/>
      <w:r w:rsidRPr="004E424F">
        <w:rPr>
          <w:sz w:val="13"/>
          <w:szCs w:val="13"/>
        </w:rPr>
        <w:t>-</w:t>
      </w:r>
      <w:proofErr w:type="spellStart"/>
      <w:r w:rsidRPr="004E424F">
        <w:rPr>
          <w:sz w:val="13"/>
          <w:szCs w:val="13"/>
        </w:rPr>
        <w:t>for</w:t>
      </w:r>
      <w:proofErr w:type="spellEnd"/>
      <w:r w:rsidRPr="004E424F">
        <w:rPr>
          <w:sz w:val="13"/>
          <w:szCs w:val="13"/>
        </w:rPr>
        <w:t xml:space="preserve">-performance: </w:t>
      </w:r>
      <w:hyperlink r:id="rId5" w:history="1">
        <w:r w:rsidR="009463DD" w:rsidRPr="00F329DB">
          <w:rPr>
            <w:rStyle w:val="Hyperlink"/>
            <w:sz w:val="13"/>
            <w:szCs w:val="13"/>
          </w:rPr>
          <w:t>https://zoek.officielebekendmakingen.nl/kst-29477-757.pdf</w:t>
        </w:r>
      </w:hyperlink>
    </w:p>
  </w:footnote>
  <w:footnote w:id="9">
    <w:p w14:paraId="042AF199" w14:textId="77777777" w:rsidR="009463DD" w:rsidRPr="00BB54B8" w:rsidRDefault="00000000" w:rsidP="009463DD">
      <w:pPr>
        <w:pStyle w:val="Voetnoottekst"/>
        <w:rPr>
          <w:sz w:val="13"/>
          <w:szCs w:val="13"/>
        </w:rPr>
      </w:pPr>
      <w:r w:rsidRPr="00BB54B8">
        <w:rPr>
          <w:rStyle w:val="Voetnootmarkering"/>
          <w:sz w:val="13"/>
          <w:szCs w:val="13"/>
        </w:rPr>
        <w:footnoteRef/>
      </w:r>
      <w:r w:rsidRPr="00BB54B8">
        <w:rPr>
          <w:sz w:val="13"/>
          <w:szCs w:val="13"/>
        </w:rPr>
        <w:t xml:space="preserve"> De precieze details moeten nog worden uitgewerkt, zie ook de bijlage</w:t>
      </w:r>
      <w:r>
        <w:rPr>
          <w:sz w:val="13"/>
          <w:szCs w:val="13"/>
        </w:rPr>
        <w:t xml:space="preserve"> van de </w:t>
      </w:r>
      <w:r w:rsidRPr="00915F49">
        <w:rPr>
          <w:sz w:val="13"/>
          <w:szCs w:val="13"/>
        </w:rPr>
        <w:t>brief met de appreciatie van de evaluatie van de VT</w:t>
      </w:r>
      <w:r>
        <w:rPr>
          <w:sz w:val="13"/>
          <w:szCs w:val="13"/>
        </w:rPr>
        <w:t>.</w:t>
      </w:r>
    </w:p>
  </w:footnote>
  <w:footnote w:id="10">
    <w:p w14:paraId="7E8321FE" w14:textId="77777777" w:rsidR="009463DD" w:rsidRPr="007A0832" w:rsidRDefault="00000000" w:rsidP="009463DD">
      <w:pPr>
        <w:pStyle w:val="Voetnoottekst"/>
        <w:rPr>
          <w:sz w:val="13"/>
          <w:szCs w:val="13"/>
        </w:rPr>
      </w:pPr>
      <w:r w:rsidRPr="007A0832">
        <w:rPr>
          <w:rStyle w:val="Voetnootmarkering"/>
          <w:sz w:val="13"/>
          <w:szCs w:val="13"/>
        </w:rPr>
        <w:footnoteRef/>
      </w:r>
      <w:r w:rsidRPr="007A0832">
        <w:rPr>
          <w:sz w:val="13"/>
          <w:szCs w:val="13"/>
        </w:rPr>
        <w:t xml:space="preserve"> Vergaderjaar 2025–2026,29 477, nr. 954</w:t>
      </w:r>
    </w:p>
  </w:footnote>
  <w:footnote w:id="11">
    <w:p w14:paraId="07BBFBF2" w14:textId="77777777" w:rsidR="009463DD" w:rsidRPr="007A0832" w:rsidRDefault="00000000" w:rsidP="009463DD">
      <w:pPr>
        <w:pStyle w:val="Voetnoottekst"/>
        <w:rPr>
          <w:sz w:val="13"/>
          <w:szCs w:val="13"/>
        </w:rPr>
      </w:pPr>
      <w:r w:rsidRPr="007A0832">
        <w:rPr>
          <w:rStyle w:val="Voetnootmarkering"/>
          <w:sz w:val="13"/>
          <w:szCs w:val="13"/>
        </w:rPr>
        <w:footnoteRef/>
      </w:r>
      <w:r w:rsidRPr="007A0832">
        <w:rPr>
          <w:sz w:val="13"/>
          <w:szCs w:val="13"/>
        </w:rPr>
        <w:t xml:space="preserve"> </w:t>
      </w:r>
      <w:hyperlink r:id="rId6" w:history="1">
        <w:r w:rsidR="009463DD" w:rsidRPr="007A0832">
          <w:rPr>
            <w:rFonts w:cs="Lohit Hindi"/>
            <w:color w:val="0000FF"/>
            <w:sz w:val="13"/>
            <w:szCs w:val="13"/>
            <w:u w:val="single"/>
          </w:rPr>
          <w:t xml:space="preserve">Zorginstituut betreurt beslissing fabrikant middel </w:t>
        </w:r>
        <w:proofErr w:type="spellStart"/>
        <w:r w:rsidR="009463DD" w:rsidRPr="007A0832">
          <w:rPr>
            <w:rFonts w:cs="Lohit Hindi"/>
            <w:color w:val="0000FF"/>
            <w:sz w:val="13"/>
            <w:szCs w:val="13"/>
            <w:u w:val="single"/>
          </w:rPr>
          <w:t>Voxzogo</w:t>
        </w:r>
        <w:proofErr w:type="spellEnd"/>
        <w:r w:rsidR="009463DD" w:rsidRPr="007A0832">
          <w:rPr>
            <w:rFonts w:cs="Lohit Hindi"/>
            <w:color w:val="0000FF"/>
            <w:sz w:val="13"/>
            <w:szCs w:val="13"/>
            <w:u w:val="single"/>
          </w:rPr>
          <w:t xml:space="preserve"> niet beschikbaar te maken | Zorginstituut Nederland</w:t>
        </w:r>
      </w:hyperlink>
    </w:p>
  </w:footnote>
  <w:footnote w:id="12">
    <w:p w14:paraId="51BD3154" w14:textId="77777777" w:rsidR="009463DD" w:rsidRPr="004B2207" w:rsidRDefault="00000000" w:rsidP="009463DD">
      <w:pPr>
        <w:pStyle w:val="Voetnoottekst"/>
        <w:rPr>
          <w:sz w:val="13"/>
          <w:szCs w:val="13"/>
        </w:rPr>
      </w:pPr>
      <w:r w:rsidRPr="004B2207">
        <w:rPr>
          <w:rStyle w:val="Voetnootmarkering"/>
          <w:sz w:val="13"/>
          <w:szCs w:val="13"/>
        </w:rPr>
        <w:footnoteRef/>
      </w:r>
      <w:r w:rsidRPr="004B2207">
        <w:rPr>
          <w:sz w:val="13"/>
          <w:szCs w:val="13"/>
        </w:rPr>
        <w:t xml:space="preserve"> </w:t>
      </w:r>
      <w:hyperlink r:id="rId7" w:history="1">
        <w:proofErr w:type="spellStart"/>
        <w:r w:rsidR="009463DD" w:rsidRPr="004B2207">
          <w:rPr>
            <w:rFonts w:cs="Lohit Hindi"/>
            <w:color w:val="0000FF"/>
            <w:sz w:val="13"/>
            <w:szCs w:val="13"/>
            <w:u w:val="single"/>
          </w:rPr>
          <w:t>Navepegritide</w:t>
        </w:r>
        <w:proofErr w:type="spellEnd"/>
        <w:r w:rsidR="009463DD" w:rsidRPr="004B2207">
          <w:rPr>
            <w:rFonts w:cs="Lohit Hindi"/>
            <w:color w:val="0000FF"/>
            <w:sz w:val="13"/>
            <w:szCs w:val="13"/>
            <w:u w:val="single"/>
          </w:rPr>
          <w:t xml:space="preserve"> | Horizonscan geneesmiddelen</w:t>
        </w:r>
      </w:hyperlink>
    </w:p>
  </w:footnote>
  <w:footnote w:id="13">
    <w:p w14:paraId="621A491E" w14:textId="77777777" w:rsidR="009463DD" w:rsidRDefault="00000000" w:rsidP="009463DD">
      <w:pPr>
        <w:pStyle w:val="Voetnoottekst"/>
      </w:pPr>
      <w:r w:rsidRPr="004B2207">
        <w:rPr>
          <w:rStyle w:val="Voetnootmarkering"/>
          <w:sz w:val="13"/>
          <w:szCs w:val="13"/>
        </w:rPr>
        <w:footnoteRef/>
      </w:r>
      <w:r w:rsidRPr="004B2207">
        <w:rPr>
          <w:sz w:val="13"/>
          <w:szCs w:val="13"/>
        </w:rPr>
        <w:t xml:space="preserve"> </w:t>
      </w:r>
      <w:hyperlink r:id="rId8" w:history="1">
        <w:proofErr w:type="spellStart"/>
        <w:r w:rsidR="009463DD" w:rsidRPr="004B2207">
          <w:rPr>
            <w:rFonts w:cs="Lohit Hindi"/>
            <w:color w:val="0000FF"/>
            <w:sz w:val="13"/>
            <w:szCs w:val="13"/>
            <w:u w:val="single"/>
          </w:rPr>
          <w:t>Infigratinib</w:t>
        </w:r>
        <w:proofErr w:type="spellEnd"/>
        <w:r w:rsidR="009463DD" w:rsidRPr="004B2207">
          <w:rPr>
            <w:rFonts w:cs="Lohit Hindi"/>
            <w:color w:val="0000FF"/>
            <w:sz w:val="13"/>
            <w:szCs w:val="13"/>
            <w:u w:val="single"/>
          </w:rPr>
          <w:t xml:space="preserve"> | Horizonscan geneesmiddelen</w:t>
        </w:r>
      </w:hyperlink>
    </w:p>
  </w:footnote>
  <w:footnote w:id="14">
    <w:p w14:paraId="2573E96E" w14:textId="77777777" w:rsidR="009463DD" w:rsidRPr="006D4FA7" w:rsidRDefault="00000000" w:rsidP="009463DD">
      <w:pPr>
        <w:pStyle w:val="Voetnoottekst"/>
        <w:rPr>
          <w:sz w:val="13"/>
          <w:szCs w:val="13"/>
        </w:rPr>
      </w:pPr>
      <w:r w:rsidRPr="006D4FA7">
        <w:rPr>
          <w:rStyle w:val="Voetnootmarkering"/>
          <w:sz w:val="13"/>
          <w:szCs w:val="13"/>
        </w:rPr>
        <w:footnoteRef/>
      </w:r>
      <w:r w:rsidRPr="006D4FA7">
        <w:rPr>
          <w:sz w:val="13"/>
          <w:szCs w:val="13"/>
        </w:rPr>
        <w:t xml:space="preserve"> Vergaderjaar 2024-2025, Kamerstuk 29477, nr. 942</w:t>
      </w:r>
    </w:p>
  </w:footnote>
  <w:footnote w:id="15">
    <w:p w14:paraId="6ACED928" w14:textId="77777777" w:rsidR="009463DD" w:rsidRPr="007A0832" w:rsidRDefault="00000000" w:rsidP="009463DD">
      <w:pPr>
        <w:pStyle w:val="Voetnoottekst"/>
        <w:rPr>
          <w:sz w:val="13"/>
          <w:szCs w:val="13"/>
        </w:rPr>
      </w:pPr>
      <w:r w:rsidRPr="007A0832">
        <w:rPr>
          <w:rStyle w:val="Voetnootmarkering"/>
          <w:sz w:val="13"/>
          <w:szCs w:val="13"/>
        </w:rPr>
        <w:footnoteRef/>
      </w:r>
      <w:r w:rsidRPr="007A0832">
        <w:rPr>
          <w:sz w:val="13"/>
          <w:szCs w:val="13"/>
        </w:rPr>
        <w:t xml:space="preserve"> Zie bijvoorbeeld: </w:t>
      </w:r>
      <w:hyperlink r:id="rId9" w:history="1">
        <w:r w:rsidR="009463DD" w:rsidRPr="007A0832">
          <w:rPr>
            <w:color w:val="0000FF"/>
            <w:sz w:val="13"/>
            <w:szCs w:val="13"/>
            <w:u w:val="single"/>
          </w:rPr>
          <w:t>Op maat gemaakte therapie repareert kapot gen van zieke baby in VS - NRC</w:t>
        </w:r>
      </w:hyperlink>
      <w:r w:rsidRPr="007A0832">
        <w:rPr>
          <w:sz w:val="13"/>
          <w:szCs w:val="13"/>
        </w:rPr>
        <w:t xml:space="preserve"> en ‘</w:t>
      </w:r>
      <w:proofErr w:type="spellStart"/>
      <w:r w:rsidRPr="007A0832">
        <w:rPr>
          <w:sz w:val="13"/>
          <w:szCs w:val="13"/>
        </w:rPr>
        <w:t>From</w:t>
      </w:r>
      <w:proofErr w:type="spellEnd"/>
      <w:r w:rsidRPr="007A0832">
        <w:rPr>
          <w:sz w:val="13"/>
          <w:szCs w:val="13"/>
        </w:rPr>
        <w:t xml:space="preserve"> </w:t>
      </w:r>
      <w:proofErr w:type="spellStart"/>
      <w:r w:rsidRPr="007A0832">
        <w:rPr>
          <w:sz w:val="13"/>
          <w:szCs w:val="13"/>
        </w:rPr>
        <w:t>roadmap</w:t>
      </w:r>
      <w:proofErr w:type="spellEnd"/>
      <w:r w:rsidRPr="007A0832">
        <w:rPr>
          <w:sz w:val="13"/>
          <w:szCs w:val="13"/>
        </w:rPr>
        <w:t xml:space="preserve"> </w:t>
      </w:r>
      <w:proofErr w:type="spellStart"/>
      <w:r w:rsidRPr="007A0832">
        <w:rPr>
          <w:sz w:val="13"/>
          <w:szCs w:val="13"/>
        </w:rPr>
        <w:t>to</w:t>
      </w:r>
      <w:proofErr w:type="spellEnd"/>
      <w:r w:rsidRPr="007A0832">
        <w:rPr>
          <w:sz w:val="13"/>
          <w:szCs w:val="13"/>
        </w:rPr>
        <w:t xml:space="preserve"> a </w:t>
      </w:r>
      <w:proofErr w:type="spellStart"/>
      <w:r w:rsidRPr="007A0832">
        <w:rPr>
          <w:sz w:val="13"/>
          <w:szCs w:val="13"/>
        </w:rPr>
        <w:t>sustainable</w:t>
      </w:r>
      <w:proofErr w:type="spellEnd"/>
      <w:r w:rsidRPr="007A0832">
        <w:rPr>
          <w:sz w:val="13"/>
          <w:szCs w:val="13"/>
        </w:rPr>
        <w:t xml:space="preserve"> end-</w:t>
      </w:r>
      <w:proofErr w:type="spellStart"/>
      <w:r w:rsidRPr="007A0832">
        <w:rPr>
          <w:sz w:val="13"/>
          <w:szCs w:val="13"/>
        </w:rPr>
        <w:t>to</w:t>
      </w:r>
      <w:proofErr w:type="spellEnd"/>
      <w:r w:rsidRPr="007A0832">
        <w:rPr>
          <w:sz w:val="13"/>
          <w:szCs w:val="13"/>
        </w:rPr>
        <w:t xml:space="preserve">-end </w:t>
      </w:r>
      <w:proofErr w:type="spellStart"/>
      <w:r w:rsidRPr="007A0832">
        <w:rPr>
          <w:sz w:val="13"/>
          <w:szCs w:val="13"/>
        </w:rPr>
        <w:t>individualized</w:t>
      </w:r>
      <w:proofErr w:type="spellEnd"/>
      <w:r w:rsidRPr="007A0832">
        <w:rPr>
          <w:sz w:val="13"/>
          <w:szCs w:val="13"/>
        </w:rPr>
        <w:t xml:space="preserve"> </w:t>
      </w:r>
      <w:proofErr w:type="spellStart"/>
      <w:r w:rsidRPr="007A0832">
        <w:rPr>
          <w:sz w:val="13"/>
          <w:szCs w:val="13"/>
        </w:rPr>
        <w:t>therapy</w:t>
      </w:r>
      <w:proofErr w:type="spellEnd"/>
      <w:r w:rsidRPr="007A0832">
        <w:rPr>
          <w:sz w:val="13"/>
          <w:szCs w:val="13"/>
        </w:rPr>
        <w:t xml:space="preserve"> </w:t>
      </w:r>
      <w:proofErr w:type="spellStart"/>
      <w:r w:rsidRPr="007A0832">
        <w:rPr>
          <w:sz w:val="13"/>
          <w:szCs w:val="13"/>
        </w:rPr>
        <w:t>pathway</w:t>
      </w:r>
      <w:proofErr w:type="spellEnd"/>
      <w:r w:rsidRPr="007A0832">
        <w:rPr>
          <w:sz w:val="13"/>
          <w:szCs w:val="13"/>
        </w:rPr>
        <w:t xml:space="preserve">’, </w:t>
      </w:r>
      <w:proofErr w:type="spellStart"/>
      <w:r w:rsidRPr="007A0832">
        <w:rPr>
          <w:sz w:val="13"/>
          <w:szCs w:val="13"/>
        </w:rPr>
        <w:t>Ther</w:t>
      </w:r>
      <w:proofErr w:type="spellEnd"/>
      <w:r w:rsidRPr="007A0832">
        <w:rPr>
          <w:sz w:val="13"/>
          <w:szCs w:val="13"/>
        </w:rPr>
        <w:t xml:space="preserve"> Adv Rare Dis 2025, Vol. 6: 1–17.</w:t>
      </w:r>
    </w:p>
  </w:footnote>
  <w:footnote w:id="16">
    <w:p w14:paraId="1C6DB637" w14:textId="77777777" w:rsidR="009463DD" w:rsidRPr="00124BB7" w:rsidRDefault="00000000" w:rsidP="009463DD">
      <w:pPr>
        <w:pStyle w:val="Voetnoottekst"/>
        <w:rPr>
          <w:sz w:val="13"/>
          <w:szCs w:val="13"/>
        </w:rPr>
      </w:pPr>
      <w:r w:rsidRPr="00124BB7">
        <w:rPr>
          <w:rStyle w:val="Voetnootmarkering"/>
          <w:sz w:val="13"/>
          <w:szCs w:val="13"/>
        </w:rPr>
        <w:footnoteRef/>
      </w:r>
      <w:r w:rsidRPr="00124BB7">
        <w:rPr>
          <w:sz w:val="13"/>
          <w:szCs w:val="13"/>
        </w:rPr>
        <w:t xml:space="preserve"> Vergaderjaar 2025–2026, 29 477, nr. 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CDFB" w14:textId="41C6CCF4" w:rsidR="00CD5856" w:rsidRDefault="00000000">
    <w:pPr>
      <w:pStyle w:val="Koptekst"/>
    </w:pPr>
    <w:r>
      <w:rPr>
        <w:noProof/>
        <w:lang w:eastAsia="nl-NL" w:bidi="ar-SA"/>
      </w:rPr>
      <w:drawing>
        <wp:anchor distT="0" distB="0" distL="114300" distR="114300" simplePos="0" relativeHeight="251652096" behindDoc="1" locked="0" layoutInCell="1" allowOverlap="1" wp14:anchorId="4F42DB2A" wp14:editId="52DEB8B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5622CBC" wp14:editId="625B0EB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A34B0">
      <w:rPr>
        <w:noProof/>
        <w:lang w:eastAsia="nl-NL" w:bidi="ar-SA"/>
      </w:rPr>
      <mc:AlternateContent>
        <mc:Choice Requires="wps">
          <w:drawing>
            <wp:anchor distT="0" distB="0" distL="114300" distR="114300" simplePos="0" relativeHeight="251658240" behindDoc="0" locked="0" layoutInCell="1" allowOverlap="1" wp14:anchorId="5A50B4A9" wp14:editId="69537545">
              <wp:simplePos x="0" y="0"/>
              <wp:positionH relativeFrom="page">
                <wp:posOffset>5922645</wp:posOffset>
              </wp:positionH>
              <wp:positionV relativeFrom="page">
                <wp:posOffset>1965960</wp:posOffset>
              </wp:positionV>
              <wp:extent cx="1259840" cy="8009890"/>
              <wp:effectExtent l="7620" t="13335" r="8890" b="6350"/>
              <wp:wrapNone/>
              <wp:docPr id="12191963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A497E6F" w14:textId="77777777" w:rsidR="00CD5856" w:rsidRDefault="00000000">
                          <w:pPr>
                            <w:pStyle w:val="Huisstijl-AfzendgegevensW1"/>
                          </w:pPr>
                          <w:r>
                            <w:t>Bezoekadres</w:t>
                          </w:r>
                        </w:p>
                        <w:p w14:paraId="60843845" w14:textId="77777777" w:rsidR="00CD5856" w:rsidRDefault="00000000">
                          <w:pPr>
                            <w:pStyle w:val="Huisstijl-Afzendgegevens"/>
                          </w:pPr>
                          <w:r>
                            <w:t>Parnassusplein 5</w:t>
                          </w:r>
                        </w:p>
                        <w:p w14:paraId="4B6FA800" w14:textId="77777777" w:rsidR="00922E1B" w:rsidRDefault="00000000">
                          <w:pPr>
                            <w:pStyle w:val="Huisstijl-Afzendgegevens"/>
                          </w:pPr>
                          <w:r>
                            <w:t>2511</w:t>
                          </w:r>
                          <w:r w:rsidR="008D59C5" w:rsidRPr="008D59C5">
                            <w:t xml:space="preserve"> </w:t>
                          </w:r>
                          <w:r>
                            <w:t>VX</w:t>
                          </w:r>
                          <w:r w:rsidR="00E1490C">
                            <w:t xml:space="preserve">  </w:t>
                          </w:r>
                          <w:r w:rsidR="008D59C5" w:rsidRPr="008D59C5">
                            <w:t>Den Haag</w:t>
                          </w:r>
                        </w:p>
                        <w:p w14:paraId="158CE849" w14:textId="77777777" w:rsidR="00922E1B" w:rsidRDefault="00922E1B" w:rsidP="00922E1B">
                          <w:pPr>
                            <w:pStyle w:val="Huisstijl-Afzendgegevens"/>
                          </w:pPr>
                          <w:hyperlink r:id="rId3" w:history="1">
                            <w:r w:rsidRPr="00C85CE3">
                              <w:rPr>
                                <w:rStyle w:val="Hyperlink"/>
                              </w:rPr>
                              <w:t>www.rijksoverheid.nl</w:t>
                            </w:r>
                          </w:hyperlink>
                        </w:p>
                        <w:p w14:paraId="59B7FBA7" w14:textId="77777777" w:rsidR="00922E1B" w:rsidRDefault="00922E1B" w:rsidP="00922E1B">
                          <w:pPr>
                            <w:pStyle w:val="Huisstijl-Afzendgegevens"/>
                          </w:pPr>
                        </w:p>
                        <w:p w14:paraId="023E2C49" w14:textId="77777777" w:rsidR="00CD5856" w:rsidRPr="00922E1B" w:rsidRDefault="00000000" w:rsidP="00922E1B">
                          <w:pPr>
                            <w:pStyle w:val="Huisstijl-Afzendgegevens"/>
                            <w:rPr>
                              <w:b/>
                              <w:bCs/>
                            </w:rPr>
                          </w:pPr>
                          <w:r w:rsidRPr="00922E1B">
                            <w:rPr>
                              <w:b/>
                              <w:bCs/>
                            </w:rPr>
                            <w:t>Kenmerk</w:t>
                          </w:r>
                        </w:p>
                        <w:p w14:paraId="26358E3D" w14:textId="77777777" w:rsidR="00CD5856" w:rsidRDefault="00000000">
                          <w:pPr>
                            <w:pStyle w:val="Huisstijl-Referentiegegevens"/>
                          </w:pPr>
                          <w:bookmarkStart w:id="0" w:name="_Hlk117784077"/>
                          <w:r>
                            <w:t>4388572-1099130-GMT</w:t>
                          </w:r>
                        </w:p>
                        <w:bookmarkEnd w:id="0"/>
                        <w:p w14:paraId="6F9E89F5" w14:textId="77777777" w:rsidR="00CD5856" w:rsidRDefault="00CD5856">
                          <w:pPr>
                            <w:pStyle w:val="Huisstijl-Referentiegegevens"/>
                          </w:pPr>
                        </w:p>
                        <w:p w14:paraId="301F7E01" w14:textId="77777777" w:rsidR="00CD5856" w:rsidRDefault="00000000">
                          <w:pPr>
                            <w:pStyle w:val="Huisstijl-Algemenevoorwaarden"/>
                          </w:pPr>
                          <w:r>
                            <w:t>Correspondentie uitsluitend richten aan het retouradres met vermelding van de datum en het kenmerk van deze brief.</w:t>
                          </w:r>
                        </w:p>
                        <w:p w14:paraId="4331CBE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50B4A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A497E6F" w14:textId="77777777" w:rsidR="00CD5856" w:rsidRDefault="00000000">
                    <w:pPr>
                      <w:pStyle w:val="Huisstijl-AfzendgegevensW1"/>
                    </w:pPr>
                    <w:r>
                      <w:t>Bezoekadres</w:t>
                    </w:r>
                  </w:p>
                  <w:p w14:paraId="60843845" w14:textId="77777777" w:rsidR="00CD5856" w:rsidRDefault="00000000">
                    <w:pPr>
                      <w:pStyle w:val="Huisstijl-Afzendgegevens"/>
                    </w:pPr>
                    <w:r>
                      <w:t>Parnassusplein 5</w:t>
                    </w:r>
                  </w:p>
                  <w:p w14:paraId="4B6FA800" w14:textId="77777777" w:rsidR="00922E1B" w:rsidRDefault="00000000">
                    <w:pPr>
                      <w:pStyle w:val="Huisstijl-Afzendgegevens"/>
                    </w:pPr>
                    <w:r>
                      <w:t>2511</w:t>
                    </w:r>
                    <w:r w:rsidR="008D59C5" w:rsidRPr="008D59C5">
                      <w:t xml:space="preserve"> </w:t>
                    </w:r>
                    <w:r>
                      <w:t>VX</w:t>
                    </w:r>
                    <w:r w:rsidR="00E1490C">
                      <w:t xml:space="preserve">  </w:t>
                    </w:r>
                    <w:r w:rsidR="008D59C5" w:rsidRPr="008D59C5">
                      <w:t>Den Haag</w:t>
                    </w:r>
                  </w:p>
                  <w:p w14:paraId="158CE849" w14:textId="77777777" w:rsidR="00922E1B" w:rsidRDefault="00922E1B" w:rsidP="00922E1B">
                    <w:pPr>
                      <w:pStyle w:val="Huisstijl-Afzendgegevens"/>
                    </w:pPr>
                    <w:hyperlink r:id="rId4" w:history="1">
                      <w:r w:rsidRPr="00C85CE3">
                        <w:rPr>
                          <w:rStyle w:val="Hyperlink"/>
                        </w:rPr>
                        <w:t>www.rijksoverheid.nl</w:t>
                      </w:r>
                    </w:hyperlink>
                  </w:p>
                  <w:p w14:paraId="59B7FBA7" w14:textId="77777777" w:rsidR="00922E1B" w:rsidRDefault="00922E1B" w:rsidP="00922E1B">
                    <w:pPr>
                      <w:pStyle w:val="Huisstijl-Afzendgegevens"/>
                    </w:pPr>
                  </w:p>
                  <w:p w14:paraId="023E2C49" w14:textId="77777777" w:rsidR="00CD5856" w:rsidRPr="00922E1B" w:rsidRDefault="00000000" w:rsidP="00922E1B">
                    <w:pPr>
                      <w:pStyle w:val="Huisstijl-Afzendgegevens"/>
                      <w:rPr>
                        <w:b/>
                        <w:bCs/>
                      </w:rPr>
                    </w:pPr>
                    <w:r w:rsidRPr="00922E1B">
                      <w:rPr>
                        <w:b/>
                        <w:bCs/>
                      </w:rPr>
                      <w:t>Kenmerk</w:t>
                    </w:r>
                  </w:p>
                  <w:p w14:paraId="26358E3D" w14:textId="77777777" w:rsidR="00CD5856" w:rsidRDefault="00000000">
                    <w:pPr>
                      <w:pStyle w:val="Huisstijl-Referentiegegevens"/>
                    </w:pPr>
                    <w:bookmarkStart w:id="1" w:name="_Hlk117784077"/>
                    <w:r>
                      <w:t>4388572-1099130-GMT</w:t>
                    </w:r>
                  </w:p>
                  <w:bookmarkEnd w:id="1"/>
                  <w:p w14:paraId="6F9E89F5" w14:textId="77777777" w:rsidR="00CD5856" w:rsidRDefault="00CD5856">
                    <w:pPr>
                      <w:pStyle w:val="Huisstijl-Referentiegegevens"/>
                    </w:pPr>
                  </w:p>
                  <w:p w14:paraId="301F7E01" w14:textId="77777777" w:rsidR="00CD5856" w:rsidRDefault="00000000">
                    <w:pPr>
                      <w:pStyle w:val="Huisstijl-Algemenevoorwaarden"/>
                    </w:pPr>
                    <w:r>
                      <w:t>Correspondentie uitsluitend richten aan het retouradres met vermelding van de datum en het kenmerk van deze brief.</w:t>
                    </w:r>
                  </w:p>
                  <w:p w14:paraId="4331CBE6" w14:textId="77777777" w:rsidR="00CD5856" w:rsidRDefault="00CD5856"/>
                </w:txbxContent>
              </v:textbox>
              <w10:wrap anchorx="page" anchory="page"/>
            </v:shape>
          </w:pict>
        </mc:Fallback>
      </mc:AlternateContent>
    </w:r>
    <w:r w:rsidR="00EA34B0">
      <w:rPr>
        <w:noProof/>
        <w:lang w:eastAsia="nl-NL" w:bidi="ar-SA"/>
      </w:rPr>
      <mc:AlternateContent>
        <mc:Choice Requires="wps">
          <w:drawing>
            <wp:anchor distT="0" distB="0" distL="114300" distR="114300" simplePos="0" relativeHeight="251657216" behindDoc="0" locked="0" layoutInCell="1" allowOverlap="1" wp14:anchorId="652F8EFC" wp14:editId="14F8939D">
              <wp:simplePos x="0" y="0"/>
              <wp:positionH relativeFrom="page">
                <wp:posOffset>1011555</wp:posOffset>
              </wp:positionH>
              <wp:positionV relativeFrom="page">
                <wp:posOffset>3769995</wp:posOffset>
              </wp:positionV>
              <wp:extent cx="4103370" cy="466725"/>
              <wp:effectExtent l="11430" t="7620" r="9525" b="11430"/>
              <wp:wrapNone/>
              <wp:docPr id="13798605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8F0FF64" w14:textId="468855D3" w:rsidR="00CD5856" w:rsidRDefault="00000000">
                          <w:pPr>
                            <w:pStyle w:val="Huisstijl-Datumenbetreft"/>
                            <w:tabs>
                              <w:tab w:val="clear" w:pos="737"/>
                              <w:tab w:val="left" w:pos="-5954"/>
                              <w:tab w:val="left" w:pos="-5670"/>
                              <w:tab w:val="left" w:pos="1134"/>
                            </w:tabs>
                          </w:pPr>
                          <w:r>
                            <w:t>Datum</w:t>
                          </w:r>
                          <w:r w:rsidR="00E1490C">
                            <w:tab/>
                          </w:r>
                          <w:r w:rsidR="004B6B02">
                            <w:t xml:space="preserve">28 </w:t>
                          </w:r>
                          <w:r w:rsidR="000B66A3">
                            <w:t>mei</w:t>
                          </w:r>
                          <w:r w:rsidR="004B6B02">
                            <w:t xml:space="preserve"> 2026</w:t>
                          </w:r>
                        </w:p>
                        <w:p w14:paraId="50828A06" w14:textId="77777777" w:rsidR="00CD5856" w:rsidRDefault="00000000">
                          <w:pPr>
                            <w:pStyle w:val="Huisstijl-Datumenbetreft"/>
                            <w:tabs>
                              <w:tab w:val="clear" w:pos="737"/>
                              <w:tab w:val="left" w:pos="-5954"/>
                              <w:tab w:val="left" w:pos="-5670"/>
                              <w:tab w:val="left" w:pos="1134"/>
                            </w:tabs>
                          </w:pPr>
                          <w:r>
                            <w:t>Betreft</w:t>
                          </w:r>
                          <w:r w:rsidR="00E1490C">
                            <w:tab/>
                          </w:r>
                          <w:r w:rsidR="00B93907">
                            <w:t>V</w:t>
                          </w:r>
                          <w:r w:rsidR="001D4B67">
                            <w:t xml:space="preserve">ergoeding </w:t>
                          </w:r>
                          <w:r w:rsidR="00B93907">
                            <w:t xml:space="preserve">van </w:t>
                          </w:r>
                          <w:r w:rsidR="001D4B67">
                            <w:t>weesgeneesmiddelen</w:t>
                          </w:r>
                        </w:p>
                        <w:p w14:paraId="3AF5FB3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2F8EFC"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8F0FF64" w14:textId="468855D3" w:rsidR="00CD5856" w:rsidRDefault="00000000">
                    <w:pPr>
                      <w:pStyle w:val="Huisstijl-Datumenbetreft"/>
                      <w:tabs>
                        <w:tab w:val="clear" w:pos="737"/>
                        <w:tab w:val="left" w:pos="-5954"/>
                        <w:tab w:val="left" w:pos="-5670"/>
                        <w:tab w:val="left" w:pos="1134"/>
                      </w:tabs>
                    </w:pPr>
                    <w:r>
                      <w:t>Datum</w:t>
                    </w:r>
                    <w:r w:rsidR="00E1490C">
                      <w:tab/>
                    </w:r>
                    <w:r w:rsidR="004B6B02">
                      <w:t xml:space="preserve">28 </w:t>
                    </w:r>
                    <w:r w:rsidR="000B66A3">
                      <w:t>mei</w:t>
                    </w:r>
                    <w:r w:rsidR="004B6B02">
                      <w:t xml:space="preserve"> 2026</w:t>
                    </w:r>
                  </w:p>
                  <w:p w14:paraId="50828A06" w14:textId="77777777" w:rsidR="00CD5856" w:rsidRDefault="00000000">
                    <w:pPr>
                      <w:pStyle w:val="Huisstijl-Datumenbetreft"/>
                      <w:tabs>
                        <w:tab w:val="clear" w:pos="737"/>
                        <w:tab w:val="left" w:pos="-5954"/>
                        <w:tab w:val="left" w:pos="-5670"/>
                        <w:tab w:val="left" w:pos="1134"/>
                      </w:tabs>
                    </w:pPr>
                    <w:r>
                      <w:t>Betreft</w:t>
                    </w:r>
                    <w:r w:rsidR="00E1490C">
                      <w:tab/>
                    </w:r>
                    <w:r w:rsidR="00B93907">
                      <w:t>V</w:t>
                    </w:r>
                    <w:r w:rsidR="001D4B67">
                      <w:t xml:space="preserve">ergoeding </w:t>
                    </w:r>
                    <w:r w:rsidR="00B93907">
                      <w:t xml:space="preserve">van </w:t>
                    </w:r>
                    <w:r w:rsidR="001D4B67">
                      <w:t>weesgeneesmiddelen</w:t>
                    </w:r>
                  </w:p>
                  <w:p w14:paraId="3AF5FB32" w14:textId="77777777" w:rsidR="00CD5856" w:rsidRDefault="00CD5856">
                    <w:pPr>
                      <w:pStyle w:val="Huisstijl-Datumenbetreft"/>
                      <w:tabs>
                        <w:tab w:val="left" w:pos="-5954"/>
                        <w:tab w:val="left" w:pos="-5670"/>
                      </w:tabs>
                    </w:pPr>
                  </w:p>
                </w:txbxContent>
              </v:textbox>
              <w10:wrap anchorx="page" anchory="page"/>
            </v:shape>
          </w:pict>
        </mc:Fallback>
      </mc:AlternateContent>
    </w:r>
    <w:r w:rsidR="00EA34B0">
      <w:rPr>
        <w:noProof/>
        <w:lang w:eastAsia="nl-NL" w:bidi="ar-SA"/>
      </w:rPr>
      <mc:AlternateContent>
        <mc:Choice Requires="wps">
          <w:drawing>
            <wp:anchor distT="0" distB="0" distL="114300" distR="114300" simplePos="0" relativeHeight="251656192" behindDoc="0" locked="0" layoutInCell="1" allowOverlap="1" wp14:anchorId="6C8D4059" wp14:editId="744C8CAF">
              <wp:simplePos x="0" y="0"/>
              <wp:positionH relativeFrom="page">
                <wp:posOffset>1008380</wp:posOffset>
              </wp:positionH>
              <wp:positionV relativeFrom="page">
                <wp:posOffset>3384550</wp:posOffset>
              </wp:positionV>
              <wp:extent cx="4104005" cy="179705"/>
              <wp:effectExtent l="8255" t="12700" r="12065" b="7620"/>
              <wp:wrapNone/>
              <wp:docPr id="14508942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FE6AF1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D405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FE6AF11" w14:textId="77777777" w:rsidR="00CD5856" w:rsidRDefault="00CD5856">
                    <w:pPr>
                      <w:pStyle w:val="Huisstijl-Toezendgegevens"/>
                    </w:pPr>
                  </w:p>
                </w:txbxContent>
              </v:textbox>
              <w10:wrap anchorx="page" anchory="page"/>
            </v:shape>
          </w:pict>
        </mc:Fallback>
      </mc:AlternateContent>
    </w:r>
    <w:r w:rsidR="00EA34B0">
      <w:rPr>
        <w:noProof/>
        <w:lang w:eastAsia="nl-NL" w:bidi="ar-SA"/>
      </w:rPr>
      <mc:AlternateContent>
        <mc:Choice Requires="wps">
          <w:drawing>
            <wp:anchor distT="0" distB="0" distL="114300" distR="114300" simplePos="0" relativeHeight="251655168" behindDoc="0" locked="0" layoutInCell="1" allowOverlap="1" wp14:anchorId="01EA7844" wp14:editId="55CF7541">
              <wp:simplePos x="0" y="0"/>
              <wp:positionH relativeFrom="page">
                <wp:posOffset>1008380</wp:posOffset>
              </wp:positionH>
              <wp:positionV relativeFrom="page">
                <wp:posOffset>1944370</wp:posOffset>
              </wp:positionV>
              <wp:extent cx="3347720" cy="1080135"/>
              <wp:effectExtent l="8255" t="10795" r="6350" b="13970"/>
              <wp:wrapNone/>
              <wp:docPr id="59510717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F3C83C4" w14:textId="77777777" w:rsidR="00CD5856"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A784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F3C83C4" w14:textId="77777777" w:rsidR="00CD5856"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EA34B0">
      <w:rPr>
        <w:noProof/>
        <w:lang w:eastAsia="nl-NL" w:bidi="ar-SA"/>
      </w:rPr>
      <mc:AlternateContent>
        <mc:Choice Requires="wps">
          <w:drawing>
            <wp:anchor distT="0" distB="0" distL="114300" distR="114300" simplePos="0" relativeHeight="251654144" behindDoc="0" locked="1" layoutInCell="1" allowOverlap="1" wp14:anchorId="1B148BC4" wp14:editId="76A3A594">
              <wp:simplePos x="0" y="0"/>
              <wp:positionH relativeFrom="page">
                <wp:posOffset>1008380</wp:posOffset>
              </wp:positionH>
              <wp:positionV relativeFrom="page">
                <wp:posOffset>1713865</wp:posOffset>
              </wp:positionV>
              <wp:extent cx="3590925" cy="144145"/>
              <wp:effectExtent l="8255" t="8890" r="10795" b="8890"/>
              <wp:wrapNone/>
              <wp:docPr id="38552100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9523E8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48BC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9523E8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156F" w14:textId="10A18864" w:rsidR="00CD5856" w:rsidRDefault="00EA34B0">
    <w:pPr>
      <w:pStyle w:val="Koptekst"/>
    </w:pPr>
    <w:r>
      <w:rPr>
        <w:noProof/>
        <w:lang w:eastAsia="nl-NL" w:bidi="ar-SA"/>
      </w:rPr>
      <mc:AlternateContent>
        <mc:Choice Requires="wps">
          <w:drawing>
            <wp:anchor distT="0" distB="0" distL="114300" distR="114300" simplePos="0" relativeHeight="251659264" behindDoc="0" locked="0" layoutInCell="1" allowOverlap="1" wp14:anchorId="5E202340" wp14:editId="1587AA6B">
              <wp:simplePos x="0" y="0"/>
              <wp:positionH relativeFrom="page">
                <wp:posOffset>5922645</wp:posOffset>
              </wp:positionH>
              <wp:positionV relativeFrom="page">
                <wp:posOffset>1936750</wp:posOffset>
              </wp:positionV>
              <wp:extent cx="1259840" cy="8009890"/>
              <wp:effectExtent l="7620" t="12700" r="8890" b="6985"/>
              <wp:wrapNone/>
              <wp:docPr id="1239934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9637342" w14:textId="77777777" w:rsidR="00CD5856" w:rsidRDefault="00000000">
                          <w:pPr>
                            <w:pStyle w:val="Huisstijl-ReferentiegegevenskopW2"/>
                          </w:pPr>
                          <w:r w:rsidRPr="008D59C5">
                            <w:t>Kenmerk</w:t>
                          </w:r>
                        </w:p>
                        <w:p w14:paraId="7749B691" w14:textId="77777777" w:rsidR="00C95CA9" w:rsidRPr="00C95CA9" w:rsidRDefault="00000000" w:rsidP="00C95CA9">
                          <w:pPr>
                            <w:pStyle w:val="Huisstijl-Referentiegegevens"/>
                          </w:pPr>
                          <w:r w:rsidRPr="00C95CA9">
                            <w:t>4388572-1099130-GMT</w:t>
                          </w:r>
                        </w:p>
                        <w:p w14:paraId="61EDC1C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0234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9637342" w14:textId="77777777" w:rsidR="00CD5856" w:rsidRDefault="00000000">
                    <w:pPr>
                      <w:pStyle w:val="Huisstijl-ReferentiegegevenskopW2"/>
                    </w:pPr>
                    <w:r w:rsidRPr="008D59C5">
                      <w:t>Kenmerk</w:t>
                    </w:r>
                  </w:p>
                  <w:p w14:paraId="7749B691" w14:textId="77777777" w:rsidR="00C95CA9" w:rsidRPr="00C95CA9" w:rsidRDefault="00000000" w:rsidP="00C95CA9">
                    <w:pPr>
                      <w:pStyle w:val="Huisstijl-Referentiegegevens"/>
                    </w:pPr>
                    <w:r w:rsidRPr="00C95CA9">
                      <w:t>4388572-1099130-GMT</w:t>
                    </w:r>
                  </w:p>
                  <w:p w14:paraId="61EDC1C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1F53AF9" wp14:editId="048CEB00">
              <wp:simplePos x="0" y="0"/>
              <wp:positionH relativeFrom="page">
                <wp:posOffset>5922645</wp:posOffset>
              </wp:positionH>
              <wp:positionV relativeFrom="page">
                <wp:posOffset>10225405</wp:posOffset>
              </wp:positionV>
              <wp:extent cx="1259840" cy="213995"/>
              <wp:effectExtent l="7620" t="5080" r="8890" b="9525"/>
              <wp:wrapNone/>
              <wp:docPr id="3480554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ADC6C14" w14:textId="03569CC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D48D4">
                            <w:fldChar w:fldCharType="begin"/>
                          </w:r>
                          <w:r>
                            <w:instrText xml:space="preserve"> SECTIONPAGES  \* Arabic  \* MERGEFORMAT </w:instrText>
                          </w:r>
                          <w:r w:rsidR="006D48D4">
                            <w:fldChar w:fldCharType="separate"/>
                          </w:r>
                          <w:r w:rsidR="000B66A3">
                            <w:rPr>
                              <w:noProof/>
                            </w:rPr>
                            <w:t>5</w:t>
                          </w:r>
                          <w:r w:rsidR="006D48D4">
                            <w:rPr>
                              <w:noProof/>
                            </w:rPr>
                            <w:fldChar w:fldCharType="end"/>
                          </w:r>
                        </w:p>
                        <w:p w14:paraId="552B2B95" w14:textId="77777777" w:rsidR="00CD5856" w:rsidRDefault="00CD5856"/>
                        <w:p w14:paraId="7433D7AE" w14:textId="77777777" w:rsidR="00CD5856" w:rsidRDefault="00CD5856">
                          <w:pPr>
                            <w:pStyle w:val="Huisstijl-Paginanummer"/>
                          </w:pPr>
                        </w:p>
                        <w:p w14:paraId="03E62547"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53AF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ADC6C14" w14:textId="03569CC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D48D4">
                      <w:fldChar w:fldCharType="begin"/>
                    </w:r>
                    <w:r>
                      <w:instrText xml:space="preserve"> SECTIONPAGES  \* Arabic  \* MERGEFORMAT </w:instrText>
                    </w:r>
                    <w:r w:rsidR="006D48D4">
                      <w:fldChar w:fldCharType="separate"/>
                    </w:r>
                    <w:r w:rsidR="000B66A3">
                      <w:rPr>
                        <w:noProof/>
                      </w:rPr>
                      <w:t>5</w:t>
                    </w:r>
                    <w:r w:rsidR="006D48D4">
                      <w:rPr>
                        <w:noProof/>
                      </w:rPr>
                      <w:fldChar w:fldCharType="end"/>
                    </w:r>
                  </w:p>
                  <w:p w14:paraId="552B2B95" w14:textId="77777777" w:rsidR="00CD5856" w:rsidRDefault="00CD5856"/>
                  <w:p w14:paraId="7433D7AE" w14:textId="77777777" w:rsidR="00CD5856" w:rsidRDefault="00CD5856">
                    <w:pPr>
                      <w:pStyle w:val="Huisstijl-Paginanummer"/>
                    </w:pPr>
                  </w:p>
                  <w:p w14:paraId="03E6254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7E9E" w14:textId="375BD5F3" w:rsidR="00CD5856" w:rsidRDefault="00EA34B0">
    <w:pPr>
      <w:pStyle w:val="Koptekst"/>
    </w:pPr>
    <w:r>
      <w:rPr>
        <w:noProof/>
        <w:lang w:eastAsia="nl-NL" w:bidi="ar-SA"/>
      </w:rPr>
      <mc:AlternateContent>
        <mc:Choice Requires="wps">
          <w:drawing>
            <wp:anchor distT="0" distB="0" distL="114300" distR="114300" simplePos="0" relativeHeight="251664384" behindDoc="0" locked="0" layoutInCell="1" allowOverlap="1" wp14:anchorId="07E42B71" wp14:editId="675808F0">
              <wp:simplePos x="0" y="0"/>
              <wp:positionH relativeFrom="page">
                <wp:posOffset>1009650</wp:posOffset>
              </wp:positionH>
              <wp:positionV relativeFrom="page">
                <wp:posOffset>3768725</wp:posOffset>
              </wp:positionV>
              <wp:extent cx="4103370" cy="457200"/>
              <wp:effectExtent l="9525" t="6350" r="11430" b="12700"/>
              <wp:wrapTopAndBottom/>
              <wp:docPr id="21427506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B5DA94F" w14:textId="5EF4EEC9"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83A53">
                                <w:t>26 juni 2014</w:t>
                              </w:r>
                            </w:sdtContent>
                          </w:sdt>
                        </w:p>
                        <w:p w14:paraId="533524D3"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8D2867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E42B7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B5DA94F" w14:textId="5EF4EEC9"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83A53">
                          <w:t>26 juni 2014</w:t>
                        </w:r>
                      </w:sdtContent>
                    </w:sdt>
                  </w:p>
                  <w:p w14:paraId="533524D3"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8D2867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7633E61" wp14:editId="155CEF2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94F4B77" wp14:editId="620ED2B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DB6C96A" wp14:editId="36714F4E">
              <wp:simplePos x="0" y="0"/>
              <wp:positionH relativeFrom="page">
                <wp:posOffset>5922645</wp:posOffset>
              </wp:positionH>
              <wp:positionV relativeFrom="page">
                <wp:posOffset>1964690</wp:posOffset>
              </wp:positionV>
              <wp:extent cx="1259840" cy="8009890"/>
              <wp:effectExtent l="7620" t="12065" r="8890" b="7620"/>
              <wp:wrapNone/>
              <wp:docPr id="7158288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DECA8D" w14:textId="77777777" w:rsidR="00CD5856" w:rsidRDefault="00000000">
                          <w:pPr>
                            <w:pStyle w:val="Huisstijl-Afzendgegevens"/>
                          </w:pPr>
                          <w:r w:rsidRPr="008D59C5">
                            <w:t>Rijnstraat 50</w:t>
                          </w:r>
                        </w:p>
                        <w:p w14:paraId="1C0D59EB" w14:textId="77777777" w:rsidR="00CD5856" w:rsidRDefault="00000000">
                          <w:pPr>
                            <w:pStyle w:val="Huisstijl-Afzendgegevens"/>
                          </w:pPr>
                          <w:r w:rsidRPr="008D59C5">
                            <w:t>Den Haag</w:t>
                          </w:r>
                        </w:p>
                        <w:p w14:paraId="473F45EA" w14:textId="77777777" w:rsidR="00CD5856" w:rsidRDefault="00000000">
                          <w:pPr>
                            <w:pStyle w:val="Huisstijl-Afzendgegevens"/>
                          </w:pPr>
                          <w:r w:rsidRPr="008D59C5">
                            <w:t>www.rijksoverheid.nl</w:t>
                          </w:r>
                        </w:p>
                        <w:p w14:paraId="616A0F07" w14:textId="77777777" w:rsidR="00CD5856" w:rsidRDefault="00000000">
                          <w:pPr>
                            <w:pStyle w:val="Huisstijl-AfzendgegevenskopW1"/>
                          </w:pPr>
                          <w:r>
                            <w:t>Contactpersoon</w:t>
                          </w:r>
                        </w:p>
                        <w:p w14:paraId="3CCF6466" w14:textId="77777777" w:rsidR="00CD5856" w:rsidRDefault="00000000">
                          <w:pPr>
                            <w:pStyle w:val="Huisstijl-Afzendgegevens"/>
                          </w:pPr>
                          <w:r w:rsidRPr="008D59C5">
                            <w:t>ing. J.A. Ramlal</w:t>
                          </w:r>
                        </w:p>
                        <w:p w14:paraId="7B4B6342" w14:textId="77777777" w:rsidR="00CD5856" w:rsidRDefault="00000000">
                          <w:pPr>
                            <w:pStyle w:val="Huisstijl-Afzendgegevens"/>
                          </w:pPr>
                          <w:r w:rsidRPr="008D59C5">
                            <w:t>ja.ramlal@minvws.nl</w:t>
                          </w:r>
                        </w:p>
                        <w:p w14:paraId="162BE2C0" w14:textId="77777777" w:rsidR="00CD5856" w:rsidRDefault="00000000">
                          <w:pPr>
                            <w:pStyle w:val="Huisstijl-ReferentiegegevenskopW2"/>
                          </w:pPr>
                          <w:r>
                            <w:t>Ons kenmerk</w:t>
                          </w:r>
                        </w:p>
                        <w:p w14:paraId="2CA69853" w14:textId="77777777" w:rsidR="00CD5856" w:rsidRDefault="00000000">
                          <w:pPr>
                            <w:pStyle w:val="Huisstijl-Referentiegegevens"/>
                          </w:pPr>
                          <w:r>
                            <w:t>KENMERK</w:t>
                          </w:r>
                        </w:p>
                        <w:p w14:paraId="0E2E60F4" w14:textId="77777777" w:rsidR="00CD5856" w:rsidRDefault="00000000">
                          <w:pPr>
                            <w:pStyle w:val="Huisstijl-ReferentiegegevenskopW1"/>
                          </w:pPr>
                          <w:r>
                            <w:t>Uw kenmerk</w:t>
                          </w:r>
                        </w:p>
                        <w:p w14:paraId="244A17F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6C96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6DECA8D" w14:textId="77777777" w:rsidR="00CD5856" w:rsidRDefault="00000000">
                    <w:pPr>
                      <w:pStyle w:val="Huisstijl-Afzendgegevens"/>
                    </w:pPr>
                    <w:r w:rsidRPr="008D59C5">
                      <w:t>Rijnstraat 50</w:t>
                    </w:r>
                  </w:p>
                  <w:p w14:paraId="1C0D59EB" w14:textId="77777777" w:rsidR="00CD5856" w:rsidRDefault="00000000">
                    <w:pPr>
                      <w:pStyle w:val="Huisstijl-Afzendgegevens"/>
                    </w:pPr>
                    <w:r w:rsidRPr="008D59C5">
                      <w:t>Den Haag</w:t>
                    </w:r>
                  </w:p>
                  <w:p w14:paraId="473F45EA" w14:textId="77777777" w:rsidR="00CD5856" w:rsidRDefault="00000000">
                    <w:pPr>
                      <w:pStyle w:val="Huisstijl-Afzendgegevens"/>
                    </w:pPr>
                    <w:r w:rsidRPr="008D59C5">
                      <w:t>www.rijksoverheid.nl</w:t>
                    </w:r>
                  </w:p>
                  <w:p w14:paraId="616A0F07" w14:textId="77777777" w:rsidR="00CD5856" w:rsidRDefault="00000000">
                    <w:pPr>
                      <w:pStyle w:val="Huisstijl-AfzendgegevenskopW1"/>
                    </w:pPr>
                    <w:r>
                      <w:t>Contactpersoon</w:t>
                    </w:r>
                  </w:p>
                  <w:p w14:paraId="3CCF6466" w14:textId="77777777" w:rsidR="00CD5856" w:rsidRDefault="00000000">
                    <w:pPr>
                      <w:pStyle w:val="Huisstijl-Afzendgegevens"/>
                    </w:pPr>
                    <w:r w:rsidRPr="008D59C5">
                      <w:t>ing. J.A. Ramlal</w:t>
                    </w:r>
                  </w:p>
                  <w:p w14:paraId="7B4B6342" w14:textId="77777777" w:rsidR="00CD5856" w:rsidRDefault="00000000">
                    <w:pPr>
                      <w:pStyle w:val="Huisstijl-Afzendgegevens"/>
                    </w:pPr>
                    <w:r w:rsidRPr="008D59C5">
                      <w:t>ja.ramlal@minvws.nl</w:t>
                    </w:r>
                  </w:p>
                  <w:p w14:paraId="162BE2C0" w14:textId="77777777" w:rsidR="00CD5856" w:rsidRDefault="00000000">
                    <w:pPr>
                      <w:pStyle w:val="Huisstijl-ReferentiegegevenskopW2"/>
                    </w:pPr>
                    <w:r>
                      <w:t>Ons kenmerk</w:t>
                    </w:r>
                  </w:p>
                  <w:p w14:paraId="2CA69853" w14:textId="77777777" w:rsidR="00CD5856" w:rsidRDefault="00000000">
                    <w:pPr>
                      <w:pStyle w:val="Huisstijl-Referentiegegevens"/>
                    </w:pPr>
                    <w:r>
                      <w:t>KENMERK</w:t>
                    </w:r>
                  </w:p>
                  <w:p w14:paraId="0E2E60F4" w14:textId="77777777" w:rsidR="00CD5856" w:rsidRDefault="00000000">
                    <w:pPr>
                      <w:pStyle w:val="Huisstijl-ReferentiegegevenskopW1"/>
                    </w:pPr>
                    <w:r>
                      <w:t>Uw kenmerk</w:t>
                    </w:r>
                  </w:p>
                  <w:p w14:paraId="244A17F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859C8EB" wp14:editId="2C0134AB">
              <wp:simplePos x="0" y="0"/>
              <wp:positionH relativeFrom="page">
                <wp:posOffset>1008380</wp:posOffset>
              </wp:positionH>
              <wp:positionV relativeFrom="page">
                <wp:posOffset>1942465</wp:posOffset>
              </wp:positionV>
              <wp:extent cx="2988310" cy="1080135"/>
              <wp:effectExtent l="8255" t="8890" r="13335" b="6350"/>
              <wp:wrapNone/>
              <wp:docPr id="94204344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0880C2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9C8E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0880C2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77D97F1" wp14:editId="64E8ED2E">
              <wp:simplePos x="0" y="0"/>
              <wp:positionH relativeFrom="page">
                <wp:posOffset>5922645</wp:posOffset>
              </wp:positionH>
              <wp:positionV relativeFrom="page">
                <wp:posOffset>10224770</wp:posOffset>
              </wp:positionV>
              <wp:extent cx="730885" cy="107950"/>
              <wp:effectExtent l="7620" t="13970" r="13970" b="11430"/>
              <wp:wrapNone/>
              <wp:docPr id="32507782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65B936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D97F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65B936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83AD7B6" wp14:editId="76436121">
              <wp:simplePos x="0" y="0"/>
              <wp:positionH relativeFrom="page">
                <wp:posOffset>1008380</wp:posOffset>
              </wp:positionH>
              <wp:positionV relativeFrom="page">
                <wp:posOffset>3384550</wp:posOffset>
              </wp:positionV>
              <wp:extent cx="4104005" cy="179705"/>
              <wp:effectExtent l="8255" t="12700" r="12065" b="7620"/>
              <wp:wrapNone/>
              <wp:docPr id="108942560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CDD562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AD7B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CDD562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4722ED1" wp14:editId="2722CA64">
              <wp:simplePos x="0" y="0"/>
              <wp:positionH relativeFrom="page">
                <wp:posOffset>1008380</wp:posOffset>
              </wp:positionH>
              <wp:positionV relativeFrom="page">
                <wp:posOffset>1715135</wp:posOffset>
              </wp:positionV>
              <wp:extent cx="3590925" cy="144145"/>
              <wp:effectExtent l="8255" t="10160" r="10795" b="7620"/>
              <wp:wrapNone/>
              <wp:docPr id="127172492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4C9600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22ED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4C9600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774A692">
      <w:numFmt w:val="bullet"/>
      <w:lvlText w:val=""/>
      <w:lvlJc w:val="left"/>
      <w:pPr>
        <w:ind w:left="720" w:hanging="360"/>
      </w:pPr>
      <w:rPr>
        <w:rFonts w:ascii="Wingdings" w:eastAsia="DejaVu Sans" w:hAnsi="Wingdings" w:cs="Lohit Hindi" w:hint="default"/>
      </w:rPr>
    </w:lvl>
    <w:lvl w:ilvl="1" w:tplc="A7E47DBE" w:tentative="1">
      <w:start w:val="1"/>
      <w:numFmt w:val="bullet"/>
      <w:lvlText w:val="o"/>
      <w:lvlJc w:val="left"/>
      <w:pPr>
        <w:ind w:left="1440" w:hanging="360"/>
      </w:pPr>
      <w:rPr>
        <w:rFonts w:ascii="Courier New" w:hAnsi="Courier New" w:cs="Courier New" w:hint="default"/>
      </w:rPr>
    </w:lvl>
    <w:lvl w:ilvl="2" w:tplc="5378908C" w:tentative="1">
      <w:start w:val="1"/>
      <w:numFmt w:val="bullet"/>
      <w:lvlText w:val=""/>
      <w:lvlJc w:val="left"/>
      <w:pPr>
        <w:ind w:left="2160" w:hanging="360"/>
      </w:pPr>
      <w:rPr>
        <w:rFonts w:ascii="Wingdings" w:hAnsi="Wingdings" w:hint="default"/>
      </w:rPr>
    </w:lvl>
    <w:lvl w:ilvl="3" w:tplc="D31EB23C" w:tentative="1">
      <w:start w:val="1"/>
      <w:numFmt w:val="bullet"/>
      <w:lvlText w:val=""/>
      <w:lvlJc w:val="left"/>
      <w:pPr>
        <w:ind w:left="2880" w:hanging="360"/>
      </w:pPr>
      <w:rPr>
        <w:rFonts w:ascii="Symbol" w:hAnsi="Symbol" w:hint="default"/>
      </w:rPr>
    </w:lvl>
    <w:lvl w:ilvl="4" w:tplc="3C588E46" w:tentative="1">
      <w:start w:val="1"/>
      <w:numFmt w:val="bullet"/>
      <w:lvlText w:val="o"/>
      <w:lvlJc w:val="left"/>
      <w:pPr>
        <w:ind w:left="3600" w:hanging="360"/>
      </w:pPr>
      <w:rPr>
        <w:rFonts w:ascii="Courier New" w:hAnsi="Courier New" w:cs="Courier New" w:hint="default"/>
      </w:rPr>
    </w:lvl>
    <w:lvl w:ilvl="5" w:tplc="8B386170" w:tentative="1">
      <w:start w:val="1"/>
      <w:numFmt w:val="bullet"/>
      <w:lvlText w:val=""/>
      <w:lvlJc w:val="left"/>
      <w:pPr>
        <w:ind w:left="4320" w:hanging="360"/>
      </w:pPr>
      <w:rPr>
        <w:rFonts w:ascii="Wingdings" w:hAnsi="Wingdings" w:hint="default"/>
      </w:rPr>
    </w:lvl>
    <w:lvl w:ilvl="6" w:tplc="5E4A9C66" w:tentative="1">
      <w:start w:val="1"/>
      <w:numFmt w:val="bullet"/>
      <w:lvlText w:val=""/>
      <w:lvlJc w:val="left"/>
      <w:pPr>
        <w:ind w:left="5040" w:hanging="360"/>
      </w:pPr>
      <w:rPr>
        <w:rFonts w:ascii="Symbol" w:hAnsi="Symbol" w:hint="default"/>
      </w:rPr>
    </w:lvl>
    <w:lvl w:ilvl="7" w:tplc="7C8A2C24" w:tentative="1">
      <w:start w:val="1"/>
      <w:numFmt w:val="bullet"/>
      <w:lvlText w:val="o"/>
      <w:lvlJc w:val="left"/>
      <w:pPr>
        <w:ind w:left="5760" w:hanging="360"/>
      </w:pPr>
      <w:rPr>
        <w:rFonts w:ascii="Courier New" w:hAnsi="Courier New" w:cs="Courier New" w:hint="default"/>
      </w:rPr>
    </w:lvl>
    <w:lvl w:ilvl="8" w:tplc="CCA46A40" w:tentative="1">
      <w:start w:val="1"/>
      <w:numFmt w:val="bullet"/>
      <w:lvlText w:val=""/>
      <w:lvlJc w:val="left"/>
      <w:pPr>
        <w:ind w:left="6480" w:hanging="360"/>
      </w:pPr>
      <w:rPr>
        <w:rFonts w:ascii="Wingdings" w:hAnsi="Wingdings" w:hint="default"/>
      </w:rPr>
    </w:lvl>
  </w:abstractNum>
  <w:num w:numId="1" w16cid:durableId="180735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6BAB"/>
    <w:rsid w:val="000B1832"/>
    <w:rsid w:val="000B45B1"/>
    <w:rsid w:val="000B66A3"/>
    <w:rsid w:val="000C29E1"/>
    <w:rsid w:val="000D0CCB"/>
    <w:rsid w:val="000D6D8A"/>
    <w:rsid w:val="000E2F12"/>
    <w:rsid w:val="000E54B6"/>
    <w:rsid w:val="000F6F97"/>
    <w:rsid w:val="00113778"/>
    <w:rsid w:val="00124BB7"/>
    <w:rsid w:val="00125BDF"/>
    <w:rsid w:val="001308EF"/>
    <w:rsid w:val="00166580"/>
    <w:rsid w:val="00172CD9"/>
    <w:rsid w:val="00191464"/>
    <w:rsid w:val="001B41E1"/>
    <w:rsid w:val="001B7303"/>
    <w:rsid w:val="001C44E4"/>
    <w:rsid w:val="001D4791"/>
    <w:rsid w:val="001D4B67"/>
    <w:rsid w:val="001E5212"/>
    <w:rsid w:val="001F1B9C"/>
    <w:rsid w:val="00215CB5"/>
    <w:rsid w:val="00235AED"/>
    <w:rsid w:val="00241BB9"/>
    <w:rsid w:val="00250786"/>
    <w:rsid w:val="00281B65"/>
    <w:rsid w:val="00297795"/>
    <w:rsid w:val="002B1D9F"/>
    <w:rsid w:val="002B447B"/>
    <w:rsid w:val="002B504F"/>
    <w:rsid w:val="002D382B"/>
    <w:rsid w:val="002F4886"/>
    <w:rsid w:val="00322DC7"/>
    <w:rsid w:val="00334C45"/>
    <w:rsid w:val="00335331"/>
    <w:rsid w:val="003451E2"/>
    <w:rsid w:val="00347F1B"/>
    <w:rsid w:val="003857C9"/>
    <w:rsid w:val="003B287C"/>
    <w:rsid w:val="003B48D4"/>
    <w:rsid w:val="003C472B"/>
    <w:rsid w:val="003C6ED5"/>
    <w:rsid w:val="003C700C"/>
    <w:rsid w:val="003C7185"/>
    <w:rsid w:val="003D27F8"/>
    <w:rsid w:val="003F028A"/>
    <w:rsid w:val="003F3A47"/>
    <w:rsid w:val="003F6937"/>
    <w:rsid w:val="004002EF"/>
    <w:rsid w:val="0043480A"/>
    <w:rsid w:val="00437B5F"/>
    <w:rsid w:val="00444E2D"/>
    <w:rsid w:val="004509BE"/>
    <w:rsid w:val="0045486D"/>
    <w:rsid w:val="00461E4C"/>
    <w:rsid w:val="00463DBC"/>
    <w:rsid w:val="004769A7"/>
    <w:rsid w:val="00483A53"/>
    <w:rsid w:val="00490FB6"/>
    <w:rsid w:val="004934A8"/>
    <w:rsid w:val="00496E7F"/>
    <w:rsid w:val="004B05DA"/>
    <w:rsid w:val="004B2207"/>
    <w:rsid w:val="004B6B02"/>
    <w:rsid w:val="004D7EF8"/>
    <w:rsid w:val="004E424F"/>
    <w:rsid w:val="004F0B09"/>
    <w:rsid w:val="004F6BE1"/>
    <w:rsid w:val="00516D6A"/>
    <w:rsid w:val="00523C02"/>
    <w:rsid w:val="00544135"/>
    <w:rsid w:val="00557E24"/>
    <w:rsid w:val="005600D7"/>
    <w:rsid w:val="00561E79"/>
    <w:rsid w:val="005677D6"/>
    <w:rsid w:val="0058191C"/>
    <w:rsid w:val="00582E97"/>
    <w:rsid w:val="00587714"/>
    <w:rsid w:val="005C3CD4"/>
    <w:rsid w:val="005C46EB"/>
    <w:rsid w:val="005D327A"/>
    <w:rsid w:val="005F5AC3"/>
    <w:rsid w:val="006011EF"/>
    <w:rsid w:val="00603EA2"/>
    <w:rsid w:val="0061422C"/>
    <w:rsid w:val="00616644"/>
    <w:rsid w:val="0063555A"/>
    <w:rsid w:val="00681D77"/>
    <w:rsid w:val="00686885"/>
    <w:rsid w:val="006922AC"/>
    <w:rsid w:val="00697032"/>
    <w:rsid w:val="006B16C1"/>
    <w:rsid w:val="006D48D4"/>
    <w:rsid w:val="006D4FA7"/>
    <w:rsid w:val="0071027B"/>
    <w:rsid w:val="0074764C"/>
    <w:rsid w:val="00760118"/>
    <w:rsid w:val="00763E81"/>
    <w:rsid w:val="00776965"/>
    <w:rsid w:val="007A0832"/>
    <w:rsid w:val="007A4F37"/>
    <w:rsid w:val="007B028B"/>
    <w:rsid w:val="007B059C"/>
    <w:rsid w:val="007B6A41"/>
    <w:rsid w:val="007B726F"/>
    <w:rsid w:val="007D0F21"/>
    <w:rsid w:val="007D23C6"/>
    <w:rsid w:val="007E36BA"/>
    <w:rsid w:val="007F380D"/>
    <w:rsid w:val="007F4A98"/>
    <w:rsid w:val="00833A6B"/>
    <w:rsid w:val="008413F8"/>
    <w:rsid w:val="0087691C"/>
    <w:rsid w:val="00893C24"/>
    <w:rsid w:val="008A21F4"/>
    <w:rsid w:val="008A5AB7"/>
    <w:rsid w:val="008D59C5"/>
    <w:rsid w:val="008D618A"/>
    <w:rsid w:val="008E210E"/>
    <w:rsid w:val="008E4B89"/>
    <w:rsid w:val="008F33AD"/>
    <w:rsid w:val="008F6DB6"/>
    <w:rsid w:val="00910E7E"/>
    <w:rsid w:val="00915F49"/>
    <w:rsid w:val="00922E1B"/>
    <w:rsid w:val="009463DD"/>
    <w:rsid w:val="00950AA9"/>
    <w:rsid w:val="00960E2B"/>
    <w:rsid w:val="009834AD"/>
    <w:rsid w:val="00985A65"/>
    <w:rsid w:val="009A21BE"/>
    <w:rsid w:val="009A31BF"/>
    <w:rsid w:val="009B1BD4"/>
    <w:rsid w:val="009B2459"/>
    <w:rsid w:val="009C4777"/>
    <w:rsid w:val="009D3C77"/>
    <w:rsid w:val="009D7D63"/>
    <w:rsid w:val="009F419D"/>
    <w:rsid w:val="00A01147"/>
    <w:rsid w:val="00A4482A"/>
    <w:rsid w:val="00A52DBE"/>
    <w:rsid w:val="00A83BE3"/>
    <w:rsid w:val="00AA0369"/>
    <w:rsid w:val="00AA61EA"/>
    <w:rsid w:val="00AD2438"/>
    <w:rsid w:val="00AF6BEC"/>
    <w:rsid w:val="00B048C4"/>
    <w:rsid w:val="00B0597A"/>
    <w:rsid w:val="00B35EA9"/>
    <w:rsid w:val="00B57B09"/>
    <w:rsid w:val="00B674A0"/>
    <w:rsid w:val="00B8296E"/>
    <w:rsid w:val="00B82F43"/>
    <w:rsid w:val="00B904F3"/>
    <w:rsid w:val="00B93907"/>
    <w:rsid w:val="00BA7566"/>
    <w:rsid w:val="00BB54B8"/>
    <w:rsid w:val="00BC29C9"/>
    <w:rsid w:val="00BC4693"/>
    <w:rsid w:val="00BC481F"/>
    <w:rsid w:val="00BD75C1"/>
    <w:rsid w:val="00BE67AA"/>
    <w:rsid w:val="00C237A3"/>
    <w:rsid w:val="00C3438D"/>
    <w:rsid w:val="00C613E8"/>
    <w:rsid w:val="00C62B6C"/>
    <w:rsid w:val="00C81260"/>
    <w:rsid w:val="00C85CE3"/>
    <w:rsid w:val="00C95CA9"/>
    <w:rsid w:val="00CA061B"/>
    <w:rsid w:val="00CD4AED"/>
    <w:rsid w:val="00CD5856"/>
    <w:rsid w:val="00CD6E00"/>
    <w:rsid w:val="00CE2DA6"/>
    <w:rsid w:val="00CF0F2E"/>
    <w:rsid w:val="00CF3E82"/>
    <w:rsid w:val="00D04FF4"/>
    <w:rsid w:val="00D204DE"/>
    <w:rsid w:val="00D54679"/>
    <w:rsid w:val="00D67BAF"/>
    <w:rsid w:val="00D758EC"/>
    <w:rsid w:val="00D85D2D"/>
    <w:rsid w:val="00D87278"/>
    <w:rsid w:val="00DA15A1"/>
    <w:rsid w:val="00DC55BE"/>
    <w:rsid w:val="00DC7639"/>
    <w:rsid w:val="00DE660B"/>
    <w:rsid w:val="00E1490C"/>
    <w:rsid w:val="00E15BFE"/>
    <w:rsid w:val="00E20C2F"/>
    <w:rsid w:val="00E37122"/>
    <w:rsid w:val="00E63A84"/>
    <w:rsid w:val="00E67743"/>
    <w:rsid w:val="00E80C8A"/>
    <w:rsid w:val="00E85195"/>
    <w:rsid w:val="00EA275E"/>
    <w:rsid w:val="00EA29F9"/>
    <w:rsid w:val="00EA34B0"/>
    <w:rsid w:val="00EE0970"/>
    <w:rsid w:val="00EE23CE"/>
    <w:rsid w:val="00EE2A9D"/>
    <w:rsid w:val="00F05907"/>
    <w:rsid w:val="00F257AC"/>
    <w:rsid w:val="00F329DB"/>
    <w:rsid w:val="00F32EA9"/>
    <w:rsid w:val="00F56ADA"/>
    <w:rsid w:val="00F56EBE"/>
    <w:rsid w:val="00F72360"/>
    <w:rsid w:val="00F847BF"/>
    <w:rsid w:val="00F87E88"/>
    <w:rsid w:val="00FB37CE"/>
    <w:rsid w:val="00FB6541"/>
    <w:rsid w:val="00FC776C"/>
    <w:rsid w:val="00FD036B"/>
    <w:rsid w:val="00FE4200"/>
    <w:rsid w:val="00FF4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463D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9463DD"/>
    <w:rPr>
      <w:rFonts w:ascii="Verdana" w:hAnsi="Verdana" w:cs="Mangal"/>
      <w:sz w:val="20"/>
      <w:szCs w:val="18"/>
    </w:rPr>
  </w:style>
  <w:style w:type="character" w:styleId="Voetnootmarkering">
    <w:name w:val="footnote reference"/>
    <w:basedOn w:val="Standaardalinea-lettertype"/>
    <w:uiPriority w:val="99"/>
    <w:semiHidden/>
    <w:unhideWhenUsed/>
    <w:rsid w:val="009463DD"/>
    <w:rPr>
      <w:vertAlign w:val="superscript"/>
    </w:rPr>
  </w:style>
  <w:style w:type="character" w:styleId="Hyperlink">
    <w:name w:val="Hyperlink"/>
    <w:basedOn w:val="Standaardalinea-lettertype"/>
    <w:uiPriority w:val="99"/>
    <w:unhideWhenUsed/>
    <w:rsid w:val="009463DD"/>
    <w:rPr>
      <w:color w:val="0000FF" w:themeColor="hyperlink"/>
      <w:u w:val="single"/>
    </w:rPr>
  </w:style>
  <w:style w:type="character" w:styleId="Onopgelostemelding">
    <w:name w:val="Unresolved Mention"/>
    <w:basedOn w:val="Standaardalinea-lettertype"/>
    <w:uiPriority w:val="99"/>
    <w:semiHidden/>
    <w:unhideWhenUsed/>
    <w:rsid w:val="00922E1B"/>
    <w:rPr>
      <w:color w:val="605E5C"/>
      <w:shd w:val="clear" w:color="auto" w:fill="E1DFDD"/>
    </w:rPr>
  </w:style>
  <w:style w:type="paragraph" w:styleId="Revisie">
    <w:name w:val="Revision"/>
    <w:hidden/>
    <w:uiPriority w:val="99"/>
    <w:semiHidden/>
    <w:rsid w:val="00B57B09"/>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horizonscangeneesmiddelen.nl/geneesmiddelen/infigratinib" TargetMode="External"/><Relationship Id="rId3" Type="http://schemas.openxmlformats.org/officeDocument/2006/relationships/hyperlink" Target="https://vsop.nl/actueel/gezamenlijke-oproep-vergoeding-voor-weesgeneesmiddelen/" TargetMode="External"/><Relationship Id="rId7" Type="http://schemas.openxmlformats.org/officeDocument/2006/relationships/hyperlink" Target="https://www.horizonscangeneesmiddelen.nl/geneesmiddelen/navepegritide" TargetMode="External"/><Relationship Id="rId2" Type="http://schemas.openxmlformats.org/officeDocument/2006/relationships/hyperlink" Target="https://www.vereniginginnovatievegeneesmiddelen.nl/kennisbank/impactanalyse-toekomstbestendig-stelsel-geneesmiddelen/?utm_source=chatgpt.com" TargetMode="External"/><Relationship Id="rId1" Type="http://schemas.openxmlformats.org/officeDocument/2006/relationships/hyperlink" Target="https://www.linkedin.com/posts/input-op-consultatie-document-tsg-ugcPost-7437159842265563136-GN_L/?utm_source=share&amp;utm_medium=member_android&amp;rcm=ACoAAADHz0kBhZsNFPeD-SVGzbOPhTXlbsC34x4" TargetMode="External"/><Relationship Id="rId6" Type="http://schemas.openxmlformats.org/officeDocument/2006/relationships/hyperlink" Target="https://www.zorginstituutnederland.nl/actueel/nieuws/2026/03/13/zorginstituut-betreurt-beslissing-fabrikant-middel-voxzogo-niet-beschikbaar-te-maken" TargetMode="External"/><Relationship Id="rId5" Type="http://schemas.openxmlformats.org/officeDocument/2006/relationships/hyperlink" Target="https://zoek.officielebekendmakingen.nl/kst-29477-757.pdf" TargetMode="External"/><Relationship Id="rId4" Type="http://schemas.openxmlformats.org/officeDocument/2006/relationships/hyperlink" Target="https://comiteweesgeneesmiddelen.nl/wp-content/uploads/2026/02/20260107-Observaties-Comite-Weesgeneesmiddelen-FINAL.pdf" TargetMode="External"/><Relationship Id="rId9" Type="http://schemas.openxmlformats.org/officeDocument/2006/relationships/hyperlink" Target="https://www.nrc.nl/nieuws/2025/05/16/op-maat-gemaakte-therapie-repareert-kapot-gen-van-zieke-baby-in-vs-a489357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1654</ap:Words>
  <ap:Characters>9103</ap:Characters>
  <ap:DocSecurity>0</ap:DocSecurity>
  <ap:Lines>75</ap:Lines>
  <ap:Paragraphs>21</ap:Paragraphs>
  <ap:ScaleCrop>false</ap:ScaleCrop>
  <ap:LinksUpToDate>false</ap:LinksUpToDate>
  <ap:CharactersWithSpaces>10736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2026-05-28T15:59:00.0000000Z</dcterms:created>
  <dcterms:modified xsi:type="dcterms:W3CDTF">2026-05-28T15:59:00.0000000Z</dcterms:modified>
  <dc:description>------------------------</dc:description>
  <dc:subject/>
  <dc:title/>
  <keywords/>
  <version/>
  <category/>
</coreProperties>
</file>