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E14" w:rsidR="00154FB4" w:rsidRDefault="00154FB4" w14:paraId="685841BA" w14:textId="13303755">
      <w:pPr>
        <w:rPr>
          <w:b/>
          <w:bCs/>
          <w:sz w:val="22"/>
          <w:lang w:val="nl-NL"/>
        </w:rPr>
      </w:pPr>
      <w:r w:rsidRPr="00A73E14">
        <w:rPr>
          <w:b/>
          <w:bCs/>
          <w:sz w:val="22"/>
          <w:lang w:val="nl-NL"/>
        </w:rPr>
        <w:t>Bijlage</w:t>
      </w:r>
      <w:r w:rsidR="0057279A">
        <w:rPr>
          <w:b/>
          <w:bCs/>
          <w:sz w:val="22"/>
          <w:lang w:val="nl-NL"/>
        </w:rPr>
        <w:t xml:space="preserve"> bij de appreciatie van de VT evaluatie </w:t>
      </w:r>
    </w:p>
    <w:p w:rsidR="00A73E14" w:rsidRDefault="00A73E14" w14:paraId="1CDE6E9D" w14:textId="77777777">
      <w:pPr>
        <w:rPr>
          <w:b/>
          <w:bCs/>
          <w:lang w:val="nl-NL"/>
        </w:rPr>
      </w:pPr>
    </w:p>
    <w:p w:rsidRPr="00154FB4" w:rsidR="00F55D81" w:rsidRDefault="00EB61C9" w14:paraId="1C46420C" w14:textId="77777777">
      <w:pPr>
        <w:rPr>
          <w:b/>
          <w:bCs/>
          <w:lang w:val="nl-NL"/>
        </w:rPr>
      </w:pPr>
      <w:r>
        <w:rPr>
          <w:b/>
          <w:bCs/>
          <w:lang w:val="nl-NL"/>
        </w:rPr>
        <w:t>Voorstel voor aanpassingen van het VT beleid</w:t>
      </w:r>
      <w:r w:rsidRPr="00154FB4" w:rsidR="00A73E14">
        <w:rPr>
          <w:b/>
          <w:bCs/>
          <w:lang w:val="nl-NL"/>
        </w:rPr>
        <w:t xml:space="preserve"> </w:t>
      </w:r>
    </w:p>
    <w:p w:rsidR="00EB61C9" w:rsidP="00157688" w:rsidRDefault="00EB61C9" w14:paraId="4E608500" w14:textId="77777777">
      <w:pPr>
        <w:suppressAutoHyphens/>
        <w:spacing w:after="0" w:line="240" w:lineRule="atLeast"/>
        <w:rPr>
          <w:szCs w:val="18"/>
          <w:u w:val="single"/>
          <w:lang w:val="nl-NL"/>
        </w:rPr>
      </w:pPr>
    </w:p>
    <w:p w:rsidRPr="007B64EB" w:rsidR="007B64EB" w:rsidP="0049340A" w:rsidRDefault="007B64EB" w14:paraId="67DB2524" w14:textId="5C389DB1">
      <w:pPr>
        <w:suppressAutoHyphens/>
        <w:spacing w:line="240" w:lineRule="atLeast"/>
        <w:rPr>
          <w:szCs w:val="18"/>
          <w:u w:val="single"/>
          <w:lang w:val="nl-NL"/>
        </w:rPr>
      </w:pPr>
      <w:r w:rsidRPr="007B64EB">
        <w:rPr>
          <w:szCs w:val="18"/>
          <w:u w:val="single"/>
          <w:lang w:val="nl-NL"/>
        </w:rPr>
        <w:t>Wenselijkheid van de VT</w:t>
      </w:r>
      <w:r w:rsidR="000467E1">
        <w:rPr>
          <w:szCs w:val="18"/>
          <w:u w:val="single"/>
          <w:lang w:val="nl-NL"/>
        </w:rPr>
        <w:t xml:space="preserve"> en de huidige afbakening</w:t>
      </w:r>
      <w:r w:rsidR="007C418E">
        <w:rPr>
          <w:szCs w:val="18"/>
          <w:u w:val="single"/>
          <w:lang w:val="nl-NL"/>
        </w:rPr>
        <w:t xml:space="preserve"> van de </w:t>
      </w:r>
      <w:r w:rsidR="000E2427">
        <w:rPr>
          <w:szCs w:val="18"/>
          <w:u w:val="single"/>
          <w:lang w:val="nl-NL"/>
        </w:rPr>
        <w:t xml:space="preserve">VT </w:t>
      </w:r>
      <w:r w:rsidR="007C418E">
        <w:rPr>
          <w:szCs w:val="18"/>
          <w:u w:val="single"/>
          <w:lang w:val="nl-NL"/>
        </w:rPr>
        <w:t>procedure</w:t>
      </w:r>
      <w:r w:rsidRPr="007B64EB">
        <w:rPr>
          <w:szCs w:val="18"/>
          <w:u w:val="single"/>
          <w:lang w:val="nl-NL"/>
        </w:rPr>
        <w:t xml:space="preserve"> </w:t>
      </w:r>
    </w:p>
    <w:p w:rsidR="00CB5987" w:rsidP="00CB5987" w:rsidRDefault="00D700D3" w14:paraId="5D2CD59B" w14:textId="021013B3">
      <w:pPr>
        <w:rPr>
          <w:szCs w:val="18"/>
          <w:lang w:val="nl-NL"/>
        </w:rPr>
      </w:pPr>
      <w:r>
        <w:rPr>
          <w:szCs w:val="18"/>
          <w:lang w:val="nl-NL"/>
        </w:rPr>
        <w:t>Ge</w:t>
      </w:r>
      <w:r w:rsidRPr="00157688" w:rsidR="00157688">
        <w:rPr>
          <w:szCs w:val="18"/>
          <w:lang w:val="nl-NL"/>
        </w:rPr>
        <w:t>durende de vijfjarige evaluatieperiode startten slechts drie</w:t>
      </w:r>
      <w:r>
        <w:rPr>
          <w:rStyle w:val="Voetnootmarkering"/>
          <w:szCs w:val="18"/>
          <w:lang w:val="nl-NL"/>
        </w:rPr>
        <w:footnoteReference w:id="1"/>
      </w:r>
      <w:r w:rsidRPr="00157688" w:rsidR="00157688">
        <w:rPr>
          <w:szCs w:val="18"/>
          <w:lang w:val="nl-NL"/>
        </w:rPr>
        <w:t xml:space="preserve"> VT-trajecten </w:t>
      </w:r>
      <w:r w:rsidR="005D7343">
        <w:rPr>
          <w:szCs w:val="18"/>
          <w:lang w:val="nl-NL"/>
        </w:rPr>
        <w:t>(vier geneesmiddelen)</w:t>
      </w:r>
      <w:r w:rsidR="00253521">
        <w:rPr>
          <w:szCs w:val="18"/>
          <w:lang w:val="nl-NL"/>
        </w:rPr>
        <w:t>:</w:t>
      </w:r>
      <w:r w:rsidR="005D7343">
        <w:rPr>
          <w:szCs w:val="18"/>
          <w:lang w:val="nl-NL"/>
        </w:rPr>
        <w:t xml:space="preserve"> </w:t>
      </w:r>
      <w:r w:rsidR="00253521">
        <w:rPr>
          <w:szCs w:val="18"/>
          <w:lang w:val="nl-NL"/>
        </w:rPr>
        <w:t>kennelijk was</w:t>
      </w:r>
      <w:r w:rsidRPr="00157688" w:rsidR="00157688">
        <w:rPr>
          <w:szCs w:val="18"/>
          <w:lang w:val="nl-NL"/>
        </w:rPr>
        <w:t xml:space="preserve"> er weinig animo bij firma’s.</w:t>
      </w:r>
      <w:r w:rsidR="000A0A91">
        <w:rPr>
          <w:szCs w:val="18"/>
          <w:lang w:val="nl-NL"/>
        </w:rPr>
        <w:t xml:space="preserve"> </w:t>
      </w:r>
      <w:r w:rsidRPr="00FC338E" w:rsidR="00CB5987">
        <w:rPr>
          <w:szCs w:val="18"/>
          <w:lang w:val="nl-NL"/>
        </w:rPr>
        <w:t xml:space="preserve">Het </w:t>
      </w:r>
      <w:r w:rsidR="00CB5987">
        <w:rPr>
          <w:szCs w:val="18"/>
          <w:lang w:val="nl-NL"/>
        </w:rPr>
        <w:t xml:space="preserve">hoofddoel </w:t>
      </w:r>
      <w:r w:rsidR="000E2427">
        <w:rPr>
          <w:szCs w:val="18"/>
          <w:lang w:val="nl-NL"/>
        </w:rPr>
        <w:t xml:space="preserve">van het evaluatietraject </w:t>
      </w:r>
      <w:r w:rsidR="00DD373A">
        <w:rPr>
          <w:szCs w:val="18"/>
          <w:lang w:val="nl-NL"/>
        </w:rPr>
        <w:t xml:space="preserve">is niet </w:t>
      </w:r>
      <w:r w:rsidR="000E2427">
        <w:rPr>
          <w:szCs w:val="18"/>
          <w:lang w:val="nl-NL"/>
        </w:rPr>
        <w:t xml:space="preserve">per se </w:t>
      </w:r>
      <w:r w:rsidR="00CB5987">
        <w:rPr>
          <w:szCs w:val="18"/>
          <w:lang w:val="nl-NL"/>
        </w:rPr>
        <w:t xml:space="preserve">om de VT </w:t>
      </w:r>
      <w:r w:rsidRPr="00FC338E" w:rsidR="00CB5987">
        <w:rPr>
          <w:szCs w:val="18"/>
          <w:lang w:val="nl-NL"/>
        </w:rPr>
        <w:t xml:space="preserve">aantrekkelijker </w:t>
      </w:r>
      <w:r w:rsidR="00CB5987">
        <w:rPr>
          <w:szCs w:val="18"/>
          <w:lang w:val="nl-NL"/>
        </w:rPr>
        <w:t xml:space="preserve">te </w:t>
      </w:r>
      <w:r w:rsidRPr="00FC338E" w:rsidR="00CB5987">
        <w:rPr>
          <w:szCs w:val="18"/>
          <w:lang w:val="nl-NL"/>
        </w:rPr>
        <w:t>maken voor firma’s</w:t>
      </w:r>
      <w:r w:rsidR="00CB5987">
        <w:rPr>
          <w:szCs w:val="18"/>
          <w:lang w:val="nl-NL"/>
        </w:rPr>
        <w:t xml:space="preserve">, </w:t>
      </w:r>
      <w:r w:rsidRPr="00FC338E" w:rsidR="00CB5987">
        <w:rPr>
          <w:szCs w:val="18"/>
          <w:lang w:val="nl-NL"/>
        </w:rPr>
        <w:t xml:space="preserve">maar </w:t>
      </w:r>
      <w:r w:rsidR="0070429F">
        <w:rPr>
          <w:szCs w:val="18"/>
          <w:lang w:val="nl-NL"/>
        </w:rPr>
        <w:t>de</w:t>
      </w:r>
      <w:r w:rsidRPr="00FC338E" w:rsidR="00CB5987">
        <w:rPr>
          <w:szCs w:val="18"/>
          <w:lang w:val="nl-NL"/>
        </w:rPr>
        <w:t xml:space="preserve"> hoop </w:t>
      </w:r>
      <w:r w:rsidR="0070429F">
        <w:rPr>
          <w:szCs w:val="18"/>
          <w:lang w:val="nl-NL"/>
        </w:rPr>
        <w:t xml:space="preserve">is </w:t>
      </w:r>
      <w:r w:rsidRPr="00FC338E" w:rsidR="00CB5987">
        <w:rPr>
          <w:szCs w:val="18"/>
          <w:lang w:val="nl-NL"/>
        </w:rPr>
        <w:t xml:space="preserve">wel dat enkele onnodige knelpunten </w:t>
      </w:r>
      <w:r w:rsidR="0070429F">
        <w:rPr>
          <w:szCs w:val="18"/>
          <w:lang w:val="nl-NL"/>
        </w:rPr>
        <w:t>kunnen worden aangepakt</w:t>
      </w:r>
      <w:r w:rsidRPr="00FC338E" w:rsidR="00CB5987">
        <w:rPr>
          <w:szCs w:val="18"/>
          <w:lang w:val="nl-NL"/>
        </w:rPr>
        <w:t>.</w:t>
      </w:r>
      <w:r w:rsidR="00CB5987">
        <w:rPr>
          <w:szCs w:val="18"/>
          <w:lang w:val="nl-NL"/>
        </w:rPr>
        <w:t xml:space="preserve"> </w:t>
      </w:r>
      <w:r w:rsidR="0064774B">
        <w:rPr>
          <w:szCs w:val="18"/>
          <w:lang w:val="nl-NL"/>
        </w:rPr>
        <w:t xml:space="preserve">Want </w:t>
      </w:r>
      <w:r w:rsidR="00E74F35">
        <w:rPr>
          <w:szCs w:val="18"/>
          <w:lang w:val="nl-NL"/>
        </w:rPr>
        <w:t>we</w:t>
      </w:r>
      <w:r w:rsidR="0064774B">
        <w:rPr>
          <w:szCs w:val="18"/>
          <w:lang w:val="nl-NL"/>
        </w:rPr>
        <w:t xml:space="preserve"> hebben niets aan de VT als er niet of nauwelijks gebruik van wordt gemaakt. </w:t>
      </w:r>
    </w:p>
    <w:p w:rsidR="008C3AEE" w:rsidP="00932A7F" w:rsidRDefault="00AE5AC8" w14:paraId="1C0B7AFF" w14:textId="77777777">
      <w:pPr>
        <w:rPr>
          <w:szCs w:val="18"/>
          <w:lang w:val="nl-NL"/>
        </w:rPr>
      </w:pPr>
      <w:r w:rsidRPr="00AE5AC8">
        <w:rPr>
          <w:szCs w:val="18"/>
          <w:lang w:val="nl-NL"/>
        </w:rPr>
        <w:t xml:space="preserve">Meerdere deelnemers aan de evaluatie gaven aan </w:t>
      </w:r>
      <w:r>
        <w:rPr>
          <w:szCs w:val="18"/>
          <w:lang w:val="nl-NL"/>
        </w:rPr>
        <w:t xml:space="preserve">het wenselijk te vinden </w:t>
      </w:r>
      <w:r w:rsidRPr="00AE5AC8">
        <w:rPr>
          <w:szCs w:val="18"/>
          <w:lang w:val="nl-NL"/>
        </w:rPr>
        <w:t xml:space="preserve">dat </w:t>
      </w:r>
      <w:r>
        <w:rPr>
          <w:szCs w:val="18"/>
          <w:lang w:val="nl-NL"/>
        </w:rPr>
        <w:t xml:space="preserve">de VT wordt uitgebreid met </w:t>
      </w:r>
      <w:r w:rsidRPr="00AE5AC8">
        <w:rPr>
          <w:szCs w:val="18"/>
          <w:lang w:val="nl-NL"/>
        </w:rPr>
        <w:t xml:space="preserve">geneesmiddelen </w:t>
      </w:r>
      <w:r>
        <w:rPr>
          <w:szCs w:val="18"/>
          <w:lang w:val="nl-NL"/>
        </w:rPr>
        <w:t xml:space="preserve">waarbij sprake is van onzekerheid over </w:t>
      </w:r>
      <w:r w:rsidR="00782012">
        <w:rPr>
          <w:szCs w:val="18"/>
          <w:lang w:val="nl-NL"/>
        </w:rPr>
        <w:t>de effectiviteit</w:t>
      </w:r>
      <w:r>
        <w:rPr>
          <w:szCs w:val="18"/>
          <w:lang w:val="nl-NL"/>
        </w:rPr>
        <w:t xml:space="preserve"> maar die niet voldoen aan de huidige </w:t>
      </w:r>
      <w:r w:rsidRPr="00AE5AC8">
        <w:rPr>
          <w:szCs w:val="18"/>
          <w:lang w:val="nl-NL"/>
        </w:rPr>
        <w:t>afbakeningscriteria van de VT</w:t>
      </w:r>
      <w:r>
        <w:rPr>
          <w:szCs w:val="18"/>
          <w:lang w:val="nl-NL"/>
        </w:rPr>
        <w:t>.</w:t>
      </w:r>
      <w:r w:rsidR="000A0A91">
        <w:rPr>
          <w:szCs w:val="18"/>
          <w:lang w:val="nl-NL"/>
        </w:rPr>
        <w:t xml:space="preserve"> </w:t>
      </w:r>
    </w:p>
    <w:p w:rsidR="002942FE" w:rsidP="00EF0C87" w:rsidRDefault="000A0A91" w14:paraId="7F7A3A63" w14:textId="0AF2C346">
      <w:pPr>
        <w:rPr>
          <w:szCs w:val="18"/>
          <w:lang w:val="nl-NL"/>
        </w:rPr>
      </w:pPr>
      <w:r>
        <w:rPr>
          <w:szCs w:val="18"/>
          <w:lang w:val="nl-NL"/>
        </w:rPr>
        <w:t xml:space="preserve">Voordat hierop </w:t>
      </w:r>
      <w:r w:rsidR="005E3045">
        <w:rPr>
          <w:szCs w:val="18"/>
          <w:lang w:val="nl-NL"/>
        </w:rPr>
        <w:t>wordt ingegaan</w:t>
      </w:r>
      <w:r>
        <w:rPr>
          <w:szCs w:val="18"/>
          <w:lang w:val="nl-NL"/>
        </w:rPr>
        <w:t xml:space="preserve">, richt </w:t>
      </w:r>
      <w:r w:rsidR="005E3045">
        <w:rPr>
          <w:szCs w:val="18"/>
          <w:lang w:val="nl-NL"/>
        </w:rPr>
        <w:t>deze bijlage zich eerst</w:t>
      </w:r>
      <w:r>
        <w:rPr>
          <w:szCs w:val="18"/>
          <w:lang w:val="nl-NL"/>
        </w:rPr>
        <w:t xml:space="preserve"> op de huidige afbakening</w:t>
      </w:r>
      <w:r w:rsidR="008504DA">
        <w:rPr>
          <w:szCs w:val="18"/>
          <w:lang w:val="nl-NL"/>
        </w:rPr>
        <w:t xml:space="preserve"> van de procedure</w:t>
      </w:r>
      <w:r>
        <w:rPr>
          <w:szCs w:val="18"/>
          <w:lang w:val="nl-NL"/>
        </w:rPr>
        <w:t xml:space="preserve">, en of die nog passend is. </w:t>
      </w:r>
      <w:r w:rsidRPr="002942FE" w:rsidR="002942FE">
        <w:rPr>
          <w:szCs w:val="18"/>
          <w:lang w:val="nl-NL"/>
        </w:rPr>
        <w:t xml:space="preserve">In het licht van de bredere </w:t>
      </w:r>
      <w:r w:rsidR="00D02181">
        <w:rPr>
          <w:szCs w:val="18"/>
          <w:lang w:val="nl-NL"/>
        </w:rPr>
        <w:t>ambities</w:t>
      </w:r>
      <w:r w:rsidRPr="002942FE" w:rsidR="00D02181">
        <w:rPr>
          <w:szCs w:val="18"/>
          <w:lang w:val="nl-NL"/>
        </w:rPr>
        <w:t xml:space="preserve"> </w:t>
      </w:r>
      <w:r w:rsidR="00D02181">
        <w:rPr>
          <w:szCs w:val="18"/>
          <w:lang w:val="nl-NL"/>
        </w:rPr>
        <w:t>van</w:t>
      </w:r>
      <w:r w:rsidRPr="002942FE" w:rsidR="00D02181">
        <w:rPr>
          <w:szCs w:val="18"/>
          <w:lang w:val="nl-NL"/>
        </w:rPr>
        <w:t xml:space="preserve"> </w:t>
      </w:r>
      <w:r w:rsidRPr="002942FE" w:rsidR="002942FE">
        <w:rPr>
          <w:szCs w:val="18"/>
          <w:lang w:val="nl-NL"/>
        </w:rPr>
        <w:t>passende zorg vind</w:t>
      </w:r>
      <w:r w:rsidR="00E6666E">
        <w:rPr>
          <w:szCs w:val="18"/>
          <w:lang w:val="nl-NL"/>
        </w:rPr>
        <w:t>t</w:t>
      </w:r>
      <w:r w:rsidRPr="002942FE" w:rsidR="002942FE">
        <w:rPr>
          <w:szCs w:val="18"/>
          <w:lang w:val="nl-NL"/>
        </w:rPr>
        <w:t xml:space="preserve"> het </w:t>
      </w:r>
      <w:r w:rsidR="00E6666E">
        <w:rPr>
          <w:szCs w:val="18"/>
          <w:lang w:val="nl-NL"/>
        </w:rPr>
        <w:t xml:space="preserve">kabinet </w:t>
      </w:r>
      <w:r w:rsidR="000E2427">
        <w:rPr>
          <w:szCs w:val="18"/>
          <w:lang w:val="nl-NL"/>
        </w:rPr>
        <w:t xml:space="preserve">het </w:t>
      </w:r>
      <w:r w:rsidRPr="002942FE" w:rsidR="002942FE">
        <w:rPr>
          <w:szCs w:val="18"/>
          <w:lang w:val="nl-NL"/>
        </w:rPr>
        <w:t xml:space="preserve">in principe niet meer maatschappelijk verantwoord om te betalen voor, vaak dure, geneesmiddelen waarvan de effectiviteit nog niet is aangetoond. Dit past bij de </w:t>
      </w:r>
      <w:r w:rsidR="00D02181">
        <w:rPr>
          <w:szCs w:val="18"/>
          <w:lang w:val="nl-NL"/>
        </w:rPr>
        <w:t xml:space="preserve">doelstelling uit het </w:t>
      </w:r>
      <w:r w:rsidR="00E3371D">
        <w:rPr>
          <w:szCs w:val="18"/>
          <w:lang w:val="nl-NL"/>
        </w:rPr>
        <w:t>c</w:t>
      </w:r>
      <w:r w:rsidR="00D02181">
        <w:rPr>
          <w:szCs w:val="18"/>
          <w:lang w:val="nl-NL"/>
        </w:rPr>
        <w:t>oalitieakkoord</w:t>
      </w:r>
      <w:r w:rsidRPr="002942FE" w:rsidR="002942FE">
        <w:rPr>
          <w:szCs w:val="18"/>
          <w:lang w:val="nl-NL"/>
        </w:rPr>
        <w:t xml:space="preserve"> om zorg die niet </w:t>
      </w:r>
      <w:r w:rsidR="00F316AB">
        <w:rPr>
          <w:szCs w:val="18"/>
          <w:lang w:val="nl-NL"/>
        </w:rPr>
        <w:t xml:space="preserve">bewezen </w:t>
      </w:r>
      <w:r w:rsidRPr="002942FE" w:rsidR="002942FE">
        <w:rPr>
          <w:szCs w:val="18"/>
          <w:lang w:val="nl-NL"/>
        </w:rPr>
        <w:t xml:space="preserve">effectief is niet </w:t>
      </w:r>
      <w:r w:rsidR="00F316AB">
        <w:rPr>
          <w:szCs w:val="18"/>
          <w:lang w:val="nl-NL"/>
        </w:rPr>
        <w:t>(</w:t>
      </w:r>
      <w:r w:rsidRPr="002942FE" w:rsidR="002942FE">
        <w:rPr>
          <w:szCs w:val="18"/>
          <w:lang w:val="nl-NL"/>
        </w:rPr>
        <w:t>meer</w:t>
      </w:r>
      <w:r w:rsidR="00F316AB">
        <w:rPr>
          <w:szCs w:val="18"/>
          <w:lang w:val="nl-NL"/>
        </w:rPr>
        <w:t>)</w:t>
      </w:r>
      <w:r w:rsidRPr="002942FE" w:rsidR="002942FE">
        <w:rPr>
          <w:szCs w:val="18"/>
          <w:lang w:val="nl-NL"/>
        </w:rPr>
        <w:t xml:space="preserve"> te vergoeden vanuit het basispakket.</w:t>
      </w:r>
      <w:r w:rsidR="00FB2930">
        <w:rPr>
          <w:szCs w:val="18"/>
          <w:lang w:val="nl-NL"/>
        </w:rPr>
        <w:t xml:space="preserve"> </w:t>
      </w:r>
      <w:r w:rsidR="000E2427">
        <w:rPr>
          <w:szCs w:val="18"/>
          <w:lang w:val="nl-NL"/>
        </w:rPr>
        <w:t xml:space="preserve">Er is </w:t>
      </w:r>
      <w:r w:rsidR="00FB2930">
        <w:rPr>
          <w:szCs w:val="18"/>
          <w:lang w:val="nl-NL"/>
        </w:rPr>
        <w:t xml:space="preserve">bekeken voor welke situaties het gerechtvaardigd is om daarop </w:t>
      </w:r>
      <w:r w:rsidR="00E11A78">
        <w:rPr>
          <w:szCs w:val="18"/>
          <w:lang w:val="nl-NL"/>
        </w:rPr>
        <w:t xml:space="preserve">(via een VT) </w:t>
      </w:r>
      <w:r w:rsidR="00FB2930">
        <w:rPr>
          <w:szCs w:val="18"/>
          <w:lang w:val="nl-NL"/>
        </w:rPr>
        <w:t xml:space="preserve">toch </w:t>
      </w:r>
      <w:r w:rsidR="00B2657D">
        <w:rPr>
          <w:szCs w:val="18"/>
          <w:lang w:val="nl-NL"/>
        </w:rPr>
        <w:t xml:space="preserve">een </w:t>
      </w:r>
      <w:r w:rsidR="00FB2930">
        <w:rPr>
          <w:szCs w:val="18"/>
          <w:lang w:val="nl-NL"/>
        </w:rPr>
        <w:t>uitzondering te maken.</w:t>
      </w:r>
    </w:p>
    <w:p w:rsidRPr="00E6666E" w:rsidR="00E6666E" w:rsidP="00E6666E" w:rsidRDefault="005A3A84" w14:paraId="0F1ED92F" w14:textId="01E4D1FC">
      <w:pPr>
        <w:rPr>
          <w:szCs w:val="18"/>
          <w:lang w:val="nl-NL"/>
        </w:rPr>
      </w:pPr>
      <w:r>
        <w:rPr>
          <w:szCs w:val="18"/>
          <w:lang w:val="nl-NL"/>
        </w:rPr>
        <w:t>Het huidige beleid van voorwaardelijke toelating</w:t>
      </w:r>
      <w:r w:rsidR="00CA4C81">
        <w:rPr>
          <w:szCs w:val="18"/>
          <w:lang w:val="nl-NL"/>
        </w:rPr>
        <w:t xml:space="preserve"> richt zich op </w:t>
      </w:r>
      <w:r w:rsidRPr="00CA4C81" w:rsidR="00CA4C81">
        <w:rPr>
          <w:szCs w:val="18"/>
          <w:lang w:val="nl-NL"/>
        </w:rPr>
        <w:t>weesgeneesmiddelen</w:t>
      </w:r>
      <w:r w:rsidR="007922B7">
        <w:rPr>
          <w:rStyle w:val="Voetnootmarkering"/>
          <w:szCs w:val="18"/>
          <w:lang w:val="nl-NL"/>
        </w:rPr>
        <w:footnoteReference w:id="2"/>
      </w:r>
      <w:r w:rsidRPr="00CA4C81" w:rsidR="00CA4C81">
        <w:rPr>
          <w:szCs w:val="18"/>
          <w:lang w:val="nl-NL"/>
        </w:rPr>
        <w:t xml:space="preserve">, </w:t>
      </w:r>
      <w:proofErr w:type="spellStart"/>
      <w:r w:rsidRPr="00E615BB" w:rsidR="00CA4C81">
        <w:rPr>
          <w:i/>
          <w:iCs/>
          <w:szCs w:val="18"/>
          <w:lang w:val="nl-NL"/>
        </w:rPr>
        <w:t>conditionals</w:t>
      </w:r>
      <w:proofErr w:type="spellEnd"/>
      <w:r w:rsidR="007922B7">
        <w:rPr>
          <w:rStyle w:val="Voetnootmarkering"/>
          <w:i/>
          <w:iCs/>
          <w:szCs w:val="18"/>
          <w:lang w:val="nl-NL"/>
        </w:rPr>
        <w:footnoteReference w:id="3"/>
      </w:r>
      <w:r w:rsidR="00E96640">
        <w:rPr>
          <w:szCs w:val="18"/>
          <w:lang w:val="nl-NL"/>
        </w:rPr>
        <w:t xml:space="preserve"> </w:t>
      </w:r>
      <w:r w:rsidRPr="00CA4C81" w:rsidR="00CA4C81">
        <w:rPr>
          <w:szCs w:val="18"/>
          <w:lang w:val="nl-NL"/>
        </w:rPr>
        <w:t xml:space="preserve">en </w:t>
      </w:r>
      <w:proofErr w:type="spellStart"/>
      <w:r w:rsidRPr="00E615BB" w:rsidR="00CA4C81">
        <w:rPr>
          <w:i/>
          <w:iCs/>
          <w:szCs w:val="18"/>
          <w:lang w:val="nl-NL"/>
        </w:rPr>
        <w:t>exceptionals</w:t>
      </w:r>
      <w:proofErr w:type="spellEnd"/>
      <w:r w:rsidR="00321A3F">
        <w:rPr>
          <w:rStyle w:val="Voetnootmarkering"/>
          <w:i/>
          <w:iCs/>
          <w:szCs w:val="18"/>
          <w:lang w:val="nl-NL"/>
        </w:rPr>
        <w:footnoteReference w:id="4"/>
      </w:r>
      <w:r w:rsidR="00E96640">
        <w:rPr>
          <w:szCs w:val="18"/>
          <w:lang w:val="nl-NL"/>
        </w:rPr>
        <w:t xml:space="preserve"> omdat het voor deze geneesmiddelen </w:t>
      </w:r>
      <w:r w:rsidRPr="00CA4C81" w:rsidR="00CA4C81">
        <w:rPr>
          <w:szCs w:val="18"/>
          <w:lang w:val="nl-NL"/>
        </w:rPr>
        <w:t>lastig kan zijn</w:t>
      </w:r>
      <w:r w:rsidR="00CD3F91">
        <w:rPr>
          <w:szCs w:val="18"/>
          <w:lang w:val="nl-NL"/>
        </w:rPr>
        <w:t>,</w:t>
      </w:r>
      <w:r w:rsidRPr="00CA4C81" w:rsidR="00CA4C81">
        <w:rPr>
          <w:szCs w:val="18"/>
          <w:lang w:val="nl-NL"/>
        </w:rPr>
        <w:t xml:space="preserve"> of langer kan duren</w:t>
      </w:r>
      <w:r w:rsidR="00CD3F91">
        <w:rPr>
          <w:szCs w:val="18"/>
          <w:lang w:val="nl-NL"/>
        </w:rPr>
        <w:t>,</w:t>
      </w:r>
      <w:r w:rsidRPr="00CA4C81" w:rsidR="00CA4C81">
        <w:rPr>
          <w:szCs w:val="18"/>
          <w:lang w:val="nl-NL"/>
        </w:rPr>
        <w:t xml:space="preserve"> om de effectiviteit te bewijzen.</w:t>
      </w:r>
      <w:r w:rsidR="00E96640">
        <w:rPr>
          <w:szCs w:val="18"/>
          <w:lang w:val="nl-NL"/>
        </w:rPr>
        <w:t xml:space="preserve"> </w:t>
      </w:r>
      <w:r w:rsidRPr="00CA4C81" w:rsidR="00CA4C81">
        <w:rPr>
          <w:szCs w:val="18"/>
          <w:lang w:val="nl-NL"/>
        </w:rPr>
        <w:t xml:space="preserve">Bijvoorbeeld omdat deze </w:t>
      </w:r>
      <w:r w:rsidR="00EB054F">
        <w:rPr>
          <w:szCs w:val="18"/>
          <w:lang w:val="nl-NL"/>
        </w:rPr>
        <w:t xml:space="preserve">geneesmiddelen </w:t>
      </w:r>
      <w:r w:rsidRPr="00CA4C81" w:rsidR="00CA4C81">
        <w:rPr>
          <w:szCs w:val="18"/>
          <w:lang w:val="nl-NL"/>
        </w:rPr>
        <w:t>ontwikkeld zijn voor ziekten met zeer kleine patiëntaantallen, een heterogene</w:t>
      </w:r>
      <w:r w:rsidR="00321A3F">
        <w:rPr>
          <w:rStyle w:val="Voetnootmarkering"/>
          <w:szCs w:val="18"/>
          <w:lang w:val="nl-NL"/>
        </w:rPr>
        <w:footnoteReference w:id="5"/>
      </w:r>
      <w:r w:rsidRPr="00CA4C81" w:rsidR="00CA4C81">
        <w:rPr>
          <w:szCs w:val="18"/>
          <w:lang w:val="nl-NL"/>
        </w:rPr>
        <w:t xml:space="preserve"> patiëntpopulatie en/of een aandoening met een langzaam progressief dan wel heterogeen ziektebeloop.</w:t>
      </w:r>
      <w:r w:rsidR="00E615BB">
        <w:rPr>
          <w:szCs w:val="18"/>
          <w:lang w:val="nl-NL"/>
        </w:rPr>
        <w:t xml:space="preserve"> </w:t>
      </w:r>
      <w:r w:rsidR="00B2657D">
        <w:rPr>
          <w:szCs w:val="18"/>
          <w:lang w:val="nl-NL"/>
        </w:rPr>
        <w:t>Bij de introductie van het VT beleid werd aangegeven</w:t>
      </w:r>
      <w:r w:rsidR="00B2657D">
        <w:rPr>
          <w:rStyle w:val="Voetnootmarkering"/>
          <w:szCs w:val="18"/>
          <w:lang w:val="nl-NL"/>
        </w:rPr>
        <w:footnoteReference w:id="6"/>
      </w:r>
      <w:r w:rsidR="00B2657D">
        <w:rPr>
          <w:szCs w:val="18"/>
          <w:lang w:val="nl-NL"/>
        </w:rPr>
        <w:t xml:space="preserve"> dat het via</w:t>
      </w:r>
      <w:r w:rsidR="005D2303">
        <w:rPr>
          <w:szCs w:val="18"/>
          <w:lang w:val="nl-NL"/>
        </w:rPr>
        <w:t xml:space="preserve"> de VT </w:t>
      </w:r>
      <w:r w:rsidR="00544EE6">
        <w:rPr>
          <w:szCs w:val="18"/>
          <w:lang w:val="nl-NL"/>
        </w:rPr>
        <w:t xml:space="preserve">mogelijk </w:t>
      </w:r>
      <w:r w:rsidR="00B2657D">
        <w:rPr>
          <w:szCs w:val="18"/>
          <w:lang w:val="nl-NL"/>
        </w:rPr>
        <w:t xml:space="preserve">is </w:t>
      </w:r>
      <w:r w:rsidRPr="00CA4C81" w:rsidR="00CA4C81">
        <w:rPr>
          <w:szCs w:val="18"/>
          <w:lang w:val="nl-NL"/>
        </w:rPr>
        <w:t xml:space="preserve">om op basis van </w:t>
      </w:r>
      <w:r w:rsidR="00B2657D">
        <w:rPr>
          <w:szCs w:val="18"/>
          <w:lang w:val="nl-NL"/>
        </w:rPr>
        <w:t>‘</w:t>
      </w:r>
      <w:r w:rsidRPr="00CA4C81" w:rsidR="00CA4C81">
        <w:rPr>
          <w:szCs w:val="18"/>
          <w:lang w:val="nl-NL"/>
        </w:rPr>
        <w:t>andere onderzoeksmethod</w:t>
      </w:r>
      <w:r w:rsidR="000A0A91">
        <w:rPr>
          <w:szCs w:val="18"/>
          <w:lang w:val="nl-NL"/>
        </w:rPr>
        <w:t>en</w:t>
      </w:r>
      <w:r w:rsidRPr="00CA4C81" w:rsidR="00CA4C81">
        <w:rPr>
          <w:szCs w:val="18"/>
          <w:lang w:val="nl-NL"/>
        </w:rPr>
        <w:t xml:space="preserve"> gegevens over de effectiviteit aan te leveren</w:t>
      </w:r>
      <w:r w:rsidR="00B2657D">
        <w:rPr>
          <w:szCs w:val="18"/>
          <w:lang w:val="nl-NL"/>
        </w:rPr>
        <w:t>’</w:t>
      </w:r>
      <w:r w:rsidR="0033560D">
        <w:rPr>
          <w:szCs w:val="18"/>
          <w:lang w:val="nl-NL"/>
        </w:rPr>
        <w:t xml:space="preserve"> bij het Zorginstituut</w:t>
      </w:r>
      <w:r w:rsidR="00514412">
        <w:rPr>
          <w:szCs w:val="18"/>
          <w:lang w:val="nl-NL"/>
        </w:rPr>
        <w:t>, gedurende een langere periode</w:t>
      </w:r>
      <w:r w:rsidRPr="00CA4C81" w:rsidR="00CA4C81">
        <w:rPr>
          <w:szCs w:val="18"/>
          <w:lang w:val="nl-NL"/>
        </w:rPr>
        <w:t xml:space="preserve">. </w:t>
      </w:r>
      <w:r w:rsidR="00B2657D">
        <w:rPr>
          <w:szCs w:val="18"/>
          <w:lang w:val="nl-NL"/>
        </w:rPr>
        <w:t xml:space="preserve">Daarbij werd verduidelijkt dat het </w:t>
      </w:r>
      <w:r w:rsidR="008F342C">
        <w:rPr>
          <w:szCs w:val="18"/>
          <w:lang w:val="nl-NL"/>
        </w:rPr>
        <w:t xml:space="preserve">bijvoorbeeld </w:t>
      </w:r>
      <w:r w:rsidR="00B2657D">
        <w:rPr>
          <w:szCs w:val="18"/>
          <w:lang w:val="nl-NL"/>
        </w:rPr>
        <w:t>kan gaan om ‘</w:t>
      </w:r>
      <w:proofErr w:type="spellStart"/>
      <w:r w:rsidRPr="00CA4C81" w:rsidR="00CA4C81">
        <w:rPr>
          <w:szCs w:val="18"/>
          <w:lang w:val="nl-NL"/>
        </w:rPr>
        <w:t>ongeblindeerd</w:t>
      </w:r>
      <w:proofErr w:type="spellEnd"/>
      <w:r w:rsidRPr="00CA4C81" w:rsidR="00CA4C81">
        <w:rPr>
          <w:szCs w:val="18"/>
          <w:lang w:val="nl-NL"/>
        </w:rPr>
        <w:t xml:space="preserve"> onderzoek waarbij de resultaten worden vergeleken met een historische controlegroep, of het in kaart brengen van het natuurlijk beloop van de ziekte met een bestaand register waar de resultaten van de behandelde patiënten vervolgens mee worden vergeleken</w:t>
      </w:r>
      <w:r w:rsidR="00B2657D">
        <w:rPr>
          <w:szCs w:val="18"/>
          <w:lang w:val="nl-NL"/>
        </w:rPr>
        <w:t>’</w:t>
      </w:r>
      <w:r w:rsidRPr="00CA4C81" w:rsidR="00CA4C81">
        <w:rPr>
          <w:szCs w:val="18"/>
          <w:lang w:val="nl-NL"/>
        </w:rPr>
        <w:t xml:space="preserve">. </w:t>
      </w:r>
      <w:r w:rsidR="00426AF0">
        <w:rPr>
          <w:szCs w:val="18"/>
          <w:lang w:val="nl-NL"/>
        </w:rPr>
        <w:t>D</w:t>
      </w:r>
      <w:r w:rsidR="00382790">
        <w:rPr>
          <w:szCs w:val="18"/>
          <w:lang w:val="nl-NL"/>
        </w:rPr>
        <w:t xml:space="preserve">e wens </w:t>
      </w:r>
      <w:r w:rsidR="00431807">
        <w:rPr>
          <w:szCs w:val="18"/>
          <w:lang w:val="nl-NL"/>
        </w:rPr>
        <w:t xml:space="preserve">om nieuwe, veelbelovende middelen </w:t>
      </w:r>
      <w:r w:rsidRPr="00AF4A1D" w:rsidR="00AF4A1D">
        <w:rPr>
          <w:szCs w:val="18"/>
          <w:lang w:val="nl-NL"/>
        </w:rPr>
        <w:t>snel beschikbaar te maken voor patiënten</w:t>
      </w:r>
      <w:r w:rsidR="00426AF0">
        <w:rPr>
          <w:szCs w:val="18"/>
          <w:lang w:val="nl-NL"/>
        </w:rPr>
        <w:t xml:space="preserve"> is begrijpelijk</w:t>
      </w:r>
      <w:r w:rsidR="00382790">
        <w:rPr>
          <w:szCs w:val="18"/>
          <w:lang w:val="nl-NL"/>
        </w:rPr>
        <w:t xml:space="preserve">. </w:t>
      </w:r>
      <w:r w:rsidR="00E6666E">
        <w:rPr>
          <w:szCs w:val="18"/>
          <w:lang w:val="nl-NL"/>
        </w:rPr>
        <w:t>Het is</w:t>
      </w:r>
      <w:r w:rsidR="00382790">
        <w:rPr>
          <w:szCs w:val="18"/>
          <w:lang w:val="nl-NL"/>
        </w:rPr>
        <w:t xml:space="preserve"> </w:t>
      </w:r>
      <w:r w:rsidR="00E6666E">
        <w:rPr>
          <w:szCs w:val="18"/>
          <w:lang w:val="nl-NL"/>
        </w:rPr>
        <w:t xml:space="preserve">ook </w:t>
      </w:r>
      <w:r w:rsidR="00382790">
        <w:rPr>
          <w:szCs w:val="18"/>
          <w:lang w:val="nl-NL"/>
        </w:rPr>
        <w:t>begrijp</w:t>
      </w:r>
      <w:r w:rsidR="00E6666E">
        <w:rPr>
          <w:szCs w:val="18"/>
          <w:lang w:val="nl-NL"/>
        </w:rPr>
        <w:t>elijk</w:t>
      </w:r>
      <w:r w:rsidR="00382790">
        <w:rPr>
          <w:szCs w:val="18"/>
          <w:lang w:val="nl-NL"/>
        </w:rPr>
        <w:t xml:space="preserve"> dat </w:t>
      </w:r>
      <w:r w:rsidR="00431807">
        <w:rPr>
          <w:szCs w:val="18"/>
          <w:lang w:val="nl-NL"/>
        </w:rPr>
        <w:t>het EMA daarom de mogelijkheid biedt tot een voorwaardelijke of bijzondere handelsvergunning</w:t>
      </w:r>
      <w:r w:rsidR="00382790">
        <w:rPr>
          <w:szCs w:val="18"/>
          <w:lang w:val="nl-NL"/>
        </w:rPr>
        <w:t xml:space="preserve">. </w:t>
      </w:r>
      <w:r w:rsidR="00E6666E">
        <w:rPr>
          <w:szCs w:val="18"/>
          <w:lang w:val="nl-NL"/>
        </w:rPr>
        <w:t xml:space="preserve">Maar we </w:t>
      </w:r>
      <w:r w:rsidRPr="00E6666E" w:rsidR="00E6666E">
        <w:rPr>
          <w:szCs w:val="18"/>
          <w:lang w:val="nl-NL"/>
        </w:rPr>
        <w:t>zien dat snelheid zich in de praktijk toch vooral terugvertaalt in onzekerheid over de effecten. Sterker nog, onderzoek heeft uitgewezen dat juist van oncologische geneesmiddelen die versneld zijn toegelaten uiteindelijk de (toegevoegde) waarde niet of nauwelijks viel vast te stellen.</w:t>
      </w:r>
      <w:r w:rsidR="00E6666E">
        <w:rPr>
          <w:rStyle w:val="Voetnootmarkering"/>
          <w:szCs w:val="18"/>
        </w:rPr>
        <w:footnoteReference w:id="7"/>
      </w:r>
      <w:r w:rsidRPr="00E6666E" w:rsidR="00E6666E">
        <w:rPr>
          <w:szCs w:val="18"/>
          <w:lang w:val="nl-NL"/>
        </w:rPr>
        <w:t xml:space="preserve"> Het is dan de vraag of een versnelde of voorwaardelijke toelating het probleem van onzekerheid niet slechts verplaatst, in plaats van oplost, maar dan wel ten laste van de samenleving omdat die het financiële risico daarvan (meer) gaat dragen.</w:t>
      </w:r>
    </w:p>
    <w:p w:rsidR="00747C8B" w:rsidP="00CA4C81" w:rsidRDefault="00E6666E" w14:paraId="2D7EA53C" w14:textId="77777777">
      <w:pPr>
        <w:rPr>
          <w:szCs w:val="18"/>
          <w:lang w:val="nl-NL"/>
        </w:rPr>
      </w:pPr>
      <w:r>
        <w:rPr>
          <w:szCs w:val="18"/>
          <w:lang w:val="nl-NL"/>
        </w:rPr>
        <w:t>D</w:t>
      </w:r>
      <w:r w:rsidR="00431807">
        <w:rPr>
          <w:szCs w:val="18"/>
          <w:lang w:val="nl-NL"/>
        </w:rPr>
        <w:t>aarom</w:t>
      </w:r>
      <w:r w:rsidRPr="000A0A91" w:rsidR="000A0A91">
        <w:rPr>
          <w:szCs w:val="18"/>
          <w:lang w:val="nl-NL"/>
        </w:rPr>
        <w:t xml:space="preserve"> </w:t>
      </w:r>
      <w:r>
        <w:rPr>
          <w:szCs w:val="18"/>
          <w:lang w:val="nl-NL"/>
        </w:rPr>
        <w:t xml:space="preserve">is </w:t>
      </w:r>
      <w:r w:rsidRPr="000A0A91" w:rsidR="000A0A91">
        <w:rPr>
          <w:szCs w:val="18"/>
          <w:lang w:val="nl-NL"/>
        </w:rPr>
        <w:t xml:space="preserve">per </w:t>
      </w:r>
      <w:r w:rsidR="006127CD">
        <w:rPr>
          <w:szCs w:val="18"/>
          <w:lang w:val="nl-NL"/>
        </w:rPr>
        <w:t xml:space="preserve">VT </w:t>
      </w:r>
      <w:r w:rsidRPr="000A0A91" w:rsidR="000A0A91">
        <w:rPr>
          <w:szCs w:val="18"/>
          <w:lang w:val="nl-NL"/>
        </w:rPr>
        <w:t>categorie</w:t>
      </w:r>
      <w:r w:rsidR="006127CD">
        <w:rPr>
          <w:rStyle w:val="Voetnootmarkering"/>
          <w:szCs w:val="18"/>
          <w:lang w:val="nl-NL"/>
        </w:rPr>
        <w:footnoteReference w:id="8"/>
      </w:r>
      <w:r w:rsidRPr="000A0A91" w:rsidR="000A0A91">
        <w:rPr>
          <w:szCs w:val="18"/>
          <w:lang w:val="nl-NL"/>
        </w:rPr>
        <w:t xml:space="preserve"> bekeken of het </w:t>
      </w:r>
      <w:r w:rsidR="000977A8">
        <w:rPr>
          <w:szCs w:val="18"/>
          <w:lang w:val="nl-NL"/>
        </w:rPr>
        <w:t xml:space="preserve">nog steeds </w:t>
      </w:r>
      <w:r w:rsidR="000A0A91">
        <w:rPr>
          <w:szCs w:val="18"/>
          <w:lang w:val="nl-NL"/>
        </w:rPr>
        <w:t>terecht i</w:t>
      </w:r>
      <w:r w:rsidRPr="000A0A91" w:rsidR="000A0A91">
        <w:rPr>
          <w:szCs w:val="18"/>
          <w:lang w:val="nl-NL"/>
        </w:rPr>
        <w:t>s dat de overheid deze geneesmiddelen via een VT bekostigt.</w:t>
      </w:r>
      <w:r w:rsidR="000977A8">
        <w:rPr>
          <w:szCs w:val="18"/>
          <w:lang w:val="nl-NL"/>
        </w:rPr>
        <w:t xml:space="preserve"> </w:t>
      </w:r>
      <w:r>
        <w:rPr>
          <w:szCs w:val="18"/>
          <w:lang w:val="nl-NL"/>
        </w:rPr>
        <w:t>De</w:t>
      </w:r>
      <w:r w:rsidRPr="000977A8" w:rsidR="000977A8">
        <w:rPr>
          <w:szCs w:val="18"/>
          <w:lang w:val="nl-NL"/>
        </w:rPr>
        <w:t xml:space="preserve"> conclusie </w:t>
      </w:r>
      <w:r w:rsidR="00D84ADC">
        <w:rPr>
          <w:szCs w:val="18"/>
          <w:lang w:val="nl-NL"/>
        </w:rPr>
        <w:t xml:space="preserve">bij </w:t>
      </w:r>
      <w:r w:rsidRPr="000977A8" w:rsidR="000977A8">
        <w:rPr>
          <w:szCs w:val="18"/>
          <w:lang w:val="nl-NL"/>
        </w:rPr>
        <w:t>elk van de drie categorieën is dat</w:t>
      </w:r>
      <w:r w:rsidR="000977A8">
        <w:rPr>
          <w:szCs w:val="18"/>
          <w:lang w:val="nl-NL"/>
        </w:rPr>
        <w:t xml:space="preserve"> </w:t>
      </w:r>
      <w:r w:rsidR="005A3A84">
        <w:rPr>
          <w:szCs w:val="18"/>
          <w:lang w:val="nl-NL"/>
        </w:rPr>
        <w:t>het primair de verantwoordelijkheid van een firma is om dit onderzoek uit te voeren</w:t>
      </w:r>
      <w:r w:rsidRPr="00B9631C" w:rsidR="009F65DA">
        <w:rPr>
          <w:lang w:val="nl-NL"/>
        </w:rPr>
        <w:t xml:space="preserve"> </w:t>
      </w:r>
      <w:r w:rsidRPr="009F65DA" w:rsidR="009F65DA">
        <w:rPr>
          <w:szCs w:val="18"/>
          <w:lang w:val="nl-NL"/>
        </w:rPr>
        <w:t>voor het verkrijgen van de handelsvergunning én pakkettoelating</w:t>
      </w:r>
      <w:r w:rsidR="00D84ADC">
        <w:rPr>
          <w:szCs w:val="18"/>
          <w:lang w:val="nl-NL"/>
        </w:rPr>
        <w:t xml:space="preserve">. </w:t>
      </w:r>
      <w:r w:rsidRPr="00D84ADC" w:rsidR="00D84ADC">
        <w:rPr>
          <w:szCs w:val="18"/>
          <w:lang w:val="nl-NL"/>
        </w:rPr>
        <w:t xml:space="preserve">Vooral wanneer het onderzoek de firma </w:t>
      </w:r>
      <w:r w:rsidRPr="00D84ADC" w:rsidR="00D84ADC">
        <w:rPr>
          <w:szCs w:val="18"/>
          <w:lang w:val="nl-NL"/>
        </w:rPr>
        <w:lastRenderedPageBreak/>
        <w:t>ook ten goede komt bij de introductie van het geneesmiddel in andere landen.</w:t>
      </w:r>
      <w:r w:rsidR="005E5919">
        <w:rPr>
          <w:szCs w:val="18"/>
          <w:lang w:val="nl-NL"/>
        </w:rPr>
        <w:t xml:space="preserve"> </w:t>
      </w:r>
      <w:r w:rsidR="002942FE">
        <w:rPr>
          <w:szCs w:val="18"/>
          <w:lang w:val="nl-NL"/>
        </w:rPr>
        <w:t xml:space="preserve">Zelfs als </w:t>
      </w:r>
      <w:r w:rsidR="009D0CE9">
        <w:rPr>
          <w:szCs w:val="18"/>
          <w:lang w:val="nl-NL"/>
        </w:rPr>
        <w:t xml:space="preserve">het </w:t>
      </w:r>
      <w:r w:rsidR="002942FE">
        <w:rPr>
          <w:szCs w:val="18"/>
          <w:lang w:val="nl-NL"/>
        </w:rPr>
        <w:t xml:space="preserve">gaat </w:t>
      </w:r>
      <w:r w:rsidR="009D0CE9">
        <w:rPr>
          <w:szCs w:val="18"/>
          <w:lang w:val="nl-NL"/>
        </w:rPr>
        <w:t>om geneesmiddelen waar</w:t>
      </w:r>
      <w:r w:rsidR="00C74AE7">
        <w:rPr>
          <w:szCs w:val="18"/>
          <w:lang w:val="nl-NL"/>
        </w:rPr>
        <w:t>voor het moeilijk</w:t>
      </w:r>
      <w:r w:rsidR="00943BD1">
        <w:rPr>
          <w:szCs w:val="18"/>
          <w:lang w:val="nl-NL"/>
        </w:rPr>
        <w:t>er</w:t>
      </w:r>
      <w:r w:rsidR="00C74AE7">
        <w:rPr>
          <w:szCs w:val="18"/>
          <w:lang w:val="nl-NL"/>
        </w:rPr>
        <w:t xml:space="preserve"> kan zijn voldoende</w:t>
      </w:r>
      <w:r w:rsidR="00B3622B">
        <w:rPr>
          <w:szCs w:val="18"/>
          <w:lang w:val="nl-NL"/>
        </w:rPr>
        <w:t xml:space="preserve"> goede onderzoeksgegevens te verkrijgen.</w:t>
      </w:r>
      <w:r w:rsidRPr="002942FE" w:rsidR="002942FE">
        <w:rPr>
          <w:szCs w:val="18"/>
          <w:lang w:val="nl-NL"/>
        </w:rPr>
        <w:t xml:space="preserve"> </w:t>
      </w:r>
      <w:r w:rsidR="008C2672">
        <w:rPr>
          <w:szCs w:val="18"/>
          <w:lang w:val="nl-NL"/>
        </w:rPr>
        <w:t>Ge</w:t>
      </w:r>
      <w:r w:rsidRPr="002942FE" w:rsidR="008C2672">
        <w:rPr>
          <w:szCs w:val="18"/>
          <w:lang w:val="nl-NL"/>
        </w:rPr>
        <w:t>ïnterviewde firma</w:t>
      </w:r>
      <w:r w:rsidR="008C2672">
        <w:rPr>
          <w:szCs w:val="18"/>
          <w:lang w:val="nl-NL"/>
        </w:rPr>
        <w:t>’</w:t>
      </w:r>
      <w:r w:rsidRPr="002942FE" w:rsidR="008C2672">
        <w:rPr>
          <w:szCs w:val="18"/>
          <w:lang w:val="nl-NL"/>
        </w:rPr>
        <w:t xml:space="preserve">s </w:t>
      </w:r>
      <w:r w:rsidR="008C2672">
        <w:rPr>
          <w:szCs w:val="18"/>
          <w:lang w:val="nl-NL"/>
        </w:rPr>
        <w:t xml:space="preserve">geven namelijk </w:t>
      </w:r>
      <w:r w:rsidRPr="002942FE" w:rsidR="008C2672">
        <w:rPr>
          <w:szCs w:val="18"/>
          <w:lang w:val="nl-NL"/>
        </w:rPr>
        <w:t xml:space="preserve">aan dat als bestaande data uit internationale registratiestudies (voor weesgeneesmiddelen) onvoldoende blijken voor een beoordeling van de </w:t>
      </w:r>
      <w:r w:rsidR="008C2672">
        <w:rPr>
          <w:szCs w:val="18"/>
          <w:lang w:val="nl-NL"/>
        </w:rPr>
        <w:t>effectiviteit</w:t>
      </w:r>
      <w:r w:rsidRPr="002942FE" w:rsidR="008C2672">
        <w:rPr>
          <w:szCs w:val="18"/>
          <w:lang w:val="nl-NL"/>
        </w:rPr>
        <w:t>, het onwaarschijnlijk is dat op basis van Nederlands onderzoek wel voldoende data verzameld kunnen worden</w:t>
      </w:r>
      <w:r w:rsidR="008C2672">
        <w:rPr>
          <w:szCs w:val="18"/>
          <w:lang w:val="nl-NL"/>
        </w:rPr>
        <w:t>.</w:t>
      </w:r>
      <w:r w:rsidR="002942FE">
        <w:rPr>
          <w:szCs w:val="18"/>
          <w:lang w:val="nl-NL"/>
        </w:rPr>
        <w:t xml:space="preserve"> </w:t>
      </w:r>
    </w:p>
    <w:p w:rsidRPr="00A21EF0" w:rsidR="00943BD1" w:rsidP="00CA4C81" w:rsidRDefault="00943BD1" w14:paraId="6E95BB5F" w14:textId="0612ACED">
      <w:pPr>
        <w:rPr>
          <w:szCs w:val="18"/>
          <w:lang w:val="nl-NL"/>
        </w:rPr>
      </w:pPr>
      <w:r>
        <w:rPr>
          <w:szCs w:val="18"/>
          <w:lang w:val="nl-NL"/>
        </w:rPr>
        <w:t>Bovendien is het zo dat w</w:t>
      </w:r>
      <w:r w:rsidRPr="00943BD1">
        <w:rPr>
          <w:szCs w:val="18"/>
          <w:lang w:val="nl-NL"/>
        </w:rPr>
        <w:t xml:space="preserve">eesgeneesmiddelen </w:t>
      </w:r>
      <w:r>
        <w:rPr>
          <w:szCs w:val="18"/>
          <w:lang w:val="nl-NL"/>
        </w:rPr>
        <w:t xml:space="preserve">doorgaans </w:t>
      </w:r>
      <w:r w:rsidRPr="00943BD1">
        <w:rPr>
          <w:szCs w:val="18"/>
          <w:lang w:val="nl-NL"/>
        </w:rPr>
        <w:t xml:space="preserve">via de reguliere vergoedingsroute </w:t>
      </w:r>
      <w:r>
        <w:rPr>
          <w:szCs w:val="18"/>
          <w:lang w:val="nl-NL"/>
        </w:rPr>
        <w:t xml:space="preserve">kunnen worden </w:t>
      </w:r>
      <w:r w:rsidRPr="00943BD1">
        <w:rPr>
          <w:szCs w:val="18"/>
          <w:lang w:val="nl-NL"/>
        </w:rPr>
        <w:t>beoordeeld en, indien wordt voldaan aan de pakketcriteria, opgenomen in het basispakket.</w:t>
      </w:r>
      <w:r w:rsidR="002F23A9">
        <w:rPr>
          <w:szCs w:val="18"/>
          <w:lang w:val="nl-NL"/>
        </w:rPr>
        <w:t xml:space="preserve"> Bij weesgeneesmiddelen</w:t>
      </w:r>
      <w:r w:rsidRPr="00943BD1">
        <w:rPr>
          <w:szCs w:val="18"/>
          <w:lang w:val="nl-NL"/>
        </w:rPr>
        <w:t xml:space="preserve"> </w:t>
      </w:r>
      <w:r w:rsidR="002F23A9">
        <w:rPr>
          <w:szCs w:val="18"/>
          <w:lang w:val="nl-NL"/>
        </w:rPr>
        <w:t xml:space="preserve">kan het nog steeds gaan om honderden patiënten en is bewijs in principe goed te verzamelen. </w:t>
      </w:r>
      <w:r w:rsidR="00CB6AD0">
        <w:rPr>
          <w:szCs w:val="18"/>
          <w:lang w:val="nl-NL"/>
        </w:rPr>
        <w:t xml:space="preserve">Tot op heden zijn de meeste </w:t>
      </w:r>
      <w:r w:rsidR="002F23A9">
        <w:rPr>
          <w:szCs w:val="18"/>
          <w:lang w:val="nl-NL"/>
        </w:rPr>
        <w:t>weesgeneesmiddelen opgenomen in het basispakket.</w:t>
      </w:r>
      <w:r w:rsidR="00F73157">
        <w:rPr>
          <w:szCs w:val="18"/>
          <w:lang w:val="nl-NL"/>
        </w:rPr>
        <w:t xml:space="preserve"> Op deze punten wordt nader ingegaan in een brief over weesgeneesmiddelen die ook voor de zomer met uw Kamer wordt gedeeld. </w:t>
      </w:r>
    </w:p>
    <w:p w:rsidR="002D4907" w:rsidP="00F711F0" w:rsidRDefault="00E6666E" w14:paraId="7FC9464A" w14:textId="6041A256">
      <w:pPr>
        <w:pStyle w:val="Huisstijl-Aanhef"/>
        <w:spacing w:before="0" w:after="160" w:line="240" w:lineRule="atLeast"/>
        <w:rPr>
          <w:szCs w:val="18"/>
        </w:rPr>
      </w:pPr>
      <w:r>
        <w:t>Het kabinet</w:t>
      </w:r>
      <w:r w:rsidRPr="00E15BFE">
        <w:t xml:space="preserve"> vind</w:t>
      </w:r>
      <w:r>
        <w:t>t</w:t>
      </w:r>
      <w:r w:rsidRPr="00E15BFE">
        <w:t xml:space="preserve"> het </w:t>
      </w:r>
      <w:r>
        <w:t xml:space="preserve">wel </w:t>
      </w:r>
      <w:r w:rsidRPr="00E15BFE">
        <w:t xml:space="preserve">belangrijk dat firma’s tijdig worden geïnformeerd over het onderzoek dat nodig is voor </w:t>
      </w:r>
      <w:r>
        <w:t>pakketopname</w:t>
      </w:r>
      <w:r>
        <w:rPr>
          <w:rStyle w:val="Voetnootmarkering"/>
        </w:rPr>
        <w:footnoteReference w:id="9"/>
      </w:r>
      <w:r>
        <w:t xml:space="preserve">. </w:t>
      </w:r>
      <w:r w:rsidR="00992A08">
        <w:rPr>
          <w:szCs w:val="18"/>
        </w:rPr>
        <w:t xml:space="preserve">Dat kan via </w:t>
      </w:r>
      <w:r w:rsidR="00CD4953">
        <w:rPr>
          <w:szCs w:val="18"/>
        </w:rPr>
        <w:t>een</w:t>
      </w:r>
      <w:r w:rsidR="00992A08">
        <w:rPr>
          <w:szCs w:val="18"/>
        </w:rPr>
        <w:t xml:space="preserve"> gezamenlijk </w:t>
      </w:r>
      <w:r w:rsidRPr="00992A08" w:rsidR="00992A08">
        <w:rPr>
          <w:szCs w:val="18"/>
        </w:rPr>
        <w:t>Europee</w:t>
      </w:r>
      <w:r w:rsidR="008C6540">
        <w:rPr>
          <w:szCs w:val="18"/>
        </w:rPr>
        <w:t>s</w:t>
      </w:r>
      <w:r w:rsidRPr="00992A08" w:rsidR="00992A08">
        <w:rPr>
          <w:szCs w:val="18"/>
        </w:rPr>
        <w:t xml:space="preserve"> </w:t>
      </w:r>
      <w:r w:rsidR="007D5648">
        <w:rPr>
          <w:szCs w:val="18"/>
        </w:rPr>
        <w:t>wetenschappelijk advie</w:t>
      </w:r>
      <w:r w:rsidR="00105C2B">
        <w:rPr>
          <w:szCs w:val="18"/>
        </w:rPr>
        <w:t xml:space="preserve">s (de Joint </w:t>
      </w:r>
      <w:proofErr w:type="spellStart"/>
      <w:r w:rsidR="00105C2B">
        <w:rPr>
          <w:szCs w:val="18"/>
        </w:rPr>
        <w:t>Scientific</w:t>
      </w:r>
      <w:proofErr w:type="spellEnd"/>
      <w:r w:rsidR="00105C2B">
        <w:rPr>
          <w:szCs w:val="18"/>
        </w:rPr>
        <w:t xml:space="preserve"> </w:t>
      </w:r>
      <w:proofErr w:type="spellStart"/>
      <w:r w:rsidR="00105C2B">
        <w:rPr>
          <w:szCs w:val="18"/>
        </w:rPr>
        <w:t>Consultation</w:t>
      </w:r>
      <w:proofErr w:type="spellEnd"/>
      <w:r w:rsidR="00105C2B">
        <w:rPr>
          <w:szCs w:val="18"/>
        </w:rPr>
        <w:t xml:space="preserve">), zoals is </w:t>
      </w:r>
      <w:r w:rsidR="00CD4953">
        <w:rPr>
          <w:szCs w:val="18"/>
        </w:rPr>
        <w:t xml:space="preserve">geregeld </w:t>
      </w:r>
      <w:r w:rsidR="00105C2B">
        <w:rPr>
          <w:szCs w:val="18"/>
        </w:rPr>
        <w:t xml:space="preserve">in de Europese </w:t>
      </w:r>
      <w:r w:rsidRPr="00992A08" w:rsidR="00992A08">
        <w:rPr>
          <w:szCs w:val="18"/>
        </w:rPr>
        <w:t xml:space="preserve">Health Technology Assessment </w:t>
      </w:r>
      <w:r w:rsidR="00105C2B">
        <w:rPr>
          <w:szCs w:val="18"/>
        </w:rPr>
        <w:t>verordening</w:t>
      </w:r>
      <w:r w:rsidRPr="00992A08" w:rsidR="00992A08">
        <w:rPr>
          <w:szCs w:val="18"/>
        </w:rPr>
        <w:t xml:space="preserve"> (</w:t>
      </w:r>
      <w:proofErr w:type="spellStart"/>
      <w:r w:rsidR="00B33104">
        <w:rPr>
          <w:szCs w:val="18"/>
        </w:rPr>
        <w:t>EU</w:t>
      </w:r>
      <w:r w:rsidRPr="00992A08" w:rsidR="00992A08">
        <w:rPr>
          <w:szCs w:val="18"/>
        </w:rPr>
        <w:t>HTA</w:t>
      </w:r>
      <w:r w:rsidR="00B33104">
        <w:rPr>
          <w:szCs w:val="18"/>
        </w:rPr>
        <w:t>r</w:t>
      </w:r>
      <w:proofErr w:type="spellEnd"/>
      <w:r w:rsidRPr="00992A08" w:rsidR="00992A08">
        <w:rPr>
          <w:szCs w:val="18"/>
        </w:rPr>
        <w:t>)</w:t>
      </w:r>
      <w:r w:rsidR="00992A08">
        <w:rPr>
          <w:szCs w:val="18"/>
        </w:rPr>
        <w:t xml:space="preserve">. </w:t>
      </w:r>
      <w:r>
        <w:rPr>
          <w:szCs w:val="18"/>
        </w:rPr>
        <w:t>Het kabinet</w:t>
      </w:r>
      <w:r w:rsidRPr="00992A08" w:rsidR="00992A08">
        <w:rPr>
          <w:szCs w:val="18"/>
        </w:rPr>
        <w:t xml:space="preserve"> </w:t>
      </w:r>
      <w:r w:rsidR="00DA3004">
        <w:rPr>
          <w:szCs w:val="18"/>
        </w:rPr>
        <w:t>hoop</w:t>
      </w:r>
      <w:r>
        <w:rPr>
          <w:szCs w:val="18"/>
        </w:rPr>
        <w:t>t</w:t>
      </w:r>
      <w:r w:rsidR="00DA3004">
        <w:rPr>
          <w:szCs w:val="18"/>
        </w:rPr>
        <w:t xml:space="preserve"> dat hier </w:t>
      </w:r>
      <w:r w:rsidR="00810D97">
        <w:rPr>
          <w:szCs w:val="18"/>
        </w:rPr>
        <w:t>veel</w:t>
      </w:r>
      <w:r w:rsidR="004C4F73">
        <w:rPr>
          <w:szCs w:val="18"/>
        </w:rPr>
        <w:t xml:space="preserve"> gebruik van zal worden gemaakt en  </w:t>
      </w:r>
      <w:r w:rsidRPr="00992A08" w:rsidR="00992A08">
        <w:rPr>
          <w:szCs w:val="18"/>
        </w:rPr>
        <w:t xml:space="preserve">verwacht </w:t>
      </w:r>
      <w:r w:rsidR="00CD4F47">
        <w:rPr>
          <w:szCs w:val="18"/>
        </w:rPr>
        <w:t xml:space="preserve">dat </w:t>
      </w:r>
      <w:r w:rsidR="005A47E1">
        <w:rPr>
          <w:szCs w:val="18"/>
        </w:rPr>
        <w:t>zich</w:t>
      </w:r>
      <w:r w:rsidRPr="00992A08" w:rsidR="00992A08">
        <w:rPr>
          <w:szCs w:val="18"/>
        </w:rPr>
        <w:t xml:space="preserve"> daarmee op termijn minder situaties voordoen waar het voor vergoeding benodigde onderzoek niet is uitgevoerd</w:t>
      </w:r>
      <w:r w:rsidR="00992A08">
        <w:rPr>
          <w:szCs w:val="18"/>
        </w:rPr>
        <w:t>.</w:t>
      </w:r>
    </w:p>
    <w:p w:rsidR="00852DD9" w:rsidP="00F711F0" w:rsidRDefault="00047FD4" w14:paraId="607D3548" w14:textId="150F1C9C">
      <w:pPr>
        <w:rPr>
          <w:szCs w:val="18"/>
          <w:lang w:val="nl-NL"/>
        </w:rPr>
      </w:pPr>
      <w:r>
        <w:rPr>
          <w:szCs w:val="18"/>
          <w:lang w:val="nl-NL"/>
        </w:rPr>
        <w:t xml:space="preserve">Zoals aangegeven </w:t>
      </w:r>
      <w:r w:rsidR="00E6666E">
        <w:rPr>
          <w:szCs w:val="18"/>
          <w:lang w:val="nl-NL"/>
        </w:rPr>
        <w:t xml:space="preserve">vindt het </w:t>
      </w:r>
      <w:r w:rsidRPr="00E6666E" w:rsidR="00E6666E">
        <w:rPr>
          <w:szCs w:val="18"/>
          <w:lang w:val="nl-NL"/>
        </w:rPr>
        <w:t xml:space="preserve">kabinet </w:t>
      </w:r>
      <w:r>
        <w:rPr>
          <w:szCs w:val="18"/>
          <w:lang w:val="nl-NL"/>
        </w:rPr>
        <w:t xml:space="preserve">het </w:t>
      </w:r>
      <w:r w:rsidRPr="00047FD4">
        <w:rPr>
          <w:szCs w:val="18"/>
          <w:lang w:val="nl-NL"/>
        </w:rPr>
        <w:t xml:space="preserve">primair de verantwoordelijkheid van een firma om </w:t>
      </w:r>
      <w:r>
        <w:rPr>
          <w:szCs w:val="18"/>
          <w:lang w:val="nl-NL"/>
        </w:rPr>
        <w:t>het benodigde onderzoek</w:t>
      </w:r>
      <w:r w:rsidRPr="00047FD4">
        <w:rPr>
          <w:szCs w:val="18"/>
          <w:lang w:val="nl-NL"/>
        </w:rPr>
        <w:t xml:space="preserve"> uit te voeren</w:t>
      </w:r>
      <w:r>
        <w:rPr>
          <w:szCs w:val="18"/>
          <w:lang w:val="nl-NL"/>
        </w:rPr>
        <w:t xml:space="preserve">. </w:t>
      </w:r>
      <w:r w:rsidR="007A6B9D">
        <w:rPr>
          <w:szCs w:val="18"/>
          <w:lang w:val="nl-NL"/>
        </w:rPr>
        <w:t>Het kabinet</w:t>
      </w:r>
      <w:r>
        <w:rPr>
          <w:szCs w:val="18"/>
          <w:lang w:val="nl-NL"/>
        </w:rPr>
        <w:t xml:space="preserve"> vind</w:t>
      </w:r>
      <w:r w:rsidR="007A6B9D">
        <w:rPr>
          <w:szCs w:val="18"/>
          <w:lang w:val="nl-NL"/>
        </w:rPr>
        <w:t>t</w:t>
      </w:r>
      <w:r>
        <w:rPr>
          <w:szCs w:val="18"/>
          <w:lang w:val="nl-NL"/>
        </w:rPr>
        <w:t xml:space="preserve"> het wel </w:t>
      </w:r>
      <w:r w:rsidR="0044095D">
        <w:rPr>
          <w:szCs w:val="18"/>
          <w:lang w:val="nl-NL"/>
        </w:rPr>
        <w:t xml:space="preserve">redelijk </w:t>
      </w:r>
      <w:r>
        <w:rPr>
          <w:szCs w:val="18"/>
          <w:lang w:val="nl-NL"/>
        </w:rPr>
        <w:t xml:space="preserve">om de VT open te stellen voor geneesmiddelen </w:t>
      </w:r>
      <w:r w:rsidRPr="00AB5144" w:rsidR="00AB5144">
        <w:rPr>
          <w:szCs w:val="18"/>
          <w:lang w:val="nl-NL"/>
        </w:rPr>
        <w:t>waarbij firma’s (</w:t>
      </w:r>
      <w:r w:rsidR="002A2031">
        <w:rPr>
          <w:szCs w:val="18"/>
          <w:lang w:val="nl-NL"/>
        </w:rPr>
        <w:t xml:space="preserve">economisch </w:t>
      </w:r>
      <w:r w:rsidR="00B51010">
        <w:rPr>
          <w:szCs w:val="18"/>
          <w:lang w:val="nl-NL"/>
        </w:rPr>
        <w:t>gezien</w:t>
      </w:r>
      <w:r w:rsidRPr="00AB5144" w:rsidR="00AB5144">
        <w:rPr>
          <w:szCs w:val="18"/>
          <w:lang w:val="nl-NL"/>
        </w:rPr>
        <w:t xml:space="preserve">) onvoldoende prikkels hebben om het onderzoek zelf </w:t>
      </w:r>
      <w:r w:rsidR="00A90F99">
        <w:rPr>
          <w:szCs w:val="18"/>
          <w:lang w:val="nl-NL"/>
        </w:rPr>
        <w:t>uit te voeren</w:t>
      </w:r>
      <w:r w:rsidR="007A6B9D">
        <w:rPr>
          <w:szCs w:val="18"/>
          <w:lang w:val="nl-NL"/>
        </w:rPr>
        <w:t>. D</w:t>
      </w:r>
      <w:r>
        <w:rPr>
          <w:szCs w:val="18"/>
          <w:lang w:val="nl-NL"/>
        </w:rPr>
        <w:t xml:space="preserve">aar </w:t>
      </w:r>
      <w:r w:rsidR="007A6B9D">
        <w:rPr>
          <w:szCs w:val="18"/>
          <w:lang w:val="nl-NL"/>
        </w:rPr>
        <w:t xml:space="preserve">wordt </w:t>
      </w:r>
      <w:r>
        <w:rPr>
          <w:szCs w:val="18"/>
          <w:lang w:val="nl-NL"/>
        </w:rPr>
        <w:t>in de volgende paragraaf verder op in</w:t>
      </w:r>
      <w:r w:rsidR="007A6B9D">
        <w:rPr>
          <w:szCs w:val="18"/>
          <w:lang w:val="nl-NL"/>
        </w:rPr>
        <w:t>gegaan</w:t>
      </w:r>
      <w:r>
        <w:rPr>
          <w:szCs w:val="18"/>
          <w:lang w:val="nl-NL"/>
        </w:rPr>
        <w:t>.</w:t>
      </w:r>
    </w:p>
    <w:p w:rsidRPr="004108E3" w:rsidR="004108E3" w:rsidP="0049340A" w:rsidRDefault="002F1628" w14:paraId="33483DD1" w14:textId="51F7AE38">
      <w:pPr>
        <w:rPr>
          <w:szCs w:val="18"/>
          <w:u w:val="single"/>
          <w:lang w:val="nl-NL"/>
        </w:rPr>
      </w:pPr>
      <w:r>
        <w:rPr>
          <w:szCs w:val="18"/>
          <w:u w:val="single"/>
          <w:lang w:val="nl-NL"/>
        </w:rPr>
        <w:br/>
      </w:r>
      <w:r w:rsidR="000467E1">
        <w:rPr>
          <w:szCs w:val="18"/>
          <w:u w:val="single"/>
          <w:lang w:val="nl-NL"/>
        </w:rPr>
        <w:t>Voorstel voor aangepaste a</w:t>
      </w:r>
      <w:r w:rsidRPr="004108E3" w:rsidR="004108E3">
        <w:rPr>
          <w:szCs w:val="18"/>
          <w:u w:val="single"/>
          <w:lang w:val="nl-NL"/>
        </w:rPr>
        <w:t>fbakening</w:t>
      </w:r>
    </w:p>
    <w:p w:rsidR="00540E81" w:rsidP="002917AE" w:rsidRDefault="00D83B2C" w14:paraId="757841E1" w14:textId="788DEEF8">
      <w:pPr>
        <w:spacing w:after="0"/>
        <w:rPr>
          <w:szCs w:val="18"/>
          <w:lang w:val="nl-NL"/>
        </w:rPr>
      </w:pPr>
      <w:r>
        <w:rPr>
          <w:szCs w:val="18"/>
          <w:lang w:val="nl-NL"/>
        </w:rPr>
        <w:t>Uit de evaluatie blijkt dat firma</w:t>
      </w:r>
      <w:r w:rsidR="00377036">
        <w:rPr>
          <w:szCs w:val="18"/>
          <w:lang w:val="nl-NL"/>
        </w:rPr>
        <w:t>’</w:t>
      </w:r>
      <w:r>
        <w:rPr>
          <w:szCs w:val="18"/>
          <w:lang w:val="nl-NL"/>
        </w:rPr>
        <w:t>s soms</w:t>
      </w:r>
      <w:r w:rsidRPr="00B00C09" w:rsidR="00B00C09">
        <w:rPr>
          <w:szCs w:val="18"/>
          <w:lang w:val="nl-NL"/>
        </w:rPr>
        <w:t xml:space="preserve"> onvoldoende prikkels </w:t>
      </w:r>
      <w:r>
        <w:rPr>
          <w:szCs w:val="18"/>
          <w:lang w:val="nl-NL"/>
        </w:rPr>
        <w:t>hebben</w:t>
      </w:r>
      <w:r w:rsidRPr="00B00C09" w:rsidR="00B00C09">
        <w:rPr>
          <w:szCs w:val="18"/>
          <w:lang w:val="nl-NL"/>
        </w:rPr>
        <w:t xml:space="preserve"> om zelf het </w:t>
      </w:r>
      <w:r w:rsidR="00E87FC7">
        <w:rPr>
          <w:szCs w:val="18"/>
          <w:lang w:val="nl-NL"/>
        </w:rPr>
        <w:t xml:space="preserve">voor Nederland benodigde </w:t>
      </w:r>
      <w:r w:rsidRPr="00B00C09" w:rsidR="00B00C09">
        <w:rPr>
          <w:szCs w:val="18"/>
          <w:lang w:val="nl-NL"/>
        </w:rPr>
        <w:t xml:space="preserve">onderzoek </w:t>
      </w:r>
      <w:r w:rsidR="00F316AB">
        <w:rPr>
          <w:szCs w:val="18"/>
          <w:lang w:val="nl-NL"/>
        </w:rPr>
        <w:t>ten behoeve van de</w:t>
      </w:r>
      <w:r w:rsidR="00CF112B">
        <w:rPr>
          <w:szCs w:val="18"/>
          <w:lang w:val="nl-NL"/>
        </w:rPr>
        <w:t xml:space="preserve"> pakkettoelating </w:t>
      </w:r>
      <w:r w:rsidRPr="00B00C09" w:rsidR="00B00C09">
        <w:rPr>
          <w:szCs w:val="18"/>
          <w:lang w:val="nl-NL"/>
        </w:rPr>
        <w:t>uit te voeren</w:t>
      </w:r>
      <w:r w:rsidR="00B00C09">
        <w:rPr>
          <w:szCs w:val="18"/>
          <w:lang w:val="nl-NL"/>
        </w:rPr>
        <w:t>, bijvoorbeeld omdat h</w:t>
      </w:r>
      <w:r w:rsidRPr="00B00C09" w:rsidR="00B00C09">
        <w:rPr>
          <w:szCs w:val="18"/>
          <w:lang w:val="nl-NL"/>
        </w:rPr>
        <w:t xml:space="preserve">et gevraagde onderzoek </w:t>
      </w:r>
      <w:r w:rsidR="00B00C09">
        <w:rPr>
          <w:szCs w:val="18"/>
          <w:lang w:val="nl-NL"/>
        </w:rPr>
        <w:t xml:space="preserve">specifiek is voor </w:t>
      </w:r>
      <w:r w:rsidRPr="00B00C09" w:rsidR="00B00C09">
        <w:rPr>
          <w:szCs w:val="18"/>
          <w:lang w:val="nl-NL"/>
        </w:rPr>
        <w:t>Nederland</w:t>
      </w:r>
      <w:r w:rsidR="00B00C09">
        <w:rPr>
          <w:szCs w:val="18"/>
          <w:lang w:val="nl-NL"/>
        </w:rPr>
        <w:t xml:space="preserve"> </w:t>
      </w:r>
      <w:r w:rsidRPr="00B00C09" w:rsidR="00B00C09">
        <w:rPr>
          <w:szCs w:val="18"/>
          <w:lang w:val="nl-NL"/>
        </w:rPr>
        <w:t>en niet van bredere waarde voor de firma.</w:t>
      </w:r>
      <w:r w:rsidR="00B00C09">
        <w:rPr>
          <w:szCs w:val="18"/>
          <w:lang w:val="nl-NL"/>
        </w:rPr>
        <w:t xml:space="preserve"> </w:t>
      </w:r>
      <w:r w:rsidR="00623642">
        <w:rPr>
          <w:szCs w:val="18"/>
          <w:lang w:val="nl-NL"/>
        </w:rPr>
        <w:t xml:space="preserve">Naar verwachting zal </w:t>
      </w:r>
      <w:r w:rsidR="008D581E">
        <w:rPr>
          <w:szCs w:val="18"/>
          <w:lang w:val="nl-NL"/>
        </w:rPr>
        <w:t>dit</w:t>
      </w:r>
      <w:r w:rsidRPr="0014772B" w:rsidR="0014772B">
        <w:rPr>
          <w:szCs w:val="18"/>
          <w:lang w:val="nl-NL"/>
        </w:rPr>
        <w:t xml:space="preserve"> </w:t>
      </w:r>
      <w:r w:rsidR="008C3028">
        <w:rPr>
          <w:szCs w:val="18"/>
          <w:lang w:val="nl-NL"/>
        </w:rPr>
        <w:t>onderzoek</w:t>
      </w:r>
      <w:r w:rsidRPr="0014772B" w:rsidR="0014772B">
        <w:rPr>
          <w:szCs w:val="18"/>
          <w:lang w:val="nl-NL"/>
        </w:rPr>
        <w:t xml:space="preserve"> </w:t>
      </w:r>
      <w:r w:rsidR="00623642">
        <w:rPr>
          <w:szCs w:val="18"/>
          <w:lang w:val="nl-NL"/>
        </w:rPr>
        <w:t>dan</w:t>
      </w:r>
      <w:r w:rsidRPr="0014772B" w:rsidR="0014772B">
        <w:rPr>
          <w:szCs w:val="18"/>
          <w:lang w:val="nl-NL"/>
        </w:rPr>
        <w:t xml:space="preserve"> niet worden uitgevoerd</w:t>
      </w:r>
      <w:r w:rsidR="0014772B">
        <w:rPr>
          <w:szCs w:val="18"/>
          <w:lang w:val="nl-NL"/>
        </w:rPr>
        <w:t xml:space="preserve">. </w:t>
      </w:r>
    </w:p>
    <w:p w:rsidR="002917AE" w:rsidP="002917AE" w:rsidRDefault="002917AE" w14:paraId="21845578" w14:textId="77777777">
      <w:pPr>
        <w:spacing w:after="0"/>
        <w:rPr>
          <w:szCs w:val="18"/>
          <w:lang w:val="nl-NL"/>
        </w:rPr>
      </w:pPr>
    </w:p>
    <w:p w:rsidR="00047FD4" w:rsidP="00932A7F" w:rsidRDefault="00540E81" w14:paraId="6CCF9277" w14:textId="77777777">
      <w:pPr>
        <w:rPr>
          <w:szCs w:val="18"/>
          <w:lang w:val="nl-NL"/>
        </w:rPr>
      </w:pPr>
      <w:r>
        <w:rPr>
          <w:szCs w:val="18"/>
          <w:lang w:val="nl-NL"/>
        </w:rPr>
        <w:t xml:space="preserve">Het gaat dan </w:t>
      </w:r>
      <w:r w:rsidR="00047FD4">
        <w:rPr>
          <w:szCs w:val="18"/>
          <w:lang w:val="nl-NL"/>
        </w:rPr>
        <w:t xml:space="preserve">om de volgende situaties: </w:t>
      </w:r>
    </w:p>
    <w:p w:rsidR="00047FD4" w:rsidP="00047FD4" w:rsidRDefault="00B00C09" w14:paraId="7232D012" w14:textId="04215114">
      <w:pPr>
        <w:pStyle w:val="Lijstalinea"/>
        <w:numPr>
          <w:ilvl w:val="0"/>
          <w:numId w:val="6"/>
        </w:numPr>
        <w:rPr>
          <w:szCs w:val="18"/>
          <w:lang w:val="nl-NL"/>
        </w:rPr>
      </w:pPr>
      <w:r w:rsidRPr="00047FD4">
        <w:rPr>
          <w:szCs w:val="18"/>
          <w:lang w:val="nl-NL"/>
        </w:rPr>
        <w:t xml:space="preserve">de standaardbehandeling </w:t>
      </w:r>
      <w:r w:rsidR="00047FD4">
        <w:rPr>
          <w:szCs w:val="18"/>
          <w:lang w:val="nl-NL"/>
        </w:rPr>
        <w:t>in Nederland wijkt af van de behandeling waar het geneesmiddel in de studie</w:t>
      </w:r>
      <w:r w:rsidR="00CF112B">
        <w:rPr>
          <w:szCs w:val="18"/>
          <w:lang w:val="nl-NL"/>
        </w:rPr>
        <w:t>(s)</w:t>
      </w:r>
      <w:r w:rsidR="00047FD4">
        <w:rPr>
          <w:szCs w:val="18"/>
          <w:lang w:val="nl-NL"/>
        </w:rPr>
        <w:t xml:space="preserve"> mee is vergeleken, en wijkt ook af van de </w:t>
      </w:r>
      <w:r w:rsidR="00644746">
        <w:rPr>
          <w:szCs w:val="18"/>
          <w:lang w:val="nl-NL"/>
        </w:rPr>
        <w:t>(</w:t>
      </w:r>
      <w:r w:rsidR="00EF5D72">
        <w:rPr>
          <w:szCs w:val="18"/>
          <w:lang w:val="nl-NL"/>
        </w:rPr>
        <w:t>meeste</w:t>
      </w:r>
      <w:r w:rsidR="00644746">
        <w:rPr>
          <w:szCs w:val="18"/>
          <w:lang w:val="nl-NL"/>
        </w:rPr>
        <w:t>)</w:t>
      </w:r>
      <w:r w:rsidR="00EF5D72">
        <w:rPr>
          <w:szCs w:val="18"/>
          <w:lang w:val="nl-NL"/>
        </w:rPr>
        <w:t xml:space="preserve"> landen in </w:t>
      </w:r>
      <w:r w:rsidR="00047FD4">
        <w:rPr>
          <w:szCs w:val="18"/>
          <w:lang w:val="nl-NL"/>
        </w:rPr>
        <w:t>Europa</w:t>
      </w:r>
      <w:r w:rsidR="00E3371D">
        <w:rPr>
          <w:szCs w:val="18"/>
          <w:lang w:val="nl-NL"/>
        </w:rPr>
        <w:t>,</w:t>
      </w:r>
    </w:p>
    <w:p w:rsidR="00047FD4" w:rsidP="00047FD4" w:rsidRDefault="00B00C09" w14:paraId="226531A9" w14:textId="77777777">
      <w:pPr>
        <w:pStyle w:val="Lijstalinea"/>
        <w:numPr>
          <w:ilvl w:val="0"/>
          <w:numId w:val="6"/>
        </w:numPr>
        <w:rPr>
          <w:szCs w:val="18"/>
          <w:lang w:val="nl-NL"/>
        </w:rPr>
      </w:pPr>
      <w:r w:rsidRPr="00047FD4">
        <w:rPr>
          <w:szCs w:val="18"/>
          <w:lang w:val="nl-NL"/>
        </w:rPr>
        <w:t xml:space="preserve">de uitkomstmaten die gevraagd worden voor het aantonen van </w:t>
      </w:r>
      <w:r w:rsidR="0064774B">
        <w:rPr>
          <w:szCs w:val="18"/>
          <w:lang w:val="nl-NL"/>
        </w:rPr>
        <w:t>effectiviteit</w:t>
      </w:r>
      <w:r w:rsidRPr="00047FD4">
        <w:rPr>
          <w:szCs w:val="18"/>
          <w:lang w:val="nl-NL"/>
        </w:rPr>
        <w:t xml:space="preserve"> in Nederland </w:t>
      </w:r>
      <w:r w:rsidR="00047FD4">
        <w:rPr>
          <w:szCs w:val="18"/>
          <w:lang w:val="nl-NL"/>
        </w:rPr>
        <w:t xml:space="preserve">komen </w:t>
      </w:r>
      <w:r w:rsidRPr="00047FD4">
        <w:rPr>
          <w:szCs w:val="18"/>
          <w:lang w:val="nl-NL"/>
        </w:rPr>
        <w:t>niet overeen</w:t>
      </w:r>
      <w:r w:rsidR="00047FD4">
        <w:rPr>
          <w:szCs w:val="18"/>
          <w:lang w:val="nl-NL"/>
        </w:rPr>
        <w:t xml:space="preserve"> </w:t>
      </w:r>
      <w:r w:rsidRPr="00047FD4">
        <w:rPr>
          <w:szCs w:val="18"/>
          <w:lang w:val="nl-NL"/>
        </w:rPr>
        <w:t>met andere landen</w:t>
      </w:r>
      <w:r w:rsidRPr="00047FD4" w:rsidR="00686EA8">
        <w:rPr>
          <w:szCs w:val="18"/>
          <w:lang w:val="nl-NL"/>
        </w:rPr>
        <w:t xml:space="preserve"> (b.v. omdat het Zorginstituut of zorgverzekeraars daarin andere keuzes hebben gemaakt dan andere landen)</w:t>
      </w:r>
      <w:r w:rsidRPr="00047FD4" w:rsidR="00A1163B">
        <w:rPr>
          <w:szCs w:val="18"/>
          <w:lang w:val="nl-NL"/>
        </w:rPr>
        <w:t xml:space="preserve">, </w:t>
      </w:r>
    </w:p>
    <w:p w:rsidRPr="00BD22C7" w:rsidR="00A1055D" w:rsidP="005C50A2" w:rsidRDefault="00A1163B" w14:paraId="1F2EE242" w14:textId="77777777">
      <w:pPr>
        <w:pStyle w:val="Lijstalinea"/>
        <w:numPr>
          <w:ilvl w:val="0"/>
          <w:numId w:val="6"/>
        </w:numPr>
        <w:rPr>
          <w:szCs w:val="18"/>
          <w:lang w:val="nl-NL"/>
        </w:rPr>
      </w:pPr>
      <w:r w:rsidRPr="00047FD4">
        <w:rPr>
          <w:szCs w:val="18"/>
          <w:lang w:val="nl-NL"/>
        </w:rPr>
        <w:t xml:space="preserve">de beroepsgroep </w:t>
      </w:r>
      <w:r w:rsidR="00047FD4">
        <w:rPr>
          <w:szCs w:val="18"/>
          <w:lang w:val="nl-NL"/>
        </w:rPr>
        <w:t xml:space="preserve">in Nederland ziet </w:t>
      </w:r>
      <w:r w:rsidR="00FB32C4">
        <w:rPr>
          <w:szCs w:val="18"/>
          <w:lang w:val="nl-NL"/>
        </w:rPr>
        <w:t xml:space="preserve">mogelijke </w:t>
      </w:r>
      <w:r w:rsidRPr="00047FD4">
        <w:rPr>
          <w:szCs w:val="18"/>
          <w:lang w:val="nl-NL"/>
        </w:rPr>
        <w:t>waarde bij een specifieke subgroep waarvoor extra onderzoek nodig is</w:t>
      </w:r>
      <w:r w:rsidR="00032261">
        <w:rPr>
          <w:szCs w:val="18"/>
          <w:lang w:val="nl-NL"/>
        </w:rPr>
        <w:t xml:space="preserve"> </w:t>
      </w:r>
      <w:r w:rsidR="00C257DD">
        <w:rPr>
          <w:szCs w:val="18"/>
          <w:lang w:val="nl-NL"/>
        </w:rPr>
        <w:t xml:space="preserve">en </w:t>
      </w:r>
      <w:r w:rsidR="00032261">
        <w:rPr>
          <w:szCs w:val="18"/>
          <w:lang w:val="nl-NL"/>
        </w:rPr>
        <w:t>dat niet wordt uitgevoerd voor andere landen</w:t>
      </w:r>
      <w:r w:rsidRPr="00047FD4">
        <w:rPr>
          <w:szCs w:val="18"/>
          <w:lang w:val="nl-NL"/>
        </w:rPr>
        <w:t>.</w:t>
      </w:r>
    </w:p>
    <w:p w:rsidR="00E649B2" w:rsidP="000B16B6" w:rsidRDefault="00E649B2" w14:paraId="210B7BC3" w14:textId="32710DA0">
      <w:pPr>
        <w:rPr>
          <w:szCs w:val="18"/>
          <w:lang w:val="nl-NL"/>
        </w:rPr>
      </w:pPr>
      <w:r w:rsidRPr="00E649B2">
        <w:rPr>
          <w:szCs w:val="18"/>
          <w:lang w:val="nl-NL"/>
        </w:rPr>
        <w:t>De Nederlandse medische beroepsgroep wijkt bij het opstellen van richtlijnen en behandelingen soms bewust af van internationale standaarden. Deze afwijkingen zijn meestal gebaseerd op wetenschappelijk gefundeerde redenen en de specifieke context van de Nederlandse populatie of gezondheidszorg.</w:t>
      </w:r>
    </w:p>
    <w:p w:rsidR="000B16B6" w:rsidP="000B16B6" w:rsidRDefault="000B16B6" w14:paraId="64AACADA" w14:textId="44E265E4">
      <w:pPr>
        <w:rPr>
          <w:szCs w:val="18"/>
          <w:lang w:val="nl-NL"/>
        </w:rPr>
      </w:pPr>
      <w:r w:rsidRPr="00A1163B">
        <w:rPr>
          <w:szCs w:val="18"/>
          <w:lang w:val="nl-NL"/>
        </w:rPr>
        <w:t xml:space="preserve">De precieze </w:t>
      </w:r>
      <w:r>
        <w:rPr>
          <w:szCs w:val="18"/>
          <w:lang w:val="nl-NL"/>
        </w:rPr>
        <w:t>details</w:t>
      </w:r>
      <w:r w:rsidRPr="00A1163B">
        <w:rPr>
          <w:szCs w:val="18"/>
          <w:lang w:val="nl-NL"/>
        </w:rPr>
        <w:t xml:space="preserve"> moet</w:t>
      </w:r>
      <w:r w:rsidR="00B04515">
        <w:rPr>
          <w:szCs w:val="18"/>
          <w:lang w:val="nl-NL"/>
        </w:rPr>
        <w:t>en nog worden uitgewerkt</w:t>
      </w:r>
      <w:r w:rsidRPr="00A1163B">
        <w:rPr>
          <w:szCs w:val="18"/>
          <w:lang w:val="nl-NL"/>
        </w:rPr>
        <w:t xml:space="preserve">, maar </w:t>
      </w:r>
      <w:r w:rsidR="00B04515">
        <w:rPr>
          <w:szCs w:val="18"/>
          <w:lang w:val="nl-NL"/>
        </w:rPr>
        <w:t xml:space="preserve">er wordt gedacht </w:t>
      </w:r>
      <w:r w:rsidRPr="00A1163B">
        <w:rPr>
          <w:szCs w:val="18"/>
          <w:lang w:val="nl-NL"/>
        </w:rPr>
        <w:t>aan voorwaarden zoals:</w:t>
      </w:r>
      <w:r>
        <w:rPr>
          <w:szCs w:val="18"/>
          <w:lang w:val="nl-NL"/>
        </w:rPr>
        <w:t xml:space="preserve"> h</w:t>
      </w:r>
      <w:r w:rsidRPr="00A1163B">
        <w:rPr>
          <w:szCs w:val="18"/>
          <w:lang w:val="nl-NL"/>
        </w:rPr>
        <w:t xml:space="preserve">et benodigde onderzoek </w:t>
      </w:r>
      <w:r>
        <w:rPr>
          <w:szCs w:val="18"/>
          <w:lang w:val="nl-NL"/>
        </w:rPr>
        <w:t>zal</w:t>
      </w:r>
      <w:r w:rsidRPr="00A1163B">
        <w:rPr>
          <w:szCs w:val="18"/>
          <w:lang w:val="nl-NL"/>
        </w:rPr>
        <w:t xml:space="preserve"> naar verwachting niet binnen redelijke termijn</w:t>
      </w:r>
      <w:r>
        <w:rPr>
          <w:szCs w:val="18"/>
          <w:lang w:val="nl-NL"/>
        </w:rPr>
        <w:t xml:space="preserve"> (zie </w:t>
      </w:r>
      <w:r w:rsidR="00E3371D">
        <w:rPr>
          <w:szCs w:val="18"/>
          <w:lang w:val="nl-NL"/>
        </w:rPr>
        <w:t>verderop</w:t>
      </w:r>
      <w:r>
        <w:rPr>
          <w:szCs w:val="18"/>
          <w:lang w:val="nl-NL"/>
        </w:rPr>
        <w:t xml:space="preserve"> in deze b</w:t>
      </w:r>
      <w:r w:rsidR="00B35432">
        <w:rPr>
          <w:szCs w:val="18"/>
          <w:lang w:val="nl-NL"/>
        </w:rPr>
        <w:t>ijlage</w:t>
      </w:r>
      <w:r>
        <w:rPr>
          <w:szCs w:val="18"/>
          <w:lang w:val="nl-NL"/>
        </w:rPr>
        <w:t>)</w:t>
      </w:r>
      <w:r w:rsidRPr="00A1163B">
        <w:rPr>
          <w:szCs w:val="18"/>
          <w:lang w:val="nl-NL"/>
        </w:rPr>
        <w:t xml:space="preserve"> door de firma </w:t>
      </w:r>
      <w:r>
        <w:rPr>
          <w:szCs w:val="18"/>
          <w:lang w:val="nl-NL"/>
        </w:rPr>
        <w:t xml:space="preserve">zelf </w:t>
      </w:r>
      <w:r w:rsidRPr="00A1163B">
        <w:rPr>
          <w:szCs w:val="18"/>
          <w:lang w:val="nl-NL"/>
        </w:rPr>
        <w:t>worden uitgevoerd</w:t>
      </w:r>
      <w:r>
        <w:rPr>
          <w:szCs w:val="18"/>
          <w:lang w:val="nl-NL"/>
        </w:rPr>
        <w:t xml:space="preserve">, </w:t>
      </w:r>
      <w:bookmarkStart w:name="_Hlk212822804" w:id="0"/>
      <w:r w:rsidRPr="00A1163B">
        <w:rPr>
          <w:szCs w:val="18"/>
          <w:lang w:val="nl-NL"/>
        </w:rPr>
        <w:t>de</w:t>
      </w:r>
      <w:r>
        <w:rPr>
          <w:szCs w:val="18"/>
          <w:lang w:val="nl-NL"/>
        </w:rPr>
        <w:t xml:space="preserve"> benodigde </w:t>
      </w:r>
      <w:r w:rsidRPr="00A1163B">
        <w:rPr>
          <w:szCs w:val="18"/>
          <w:lang w:val="nl-NL"/>
        </w:rPr>
        <w:t xml:space="preserve">informatie kan ook niet worden verkregen door </w:t>
      </w:r>
      <w:r>
        <w:rPr>
          <w:szCs w:val="18"/>
          <w:lang w:val="nl-NL"/>
        </w:rPr>
        <w:t>bijvoorbeeld</w:t>
      </w:r>
      <w:r w:rsidRPr="00A1163B">
        <w:rPr>
          <w:szCs w:val="18"/>
          <w:lang w:val="nl-NL"/>
        </w:rPr>
        <w:t xml:space="preserve"> een indirecte vergelijking </w:t>
      </w:r>
      <w:r>
        <w:rPr>
          <w:szCs w:val="18"/>
          <w:lang w:val="nl-NL"/>
        </w:rPr>
        <w:t xml:space="preserve">met ander onderzoek </w:t>
      </w:r>
      <w:r w:rsidRPr="00A1163B">
        <w:rPr>
          <w:szCs w:val="18"/>
          <w:lang w:val="nl-NL"/>
        </w:rPr>
        <w:t>of extrapolatie</w:t>
      </w:r>
      <w:r>
        <w:rPr>
          <w:szCs w:val="18"/>
          <w:lang w:val="nl-NL"/>
        </w:rPr>
        <w:t xml:space="preserve"> van data. </w:t>
      </w:r>
      <w:bookmarkEnd w:id="0"/>
      <w:r>
        <w:rPr>
          <w:szCs w:val="18"/>
          <w:lang w:val="nl-NL"/>
        </w:rPr>
        <w:t xml:space="preserve">Bovendien moeten </w:t>
      </w:r>
      <w:r w:rsidRPr="0045046D">
        <w:rPr>
          <w:szCs w:val="18"/>
          <w:lang w:val="nl-NL"/>
        </w:rPr>
        <w:t xml:space="preserve">de richtlijnen van de beroepsgroep </w:t>
      </w:r>
      <w:r>
        <w:rPr>
          <w:szCs w:val="18"/>
          <w:lang w:val="nl-NL"/>
        </w:rPr>
        <w:t xml:space="preserve">nog </w:t>
      </w:r>
      <w:r w:rsidRPr="0045046D">
        <w:rPr>
          <w:szCs w:val="18"/>
          <w:lang w:val="nl-NL"/>
        </w:rPr>
        <w:t>actueel zijn</w:t>
      </w:r>
      <w:r>
        <w:rPr>
          <w:szCs w:val="18"/>
          <w:lang w:val="nl-NL"/>
        </w:rPr>
        <w:t xml:space="preserve"> omdat deze informatie geven over de huidige standaardbehandeling</w:t>
      </w:r>
      <w:r w:rsidRPr="00A1163B">
        <w:rPr>
          <w:szCs w:val="18"/>
          <w:lang w:val="nl-NL"/>
        </w:rPr>
        <w:t xml:space="preserve">. </w:t>
      </w:r>
      <w:r>
        <w:rPr>
          <w:szCs w:val="18"/>
          <w:lang w:val="nl-NL"/>
        </w:rPr>
        <w:t xml:space="preserve">Ook moet het gaan om veelbelovende geneesmiddelen (daar </w:t>
      </w:r>
      <w:r w:rsidR="00B04515">
        <w:rPr>
          <w:szCs w:val="18"/>
          <w:lang w:val="nl-NL"/>
        </w:rPr>
        <w:t xml:space="preserve">wordt </w:t>
      </w:r>
      <w:r>
        <w:rPr>
          <w:szCs w:val="18"/>
          <w:lang w:val="nl-NL"/>
        </w:rPr>
        <w:t>later in deze b</w:t>
      </w:r>
      <w:r w:rsidR="00B35432">
        <w:rPr>
          <w:szCs w:val="18"/>
          <w:lang w:val="nl-NL"/>
        </w:rPr>
        <w:t>ijlage</w:t>
      </w:r>
      <w:r>
        <w:rPr>
          <w:szCs w:val="18"/>
          <w:lang w:val="nl-NL"/>
        </w:rPr>
        <w:t xml:space="preserve"> verder op in</w:t>
      </w:r>
      <w:r w:rsidR="00B04515">
        <w:rPr>
          <w:szCs w:val="18"/>
          <w:lang w:val="nl-NL"/>
        </w:rPr>
        <w:t>gegaan</w:t>
      </w:r>
      <w:r>
        <w:rPr>
          <w:szCs w:val="18"/>
          <w:lang w:val="nl-NL"/>
        </w:rPr>
        <w:t xml:space="preserve">). Bij een volgende evaluatie kan worden bekeken of hiermee de juiste geneesmiddelen in de VT terechtkomen. </w:t>
      </w:r>
    </w:p>
    <w:p w:rsidR="008D581E" w:rsidP="00157688" w:rsidRDefault="00B04515" w14:paraId="0734F4FA" w14:textId="0A223965">
      <w:pPr>
        <w:rPr>
          <w:szCs w:val="18"/>
          <w:lang w:val="nl-NL"/>
        </w:rPr>
      </w:pPr>
      <w:r>
        <w:rPr>
          <w:szCs w:val="18"/>
          <w:lang w:val="nl-NL"/>
        </w:rPr>
        <w:lastRenderedPageBreak/>
        <w:t>Het kabinet is</w:t>
      </w:r>
      <w:r w:rsidRPr="00A1163B" w:rsidR="007B4584">
        <w:rPr>
          <w:szCs w:val="18"/>
          <w:lang w:val="nl-NL"/>
        </w:rPr>
        <w:t xml:space="preserve"> voornemens om de VT </w:t>
      </w:r>
      <w:r w:rsidR="00CD2606">
        <w:rPr>
          <w:szCs w:val="18"/>
          <w:lang w:val="nl-NL"/>
        </w:rPr>
        <w:t>open te stellen voor</w:t>
      </w:r>
      <w:r w:rsidRPr="00A1163B" w:rsidR="008C4C7B">
        <w:rPr>
          <w:szCs w:val="18"/>
          <w:lang w:val="nl-NL"/>
        </w:rPr>
        <w:t xml:space="preserve"> </w:t>
      </w:r>
      <w:r w:rsidR="008C4C7B">
        <w:rPr>
          <w:szCs w:val="18"/>
          <w:lang w:val="nl-NL"/>
        </w:rPr>
        <w:t xml:space="preserve">deze </w:t>
      </w:r>
      <w:r w:rsidR="00DD59D2">
        <w:rPr>
          <w:szCs w:val="18"/>
          <w:lang w:val="nl-NL"/>
        </w:rPr>
        <w:t xml:space="preserve">categorie </w:t>
      </w:r>
      <w:r w:rsidRPr="00A1163B" w:rsidR="008C4C7B">
        <w:rPr>
          <w:szCs w:val="18"/>
          <w:lang w:val="nl-NL"/>
        </w:rPr>
        <w:t xml:space="preserve">geneesmiddelen </w:t>
      </w:r>
      <w:r w:rsidR="00EC2426">
        <w:rPr>
          <w:szCs w:val="18"/>
          <w:lang w:val="nl-NL"/>
        </w:rPr>
        <w:t xml:space="preserve">(waarbij het </w:t>
      </w:r>
      <w:r w:rsidRPr="00EC2426" w:rsidR="00EC2426">
        <w:rPr>
          <w:szCs w:val="18"/>
          <w:lang w:val="nl-NL"/>
        </w:rPr>
        <w:t>gevraagde onderzoek specifiek is voor Nederland en niet van bredere waarde voor de firma</w:t>
      </w:r>
      <w:r w:rsidR="00EC2426">
        <w:rPr>
          <w:szCs w:val="18"/>
          <w:lang w:val="nl-NL"/>
        </w:rPr>
        <w:t>)</w:t>
      </w:r>
      <w:r w:rsidRPr="00EC2426" w:rsidR="00EC2426">
        <w:rPr>
          <w:szCs w:val="18"/>
          <w:lang w:val="nl-NL"/>
        </w:rPr>
        <w:t xml:space="preserve"> </w:t>
      </w:r>
      <w:r w:rsidR="008C4C7B">
        <w:rPr>
          <w:szCs w:val="18"/>
          <w:lang w:val="nl-NL"/>
        </w:rPr>
        <w:t xml:space="preserve">en </w:t>
      </w:r>
      <w:r w:rsidRPr="00A1163B" w:rsidR="007B4584">
        <w:rPr>
          <w:szCs w:val="18"/>
          <w:lang w:val="nl-NL"/>
        </w:rPr>
        <w:t xml:space="preserve">niet langer te richten op </w:t>
      </w:r>
      <w:bookmarkStart w:name="_Hlk205391916" w:id="1"/>
      <w:r w:rsidRPr="00A1163B" w:rsidR="007B4584">
        <w:rPr>
          <w:szCs w:val="18"/>
          <w:lang w:val="nl-NL"/>
        </w:rPr>
        <w:t xml:space="preserve">weesgeneesmiddelen, </w:t>
      </w:r>
      <w:proofErr w:type="spellStart"/>
      <w:r w:rsidRPr="0045046D" w:rsidR="007B4584">
        <w:rPr>
          <w:i/>
          <w:iCs/>
          <w:szCs w:val="18"/>
          <w:lang w:val="nl-NL"/>
        </w:rPr>
        <w:t>conditionals</w:t>
      </w:r>
      <w:proofErr w:type="spellEnd"/>
      <w:r w:rsidRPr="00A1163B" w:rsidR="007B4584">
        <w:rPr>
          <w:szCs w:val="18"/>
          <w:lang w:val="nl-NL"/>
        </w:rPr>
        <w:t xml:space="preserve"> en </w:t>
      </w:r>
      <w:proofErr w:type="spellStart"/>
      <w:r w:rsidRPr="0045046D" w:rsidR="007B4584">
        <w:rPr>
          <w:i/>
          <w:iCs/>
          <w:szCs w:val="18"/>
          <w:lang w:val="nl-NL"/>
        </w:rPr>
        <w:t>exceptionals</w:t>
      </w:r>
      <w:bookmarkEnd w:id="1"/>
      <w:proofErr w:type="spellEnd"/>
      <w:r w:rsidR="0045046D">
        <w:rPr>
          <w:szCs w:val="18"/>
          <w:lang w:val="nl-NL"/>
        </w:rPr>
        <w:t xml:space="preserve">. </w:t>
      </w:r>
      <w:r w:rsidR="007038B8">
        <w:rPr>
          <w:szCs w:val="18"/>
          <w:lang w:val="nl-NL"/>
        </w:rPr>
        <w:t>Voor de duidelijkheid, dit b</w:t>
      </w:r>
      <w:r w:rsidRPr="007038B8" w:rsidR="007038B8">
        <w:rPr>
          <w:szCs w:val="18"/>
          <w:lang w:val="nl-NL"/>
        </w:rPr>
        <w:t xml:space="preserve">etekent dat alle </w:t>
      </w:r>
      <w:r w:rsidR="007038B8">
        <w:rPr>
          <w:szCs w:val="18"/>
          <w:lang w:val="nl-NL"/>
        </w:rPr>
        <w:t>genees</w:t>
      </w:r>
      <w:r w:rsidRPr="007038B8" w:rsidR="007038B8">
        <w:rPr>
          <w:szCs w:val="18"/>
          <w:lang w:val="nl-NL"/>
        </w:rPr>
        <w:t xml:space="preserve">middelen waar </w:t>
      </w:r>
      <w:r w:rsidR="00AB5144">
        <w:rPr>
          <w:szCs w:val="18"/>
          <w:lang w:val="nl-NL"/>
        </w:rPr>
        <w:t xml:space="preserve">het </w:t>
      </w:r>
      <w:r w:rsidRPr="007038B8" w:rsidR="007038B8">
        <w:rPr>
          <w:szCs w:val="18"/>
          <w:lang w:val="nl-NL"/>
        </w:rPr>
        <w:t xml:space="preserve">onderzoek </w:t>
      </w:r>
      <w:r w:rsidR="00AB5144">
        <w:rPr>
          <w:szCs w:val="18"/>
          <w:lang w:val="nl-NL"/>
        </w:rPr>
        <w:t>om bovenstaande redenen niet door een firma wordt uitgev</w:t>
      </w:r>
      <w:r w:rsidR="00E76B14">
        <w:rPr>
          <w:szCs w:val="18"/>
          <w:lang w:val="nl-NL"/>
        </w:rPr>
        <w:t>oe</w:t>
      </w:r>
      <w:r w:rsidR="00AB5144">
        <w:rPr>
          <w:szCs w:val="18"/>
          <w:lang w:val="nl-NL"/>
        </w:rPr>
        <w:t>rd</w:t>
      </w:r>
      <w:r w:rsidRPr="007038B8" w:rsidR="007038B8">
        <w:rPr>
          <w:szCs w:val="18"/>
          <w:lang w:val="nl-NL"/>
        </w:rPr>
        <w:t xml:space="preserve"> in aanmerking komen</w:t>
      </w:r>
      <w:r w:rsidR="007038B8">
        <w:rPr>
          <w:szCs w:val="18"/>
          <w:lang w:val="nl-NL"/>
        </w:rPr>
        <w:t xml:space="preserve">, niet alleen </w:t>
      </w:r>
      <w:r w:rsidR="002F0034">
        <w:rPr>
          <w:szCs w:val="18"/>
          <w:lang w:val="nl-NL"/>
        </w:rPr>
        <w:t xml:space="preserve">wanneer het een </w:t>
      </w:r>
      <w:r w:rsidRPr="007038B8" w:rsidR="007038B8">
        <w:rPr>
          <w:szCs w:val="18"/>
          <w:lang w:val="nl-NL"/>
        </w:rPr>
        <w:t xml:space="preserve">weesgeneesmiddel, </w:t>
      </w:r>
      <w:proofErr w:type="spellStart"/>
      <w:r w:rsidRPr="007038B8" w:rsidR="007038B8">
        <w:rPr>
          <w:i/>
          <w:iCs/>
          <w:szCs w:val="18"/>
          <w:lang w:val="nl-NL"/>
        </w:rPr>
        <w:t>conditional</w:t>
      </w:r>
      <w:proofErr w:type="spellEnd"/>
      <w:r w:rsidRPr="007038B8" w:rsidR="007038B8">
        <w:rPr>
          <w:szCs w:val="18"/>
          <w:lang w:val="nl-NL"/>
        </w:rPr>
        <w:t xml:space="preserve"> </w:t>
      </w:r>
      <w:r w:rsidR="007038B8">
        <w:rPr>
          <w:szCs w:val="18"/>
          <w:lang w:val="nl-NL"/>
        </w:rPr>
        <w:t>of</w:t>
      </w:r>
      <w:r w:rsidRPr="007038B8" w:rsidR="007038B8">
        <w:rPr>
          <w:szCs w:val="18"/>
          <w:lang w:val="nl-NL"/>
        </w:rPr>
        <w:t xml:space="preserve"> </w:t>
      </w:r>
      <w:proofErr w:type="spellStart"/>
      <w:r w:rsidRPr="007038B8" w:rsidR="007038B8">
        <w:rPr>
          <w:i/>
          <w:iCs/>
          <w:szCs w:val="18"/>
          <w:lang w:val="nl-NL"/>
        </w:rPr>
        <w:t>exceptional</w:t>
      </w:r>
      <w:proofErr w:type="spellEnd"/>
      <w:r w:rsidR="002F0034">
        <w:rPr>
          <w:i/>
          <w:iCs/>
          <w:szCs w:val="18"/>
          <w:lang w:val="nl-NL"/>
        </w:rPr>
        <w:t xml:space="preserve"> </w:t>
      </w:r>
      <w:r w:rsidRPr="002F0034" w:rsidR="002F0034">
        <w:rPr>
          <w:szCs w:val="18"/>
          <w:lang w:val="nl-NL"/>
        </w:rPr>
        <w:t>betreft</w:t>
      </w:r>
      <w:r w:rsidRPr="002F0034" w:rsidR="007038B8">
        <w:rPr>
          <w:szCs w:val="18"/>
          <w:lang w:val="nl-NL"/>
        </w:rPr>
        <w:t>.</w:t>
      </w:r>
      <w:r w:rsidR="007038B8">
        <w:rPr>
          <w:i/>
          <w:iCs/>
          <w:szCs w:val="18"/>
          <w:lang w:val="nl-NL"/>
        </w:rPr>
        <w:t xml:space="preserve"> </w:t>
      </w:r>
      <w:bookmarkStart w:name="_Hlk222221683" w:id="2"/>
      <w:r w:rsidR="00CF112B">
        <w:rPr>
          <w:szCs w:val="18"/>
          <w:lang w:val="nl-NL"/>
        </w:rPr>
        <w:t>W</w:t>
      </w:r>
      <w:r w:rsidR="007038B8">
        <w:rPr>
          <w:szCs w:val="18"/>
          <w:lang w:val="nl-NL"/>
        </w:rPr>
        <w:t xml:space="preserve">eesgeneesmiddelen of </w:t>
      </w:r>
      <w:proofErr w:type="spellStart"/>
      <w:r w:rsidRPr="002F0034" w:rsidR="007038B8">
        <w:rPr>
          <w:i/>
          <w:iCs/>
          <w:szCs w:val="18"/>
          <w:lang w:val="nl-NL"/>
        </w:rPr>
        <w:t>conditionals</w:t>
      </w:r>
      <w:proofErr w:type="spellEnd"/>
      <w:r w:rsidRPr="002F0034" w:rsidR="007038B8">
        <w:rPr>
          <w:i/>
          <w:iCs/>
          <w:szCs w:val="18"/>
          <w:lang w:val="nl-NL"/>
        </w:rPr>
        <w:t xml:space="preserve"> </w:t>
      </w:r>
      <w:r w:rsidRPr="003C01F7" w:rsidR="00CF112B">
        <w:rPr>
          <w:szCs w:val="18"/>
          <w:lang w:val="nl-NL"/>
        </w:rPr>
        <w:t>k</w:t>
      </w:r>
      <w:r w:rsidR="001F3C37">
        <w:rPr>
          <w:szCs w:val="18"/>
          <w:lang w:val="nl-NL"/>
        </w:rPr>
        <w:t>omen alleen nog</w:t>
      </w:r>
      <w:r w:rsidRPr="002F0034" w:rsidR="002F0034">
        <w:rPr>
          <w:szCs w:val="18"/>
          <w:lang w:val="nl-NL"/>
        </w:rPr>
        <w:t xml:space="preserve"> </w:t>
      </w:r>
      <w:r w:rsidRPr="002F0034" w:rsidR="007038B8">
        <w:rPr>
          <w:szCs w:val="18"/>
          <w:lang w:val="nl-NL"/>
        </w:rPr>
        <w:t>in</w:t>
      </w:r>
      <w:r w:rsidR="007038B8">
        <w:rPr>
          <w:szCs w:val="18"/>
          <w:lang w:val="nl-NL"/>
        </w:rPr>
        <w:t xml:space="preserve"> </w:t>
      </w:r>
      <w:r w:rsidR="00EF350D">
        <w:rPr>
          <w:szCs w:val="18"/>
          <w:lang w:val="nl-NL"/>
        </w:rPr>
        <w:t>aanmerking</w:t>
      </w:r>
      <w:r w:rsidR="007038B8">
        <w:rPr>
          <w:szCs w:val="18"/>
          <w:lang w:val="nl-NL"/>
        </w:rPr>
        <w:t xml:space="preserve"> </w:t>
      </w:r>
      <w:r w:rsidR="00E3349D">
        <w:rPr>
          <w:szCs w:val="18"/>
          <w:lang w:val="nl-NL"/>
        </w:rPr>
        <w:t xml:space="preserve">wanneer </w:t>
      </w:r>
      <w:r w:rsidR="001F3C37">
        <w:rPr>
          <w:szCs w:val="18"/>
          <w:lang w:val="nl-NL"/>
        </w:rPr>
        <w:t xml:space="preserve">is </w:t>
      </w:r>
      <w:r w:rsidR="00E3349D">
        <w:rPr>
          <w:szCs w:val="18"/>
          <w:lang w:val="nl-NL"/>
        </w:rPr>
        <w:t xml:space="preserve">voldaan aan de </w:t>
      </w:r>
      <w:r w:rsidR="00DD59D2">
        <w:rPr>
          <w:szCs w:val="18"/>
          <w:lang w:val="nl-NL"/>
        </w:rPr>
        <w:t xml:space="preserve">voorgestelde </w:t>
      </w:r>
      <w:r w:rsidR="00E3349D">
        <w:rPr>
          <w:szCs w:val="18"/>
          <w:lang w:val="nl-NL"/>
        </w:rPr>
        <w:t>aangepaste afbakening</w:t>
      </w:r>
      <w:r w:rsidR="002F0034">
        <w:rPr>
          <w:szCs w:val="18"/>
          <w:lang w:val="nl-NL"/>
        </w:rPr>
        <w:t xml:space="preserve"> en de overige VT criteria</w:t>
      </w:r>
      <w:r w:rsidR="0044188B">
        <w:rPr>
          <w:szCs w:val="18"/>
          <w:lang w:val="nl-NL"/>
        </w:rPr>
        <w:t>.</w:t>
      </w:r>
      <w:r w:rsidR="007038B8">
        <w:rPr>
          <w:szCs w:val="18"/>
          <w:lang w:val="nl-NL"/>
        </w:rPr>
        <w:t xml:space="preserve"> </w:t>
      </w:r>
      <w:bookmarkEnd w:id="2"/>
    </w:p>
    <w:p w:rsidR="008D581E" w:rsidP="00157688" w:rsidRDefault="008D581E" w14:paraId="15A6BDE4" w14:textId="27EFB808">
      <w:pPr>
        <w:rPr>
          <w:szCs w:val="18"/>
          <w:lang w:val="nl-NL"/>
        </w:rPr>
      </w:pPr>
      <w:bookmarkStart w:name="_Hlk221885233" w:id="3"/>
      <w:r>
        <w:rPr>
          <w:szCs w:val="18"/>
          <w:lang w:val="nl-NL"/>
        </w:rPr>
        <w:t xml:space="preserve">Het is onvermijdelijk dat </w:t>
      </w:r>
      <w:r w:rsidR="00DD59D2">
        <w:rPr>
          <w:szCs w:val="18"/>
          <w:lang w:val="nl-NL"/>
        </w:rPr>
        <w:t>met de nieuwe afbakening</w:t>
      </w:r>
      <w:r>
        <w:rPr>
          <w:szCs w:val="18"/>
          <w:lang w:val="nl-NL"/>
        </w:rPr>
        <w:t xml:space="preserve"> geneesmiddelen worden vergoed van firma</w:t>
      </w:r>
      <w:r w:rsidR="00377036">
        <w:rPr>
          <w:szCs w:val="18"/>
          <w:lang w:val="nl-NL"/>
        </w:rPr>
        <w:t>’</w:t>
      </w:r>
      <w:r>
        <w:rPr>
          <w:szCs w:val="18"/>
          <w:lang w:val="nl-NL"/>
        </w:rPr>
        <w:t xml:space="preserve">s die in principe voldoende omzet hebben om dit </w:t>
      </w:r>
      <w:r w:rsidR="00E3371D">
        <w:rPr>
          <w:szCs w:val="18"/>
          <w:lang w:val="nl-NL"/>
        </w:rPr>
        <w:t xml:space="preserve">onderzoek </w:t>
      </w:r>
      <w:r>
        <w:rPr>
          <w:szCs w:val="18"/>
          <w:lang w:val="nl-NL"/>
        </w:rPr>
        <w:t xml:space="preserve">zelf te betalen. </w:t>
      </w:r>
      <w:r w:rsidR="009B7095">
        <w:rPr>
          <w:szCs w:val="18"/>
          <w:lang w:val="nl-NL"/>
        </w:rPr>
        <w:t>M</w:t>
      </w:r>
      <w:r w:rsidRPr="009B7095" w:rsidR="009B7095">
        <w:rPr>
          <w:szCs w:val="18"/>
          <w:lang w:val="nl-NL"/>
        </w:rPr>
        <w:t>aar we zien dat firma</w:t>
      </w:r>
      <w:r w:rsidR="009B7095">
        <w:rPr>
          <w:szCs w:val="18"/>
          <w:lang w:val="nl-NL"/>
        </w:rPr>
        <w:t>’s studies die specifiek nodig zijn voor Nederland</w:t>
      </w:r>
      <w:r w:rsidR="00E3371D">
        <w:rPr>
          <w:szCs w:val="18"/>
          <w:lang w:val="nl-NL"/>
        </w:rPr>
        <w:t>,</w:t>
      </w:r>
      <w:r w:rsidR="009B7095">
        <w:rPr>
          <w:szCs w:val="18"/>
          <w:lang w:val="nl-NL"/>
        </w:rPr>
        <w:t xml:space="preserve"> vaak niet uitvoeren. Z</w:t>
      </w:r>
      <w:r>
        <w:rPr>
          <w:szCs w:val="18"/>
          <w:lang w:val="nl-NL"/>
        </w:rPr>
        <w:t xml:space="preserve">onder </w:t>
      </w:r>
      <w:r w:rsidR="009B7095">
        <w:rPr>
          <w:szCs w:val="18"/>
          <w:lang w:val="nl-NL"/>
        </w:rPr>
        <w:t>de voorgestelde</w:t>
      </w:r>
      <w:r>
        <w:rPr>
          <w:szCs w:val="18"/>
          <w:lang w:val="nl-NL"/>
        </w:rPr>
        <w:t xml:space="preserve"> VT zouden deze geneesmiddelen naar verwachting </w:t>
      </w:r>
      <w:r w:rsidR="009B7095">
        <w:rPr>
          <w:szCs w:val="18"/>
          <w:lang w:val="nl-NL"/>
        </w:rPr>
        <w:t xml:space="preserve">dan ook </w:t>
      </w:r>
      <w:r>
        <w:rPr>
          <w:szCs w:val="18"/>
          <w:lang w:val="nl-NL"/>
        </w:rPr>
        <w:t xml:space="preserve">niet beschikbaar komen voor patiënten in Nederland. </w:t>
      </w:r>
      <w:bookmarkEnd w:id="3"/>
      <w:r>
        <w:rPr>
          <w:szCs w:val="18"/>
          <w:lang w:val="nl-NL"/>
        </w:rPr>
        <w:t>O</w:t>
      </w:r>
      <w:r w:rsidRPr="008D581E">
        <w:rPr>
          <w:szCs w:val="18"/>
          <w:lang w:val="nl-NL"/>
        </w:rPr>
        <w:t>m de risico</w:t>
      </w:r>
      <w:r w:rsidR="00377036">
        <w:rPr>
          <w:szCs w:val="18"/>
          <w:lang w:val="nl-NL"/>
        </w:rPr>
        <w:t>’</w:t>
      </w:r>
      <w:r w:rsidRPr="008D581E">
        <w:rPr>
          <w:szCs w:val="18"/>
          <w:lang w:val="nl-NL"/>
        </w:rPr>
        <w:t xml:space="preserve">s voor de maatschappij te beperken </w:t>
      </w:r>
      <w:r w:rsidR="00783F1E">
        <w:rPr>
          <w:szCs w:val="18"/>
          <w:lang w:val="nl-NL"/>
        </w:rPr>
        <w:t xml:space="preserve">kan worden overwogen </w:t>
      </w:r>
      <w:r w:rsidRPr="008D581E">
        <w:rPr>
          <w:szCs w:val="18"/>
          <w:lang w:val="nl-NL"/>
        </w:rPr>
        <w:t xml:space="preserve">een budget cap </w:t>
      </w:r>
      <w:r w:rsidR="00783F1E">
        <w:rPr>
          <w:szCs w:val="18"/>
          <w:lang w:val="nl-NL"/>
        </w:rPr>
        <w:t xml:space="preserve">in te stellen </w:t>
      </w:r>
      <w:r w:rsidRPr="008D581E">
        <w:rPr>
          <w:szCs w:val="18"/>
          <w:lang w:val="nl-NL"/>
        </w:rPr>
        <w:t>per VT</w:t>
      </w:r>
      <w:r w:rsidR="005F75FB">
        <w:rPr>
          <w:szCs w:val="18"/>
          <w:lang w:val="nl-NL"/>
        </w:rPr>
        <w:t>-traject</w:t>
      </w:r>
      <w:r w:rsidRPr="008D581E">
        <w:rPr>
          <w:szCs w:val="18"/>
          <w:lang w:val="nl-NL"/>
        </w:rPr>
        <w:t xml:space="preserve"> (zie later in deze </w:t>
      </w:r>
      <w:r w:rsidR="000B3CE9">
        <w:rPr>
          <w:szCs w:val="18"/>
          <w:lang w:val="nl-NL"/>
        </w:rPr>
        <w:t>bijlage</w:t>
      </w:r>
      <w:r w:rsidRPr="008D581E">
        <w:rPr>
          <w:szCs w:val="18"/>
          <w:lang w:val="nl-NL"/>
        </w:rPr>
        <w:t xml:space="preserve">).  </w:t>
      </w:r>
    </w:p>
    <w:p w:rsidR="00FD24C9" w:rsidP="00FD24C9" w:rsidRDefault="00FD24C9" w14:paraId="38CF879B" w14:textId="1B5A27EF">
      <w:pPr>
        <w:rPr>
          <w:lang w:val="nl-NL"/>
        </w:rPr>
      </w:pPr>
      <w:r w:rsidRPr="00FD24C9">
        <w:rPr>
          <w:szCs w:val="18"/>
          <w:lang w:val="nl-NL"/>
        </w:rPr>
        <w:t xml:space="preserve">Sommige deelnemers aan de evaluatie zien de VT als een instrument om ook doelmatigheidsonderzoek </w:t>
      </w:r>
      <w:r w:rsidR="0002759B">
        <w:rPr>
          <w:szCs w:val="18"/>
          <w:lang w:val="nl-NL"/>
        </w:rPr>
        <w:t>(</w:t>
      </w:r>
      <w:r w:rsidRPr="00FD24C9">
        <w:rPr>
          <w:szCs w:val="18"/>
          <w:lang w:val="nl-NL"/>
        </w:rPr>
        <w:t xml:space="preserve">gericht op </w:t>
      </w:r>
      <w:r w:rsidRPr="0002759B" w:rsidR="0002759B">
        <w:rPr>
          <w:szCs w:val="18"/>
          <w:lang w:val="nl-NL"/>
        </w:rPr>
        <w:t>minder geneesmiddelgebruik per patiënt</w:t>
      </w:r>
      <w:r w:rsidR="0002759B">
        <w:rPr>
          <w:szCs w:val="18"/>
          <w:lang w:val="nl-NL"/>
        </w:rPr>
        <w:t>)</w:t>
      </w:r>
      <w:r w:rsidRPr="00FD24C9">
        <w:rPr>
          <w:szCs w:val="18"/>
          <w:lang w:val="nl-NL"/>
        </w:rPr>
        <w:t xml:space="preserve"> </w:t>
      </w:r>
      <w:r w:rsidR="0002759B">
        <w:rPr>
          <w:szCs w:val="18"/>
          <w:lang w:val="nl-NL"/>
        </w:rPr>
        <w:t xml:space="preserve">als voorwaarde te stellen </w:t>
      </w:r>
      <w:r w:rsidRPr="00FD24C9">
        <w:rPr>
          <w:szCs w:val="18"/>
          <w:lang w:val="nl-NL"/>
        </w:rPr>
        <w:t xml:space="preserve">voor </w:t>
      </w:r>
      <w:r w:rsidR="0002759B">
        <w:rPr>
          <w:szCs w:val="18"/>
          <w:lang w:val="nl-NL"/>
        </w:rPr>
        <w:t>vergoeding</w:t>
      </w:r>
      <w:r w:rsidRPr="00FD24C9">
        <w:rPr>
          <w:szCs w:val="18"/>
          <w:lang w:val="nl-NL"/>
        </w:rPr>
        <w:t xml:space="preserve">. </w:t>
      </w:r>
      <w:r w:rsidR="00B04515">
        <w:rPr>
          <w:szCs w:val="18"/>
          <w:lang w:val="nl-NL"/>
        </w:rPr>
        <w:t>Het kabinet is</w:t>
      </w:r>
      <w:r>
        <w:rPr>
          <w:szCs w:val="18"/>
          <w:lang w:val="nl-NL"/>
        </w:rPr>
        <w:t xml:space="preserve"> echter van mening dat onderzoek</w:t>
      </w:r>
      <w:r w:rsidR="0044188B">
        <w:rPr>
          <w:szCs w:val="18"/>
          <w:lang w:val="nl-NL"/>
        </w:rPr>
        <w:t xml:space="preserve"> naar ander gebruik van een geneesmiddel dat al voldoet aan de pakketcriteria</w:t>
      </w:r>
      <w:r w:rsidR="003A5B1F">
        <w:rPr>
          <w:rStyle w:val="Voetnootmarkering"/>
          <w:szCs w:val="18"/>
          <w:lang w:val="nl-NL"/>
        </w:rPr>
        <w:footnoteReference w:id="10"/>
      </w:r>
      <w:r w:rsidR="0044188B">
        <w:rPr>
          <w:szCs w:val="18"/>
          <w:lang w:val="nl-NL"/>
        </w:rPr>
        <w:t xml:space="preserve"> </w:t>
      </w:r>
      <w:r>
        <w:rPr>
          <w:szCs w:val="18"/>
          <w:lang w:val="nl-NL"/>
        </w:rPr>
        <w:t xml:space="preserve">geen onderdeel moet zijn van de VT. </w:t>
      </w:r>
      <w:r w:rsidRPr="003E436F">
        <w:rPr>
          <w:szCs w:val="18"/>
          <w:lang w:val="nl-NL"/>
        </w:rPr>
        <w:t>De VT is primair bedoeld voor het aantonen van</w:t>
      </w:r>
      <w:r w:rsidR="00AA3154">
        <w:rPr>
          <w:szCs w:val="18"/>
          <w:lang w:val="nl-NL"/>
        </w:rPr>
        <w:t xml:space="preserve"> </w:t>
      </w:r>
      <w:r w:rsidR="003B5F3F">
        <w:rPr>
          <w:szCs w:val="18"/>
          <w:lang w:val="nl-NL"/>
        </w:rPr>
        <w:t>pakketwaardigheid</w:t>
      </w:r>
      <w:r>
        <w:rPr>
          <w:szCs w:val="18"/>
          <w:lang w:val="nl-NL"/>
        </w:rPr>
        <w:t xml:space="preserve">. Er zijn andere </w:t>
      </w:r>
      <w:r w:rsidRPr="009755E3">
        <w:rPr>
          <w:szCs w:val="18"/>
          <w:lang w:val="nl-NL"/>
        </w:rPr>
        <w:t xml:space="preserve">instrumenten </w:t>
      </w:r>
      <w:r>
        <w:rPr>
          <w:szCs w:val="18"/>
          <w:lang w:val="nl-NL"/>
        </w:rPr>
        <w:t>om dergelijk onderzoek te faciliteren. Dit type onderzoek kan</w:t>
      </w:r>
      <w:r w:rsidR="00845538">
        <w:rPr>
          <w:szCs w:val="18"/>
          <w:lang w:val="nl-NL"/>
        </w:rPr>
        <w:t xml:space="preserve"> bijvoorbeeld</w:t>
      </w:r>
      <w:r>
        <w:rPr>
          <w:szCs w:val="18"/>
          <w:lang w:val="nl-NL"/>
        </w:rPr>
        <w:t xml:space="preserve">, na pakketopname, door de beroepsgroep worden uitgevoerd via het </w:t>
      </w:r>
      <w:r w:rsidRPr="00FC4168" w:rsidR="00EC58EB">
        <w:rPr>
          <w:szCs w:val="18"/>
          <w:lang w:val="nl-NL"/>
        </w:rPr>
        <w:t>Goed Gebruik Geneesmiddelen</w:t>
      </w:r>
      <w:r w:rsidR="00EC58EB">
        <w:rPr>
          <w:szCs w:val="18"/>
          <w:lang w:val="nl-NL"/>
        </w:rPr>
        <w:t xml:space="preserve"> (</w:t>
      </w:r>
      <w:r>
        <w:rPr>
          <w:szCs w:val="18"/>
          <w:lang w:val="nl-NL"/>
        </w:rPr>
        <w:t>GGG</w:t>
      </w:r>
      <w:r w:rsidR="00EC58EB">
        <w:rPr>
          <w:szCs w:val="18"/>
          <w:lang w:val="nl-NL"/>
        </w:rPr>
        <w:t>)</w:t>
      </w:r>
      <w:r>
        <w:rPr>
          <w:szCs w:val="18"/>
          <w:lang w:val="nl-NL"/>
        </w:rPr>
        <w:t xml:space="preserve"> subsidieprogramma of de ‘gerichte procedure’</w:t>
      </w:r>
      <w:r>
        <w:rPr>
          <w:rStyle w:val="Voetnootmarkering"/>
          <w:szCs w:val="18"/>
          <w:lang w:val="nl-NL"/>
        </w:rPr>
        <w:footnoteReference w:id="11"/>
      </w:r>
      <w:r>
        <w:rPr>
          <w:szCs w:val="18"/>
          <w:lang w:val="nl-NL"/>
        </w:rPr>
        <w:t xml:space="preserve">. Daarnaast wordt </w:t>
      </w:r>
      <w:r w:rsidR="00F840F7">
        <w:rPr>
          <w:szCs w:val="18"/>
          <w:lang w:val="nl-NL"/>
        </w:rPr>
        <w:t xml:space="preserve">in het </w:t>
      </w:r>
      <w:r w:rsidRPr="00F840F7" w:rsidR="00F840F7">
        <w:rPr>
          <w:szCs w:val="18"/>
          <w:lang w:val="nl-NL"/>
        </w:rPr>
        <w:t xml:space="preserve">voorlopige politieke akkoord voor de Europese farmaceutische wetgeving </w:t>
      </w:r>
      <w:r w:rsidRPr="001569DC">
        <w:rPr>
          <w:szCs w:val="18"/>
          <w:lang w:val="nl-NL"/>
        </w:rPr>
        <w:t xml:space="preserve">voorgesteld om zogenaamde </w:t>
      </w:r>
      <w:proofErr w:type="spellStart"/>
      <w:r w:rsidRPr="001569DC">
        <w:rPr>
          <w:i/>
          <w:iCs/>
          <w:szCs w:val="18"/>
          <w:lang w:val="nl-NL"/>
        </w:rPr>
        <w:t>dose-optimization</w:t>
      </w:r>
      <w:proofErr w:type="spellEnd"/>
      <w:r w:rsidRPr="001569DC">
        <w:rPr>
          <w:szCs w:val="18"/>
          <w:lang w:val="nl-NL"/>
        </w:rPr>
        <w:t xml:space="preserve"> studies verplicht te </w:t>
      </w:r>
      <w:r>
        <w:rPr>
          <w:szCs w:val="18"/>
          <w:lang w:val="nl-NL"/>
        </w:rPr>
        <w:t xml:space="preserve">kunnen </w:t>
      </w:r>
      <w:r w:rsidRPr="001569DC">
        <w:rPr>
          <w:szCs w:val="18"/>
          <w:lang w:val="nl-NL"/>
        </w:rPr>
        <w:t>stellen voor (definitieve) markttoelating.</w:t>
      </w:r>
      <w:r w:rsidRPr="00311B41">
        <w:rPr>
          <w:lang w:val="nl-NL"/>
        </w:rPr>
        <w:t xml:space="preserve"> </w:t>
      </w:r>
    </w:p>
    <w:p w:rsidR="00097395" w:rsidP="00377036" w:rsidRDefault="00990EAC" w14:paraId="0C920C7E" w14:textId="08F7FCCF">
      <w:pPr>
        <w:spacing w:after="0"/>
        <w:rPr>
          <w:lang w:val="nl-NL"/>
        </w:rPr>
      </w:pPr>
      <w:r w:rsidRPr="00EF0188">
        <w:rPr>
          <w:lang w:val="nl-NL"/>
        </w:rPr>
        <w:t xml:space="preserve">In lijn hiermee </w:t>
      </w:r>
      <w:r w:rsidR="00B04515">
        <w:rPr>
          <w:lang w:val="nl-NL"/>
        </w:rPr>
        <w:t xml:space="preserve">is het kabinet </w:t>
      </w:r>
      <w:r w:rsidRPr="00EF0188">
        <w:rPr>
          <w:lang w:val="nl-NL"/>
        </w:rPr>
        <w:t xml:space="preserve">voornemens om de </w:t>
      </w:r>
      <w:r w:rsidR="00A411FF">
        <w:rPr>
          <w:lang w:val="nl-NL"/>
        </w:rPr>
        <w:t xml:space="preserve">huidige </w:t>
      </w:r>
      <w:r w:rsidRPr="00EF0188">
        <w:rPr>
          <w:lang w:val="nl-NL"/>
        </w:rPr>
        <w:t>doelstelling</w:t>
      </w:r>
      <w:r w:rsidR="002F1628">
        <w:rPr>
          <w:lang w:val="nl-NL"/>
        </w:rPr>
        <w:t xml:space="preserve"> van de VT</w:t>
      </w:r>
      <w:r w:rsidRPr="00EF0188">
        <w:rPr>
          <w:lang w:val="nl-NL"/>
        </w:rPr>
        <w:t xml:space="preserve"> ‘bevordering van doelmatige inzet van het betreffende middel’ te laten vervallen. </w:t>
      </w:r>
      <w:r w:rsidRPr="004D189C" w:rsidR="004D189C">
        <w:rPr>
          <w:lang w:val="nl-NL"/>
        </w:rPr>
        <w:t>Het verzamelen van data over doelmatig gebruik vraagt extra inzet van firma’s, de onderzoeksinstelling, behandelaren en patiënten</w:t>
      </w:r>
      <w:r w:rsidR="004D189C">
        <w:rPr>
          <w:lang w:val="nl-NL"/>
        </w:rPr>
        <w:t xml:space="preserve">. </w:t>
      </w:r>
      <w:r w:rsidRPr="00EF0188" w:rsidR="003A115B">
        <w:rPr>
          <w:lang w:val="nl-NL"/>
        </w:rPr>
        <w:t xml:space="preserve">In de huidige VT-procedure staat </w:t>
      </w:r>
      <w:r w:rsidRPr="00EF0188">
        <w:rPr>
          <w:lang w:val="nl-NL"/>
        </w:rPr>
        <w:t xml:space="preserve">dat </w:t>
      </w:r>
      <w:r w:rsidRPr="00EF0188" w:rsidR="00B64E6F">
        <w:rPr>
          <w:lang w:val="nl-NL"/>
        </w:rPr>
        <w:t>d</w:t>
      </w:r>
      <w:r w:rsidRPr="00EF0188">
        <w:rPr>
          <w:lang w:val="nl-NL"/>
        </w:rPr>
        <w:t>ergelijk onderzoek</w:t>
      </w:r>
      <w:r w:rsidR="00EF4099">
        <w:rPr>
          <w:lang w:val="nl-NL"/>
        </w:rPr>
        <w:t>,</w:t>
      </w:r>
      <w:r w:rsidRPr="00EF0188">
        <w:rPr>
          <w:lang w:val="nl-NL"/>
        </w:rPr>
        <w:t xml:space="preserve"> </w:t>
      </w:r>
      <w:r w:rsidRPr="00EF0188" w:rsidR="003A115B">
        <w:rPr>
          <w:lang w:val="nl-NL"/>
        </w:rPr>
        <w:t xml:space="preserve">waar mogelijk, </w:t>
      </w:r>
      <w:r w:rsidRPr="00EF0188">
        <w:rPr>
          <w:lang w:val="nl-NL"/>
        </w:rPr>
        <w:t xml:space="preserve">gedaan moet </w:t>
      </w:r>
      <w:r w:rsidRPr="00EF0188" w:rsidR="00B64E6F">
        <w:rPr>
          <w:lang w:val="nl-NL"/>
        </w:rPr>
        <w:t>worden</w:t>
      </w:r>
      <w:r w:rsidRPr="00EF0188" w:rsidR="003A115B">
        <w:rPr>
          <w:lang w:val="nl-NL"/>
        </w:rPr>
        <w:t xml:space="preserve">. </w:t>
      </w:r>
      <w:r w:rsidRPr="00EF0188" w:rsidR="00F06B44">
        <w:rPr>
          <w:lang w:val="nl-NL"/>
        </w:rPr>
        <w:t xml:space="preserve">Bijvoorbeeld door </w:t>
      </w:r>
      <w:r w:rsidRPr="00EF0188" w:rsidR="003A115B">
        <w:rPr>
          <w:lang w:val="nl-NL"/>
        </w:rPr>
        <w:t>de inzet van een indicatiecommissie, het ontwikkelen en</w:t>
      </w:r>
      <w:r w:rsidRPr="00EF0188" w:rsidR="00132702">
        <w:rPr>
          <w:lang w:val="nl-NL"/>
        </w:rPr>
        <w:t xml:space="preserve"> </w:t>
      </w:r>
      <w:r w:rsidRPr="00EF0188" w:rsidR="003A115B">
        <w:rPr>
          <w:lang w:val="nl-NL"/>
        </w:rPr>
        <w:t>aanscherpen van start- en stopcriteria, het optimaliseren van de dosering en het identificeren van</w:t>
      </w:r>
      <w:r w:rsidRPr="00EF0188" w:rsidR="00132702">
        <w:rPr>
          <w:lang w:val="nl-NL"/>
        </w:rPr>
        <w:t xml:space="preserve"> </w:t>
      </w:r>
      <w:r w:rsidRPr="00EF0188" w:rsidR="003A115B">
        <w:rPr>
          <w:lang w:val="nl-NL"/>
        </w:rPr>
        <w:t>eventuele subpopulaties van patiënten</w:t>
      </w:r>
      <w:r w:rsidRPr="00EF0188" w:rsidR="00132702">
        <w:rPr>
          <w:lang w:val="nl-NL"/>
        </w:rPr>
        <w:t xml:space="preserve">’. </w:t>
      </w:r>
      <w:r w:rsidR="00F96282">
        <w:rPr>
          <w:lang w:val="nl-NL"/>
        </w:rPr>
        <w:t xml:space="preserve">Wanneer deze elementen </w:t>
      </w:r>
      <w:r w:rsidR="000F513F">
        <w:rPr>
          <w:lang w:val="nl-NL"/>
        </w:rPr>
        <w:t xml:space="preserve">meegenomen kunnen worden in het onderzoek, mag dat nog steeds. Maar </w:t>
      </w:r>
      <w:r w:rsidR="00B04515">
        <w:rPr>
          <w:lang w:val="nl-NL"/>
        </w:rPr>
        <w:t>het kabinet</w:t>
      </w:r>
      <w:r w:rsidRPr="00AA3154">
        <w:rPr>
          <w:lang w:val="nl-NL"/>
        </w:rPr>
        <w:t xml:space="preserve"> vind</w:t>
      </w:r>
      <w:r w:rsidR="00B04515">
        <w:rPr>
          <w:lang w:val="nl-NL"/>
        </w:rPr>
        <w:t>t</w:t>
      </w:r>
      <w:r w:rsidRPr="00AA3154">
        <w:rPr>
          <w:lang w:val="nl-NL"/>
        </w:rPr>
        <w:t xml:space="preserve"> dit niet langer passend </w:t>
      </w:r>
      <w:r w:rsidR="004A751D">
        <w:rPr>
          <w:lang w:val="nl-NL"/>
        </w:rPr>
        <w:t xml:space="preserve">als doelstelling </w:t>
      </w:r>
      <w:r w:rsidR="00931817">
        <w:rPr>
          <w:lang w:val="nl-NL"/>
        </w:rPr>
        <w:t>voor de VT-regeling</w:t>
      </w:r>
      <w:r w:rsidR="002A66DE">
        <w:rPr>
          <w:lang w:val="nl-NL"/>
        </w:rPr>
        <w:t xml:space="preserve"> die gericht is op het aantonen van pakketwaardigheid</w:t>
      </w:r>
      <w:r w:rsidR="00931817">
        <w:rPr>
          <w:lang w:val="nl-NL"/>
        </w:rPr>
        <w:t>.</w:t>
      </w:r>
    </w:p>
    <w:p w:rsidRPr="00EF0188" w:rsidR="00377036" w:rsidP="00377036" w:rsidRDefault="00377036" w14:paraId="59F606AD" w14:textId="77777777">
      <w:pPr>
        <w:rPr>
          <w:lang w:val="nl-NL"/>
        </w:rPr>
      </w:pPr>
    </w:p>
    <w:p w:rsidRPr="00034BCA" w:rsidR="00D85A24" w:rsidP="00D85A24" w:rsidRDefault="00D85A24" w14:paraId="4E6B10EF" w14:textId="77777777">
      <w:pPr>
        <w:rPr>
          <w:szCs w:val="18"/>
          <w:u w:val="single"/>
          <w:lang w:val="nl-NL"/>
        </w:rPr>
      </w:pPr>
      <w:r w:rsidRPr="00034BCA">
        <w:rPr>
          <w:szCs w:val="18"/>
          <w:u w:val="single"/>
          <w:lang w:val="nl-NL"/>
        </w:rPr>
        <w:t>Looptijd van de VT</w:t>
      </w:r>
    </w:p>
    <w:p w:rsidR="00D85A24" w:rsidP="00377036" w:rsidRDefault="00D85A24" w14:paraId="7C7584DA" w14:textId="77777777">
      <w:pPr>
        <w:spacing w:after="0"/>
        <w:rPr>
          <w:lang w:val="nl-NL"/>
        </w:rPr>
      </w:pPr>
      <w:r w:rsidRPr="00162A8D">
        <w:rPr>
          <w:szCs w:val="18"/>
          <w:lang w:val="nl-NL"/>
        </w:rPr>
        <w:t xml:space="preserve">Uit de evaluatie blijkt dat </w:t>
      </w:r>
      <w:r>
        <w:rPr>
          <w:szCs w:val="18"/>
          <w:lang w:val="nl-NL"/>
        </w:rPr>
        <w:t xml:space="preserve">de huidige </w:t>
      </w:r>
      <w:r w:rsidRPr="00162A8D">
        <w:rPr>
          <w:szCs w:val="18"/>
          <w:lang w:val="nl-NL"/>
        </w:rPr>
        <w:t xml:space="preserve">lange (maximale) looptijd </w:t>
      </w:r>
      <w:r>
        <w:rPr>
          <w:szCs w:val="18"/>
          <w:lang w:val="nl-NL"/>
        </w:rPr>
        <w:t xml:space="preserve">van 7 of 14 jaar niet wenselijk </w:t>
      </w:r>
      <w:r w:rsidRPr="00162A8D">
        <w:rPr>
          <w:szCs w:val="18"/>
          <w:lang w:val="nl-NL"/>
        </w:rPr>
        <w:t xml:space="preserve">is. </w:t>
      </w:r>
      <w:r>
        <w:rPr>
          <w:szCs w:val="18"/>
          <w:lang w:val="nl-NL"/>
        </w:rPr>
        <w:t>In die tijd kan h</w:t>
      </w:r>
      <w:r w:rsidRPr="00162A8D">
        <w:rPr>
          <w:szCs w:val="18"/>
          <w:lang w:val="nl-NL"/>
        </w:rPr>
        <w:t>et</w:t>
      </w:r>
      <w:r>
        <w:rPr>
          <w:szCs w:val="18"/>
          <w:lang w:val="nl-NL"/>
        </w:rPr>
        <w:t xml:space="preserve"> </w:t>
      </w:r>
      <w:r w:rsidRPr="00162A8D">
        <w:rPr>
          <w:szCs w:val="18"/>
          <w:lang w:val="nl-NL"/>
        </w:rPr>
        <w:t>behandellandschap aanzienlijk veranderen</w:t>
      </w:r>
      <w:r>
        <w:rPr>
          <w:szCs w:val="18"/>
          <w:lang w:val="nl-NL"/>
        </w:rPr>
        <w:t>, bijvoorbeeld door de introductie van nieuwe geneesmiddelen</w:t>
      </w:r>
      <w:r w:rsidRPr="00162A8D">
        <w:rPr>
          <w:szCs w:val="18"/>
          <w:lang w:val="nl-NL"/>
        </w:rPr>
        <w:t>. De vraag is dan welke waarde de</w:t>
      </w:r>
      <w:r>
        <w:rPr>
          <w:szCs w:val="18"/>
          <w:lang w:val="nl-NL"/>
        </w:rPr>
        <w:t xml:space="preserve"> </w:t>
      </w:r>
      <w:r w:rsidRPr="00162A8D">
        <w:rPr>
          <w:szCs w:val="18"/>
          <w:lang w:val="nl-NL"/>
        </w:rPr>
        <w:t>uitkomsten van het onderzoek nog hebben aan het einde van de onderzoeksperiode. Uit de</w:t>
      </w:r>
      <w:r>
        <w:rPr>
          <w:szCs w:val="18"/>
          <w:lang w:val="nl-NL"/>
        </w:rPr>
        <w:t xml:space="preserve"> </w:t>
      </w:r>
      <w:r w:rsidRPr="00162A8D">
        <w:rPr>
          <w:szCs w:val="18"/>
          <w:lang w:val="nl-NL"/>
        </w:rPr>
        <w:t xml:space="preserve">evaluatie blijkt daarnaast dat </w:t>
      </w:r>
      <w:r>
        <w:rPr>
          <w:szCs w:val="18"/>
          <w:lang w:val="nl-NL"/>
        </w:rPr>
        <w:t>de</w:t>
      </w:r>
      <w:r w:rsidRPr="00162A8D">
        <w:rPr>
          <w:szCs w:val="18"/>
          <w:lang w:val="nl-NL"/>
        </w:rPr>
        <w:t xml:space="preserve"> maximale looptijd van 14 jaar een negatieve invloed heeft op de</w:t>
      </w:r>
      <w:r>
        <w:rPr>
          <w:szCs w:val="18"/>
          <w:lang w:val="nl-NL"/>
        </w:rPr>
        <w:t xml:space="preserve"> </w:t>
      </w:r>
      <w:r w:rsidRPr="00162A8D">
        <w:rPr>
          <w:szCs w:val="18"/>
          <w:lang w:val="nl-NL"/>
        </w:rPr>
        <w:t xml:space="preserve">beeldvorming </w:t>
      </w:r>
      <w:r>
        <w:rPr>
          <w:szCs w:val="18"/>
          <w:lang w:val="nl-NL"/>
        </w:rPr>
        <w:t xml:space="preserve">(bij firma’s) </w:t>
      </w:r>
      <w:r w:rsidRPr="00162A8D">
        <w:rPr>
          <w:szCs w:val="18"/>
          <w:lang w:val="nl-NL"/>
        </w:rPr>
        <w:t>over de VT</w:t>
      </w:r>
      <w:r>
        <w:rPr>
          <w:szCs w:val="18"/>
          <w:lang w:val="nl-NL"/>
        </w:rPr>
        <w:t xml:space="preserve">. Het </w:t>
      </w:r>
      <w:r w:rsidR="00132FA5">
        <w:rPr>
          <w:szCs w:val="18"/>
          <w:lang w:val="nl-NL"/>
        </w:rPr>
        <w:t>is voor hen niet altijd d</w:t>
      </w:r>
      <w:r>
        <w:rPr>
          <w:szCs w:val="18"/>
          <w:lang w:val="nl-NL"/>
        </w:rPr>
        <w:t xml:space="preserve">uidelijk dat het gaat om een </w:t>
      </w:r>
      <w:r w:rsidRPr="00132FA5">
        <w:rPr>
          <w:i/>
          <w:iCs/>
          <w:szCs w:val="18"/>
          <w:lang w:val="nl-NL"/>
        </w:rPr>
        <w:t>maximale</w:t>
      </w:r>
      <w:r>
        <w:rPr>
          <w:szCs w:val="18"/>
          <w:lang w:val="nl-NL"/>
        </w:rPr>
        <w:t xml:space="preserve"> termijn. Het rapport raadt VWS aan te overwegen </w:t>
      </w:r>
      <w:r w:rsidRPr="00AD0827">
        <w:rPr>
          <w:szCs w:val="18"/>
          <w:lang w:val="nl-NL"/>
        </w:rPr>
        <w:t xml:space="preserve">de looptijd van de VT te maximeren op </w:t>
      </w:r>
      <w:r w:rsidR="00267D00">
        <w:rPr>
          <w:szCs w:val="18"/>
          <w:lang w:val="nl-NL"/>
        </w:rPr>
        <w:t>~</w:t>
      </w:r>
      <w:r w:rsidRPr="00AD0827">
        <w:rPr>
          <w:szCs w:val="18"/>
          <w:lang w:val="nl-NL"/>
        </w:rPr>
        <w:t>5 jaar</w:t>
      </w:r>
      <w:r>
        <w:rPr>
          <w:szCs w:val="18"/>
          <w:lang w:val="nl-NL"/>
        </w:rPr>
        <w:t xml:space="preserve">. De termijn lijkt lang genoeg voor het uitvoeren van het benodigde onderzoek, </w:t>
      </w:r>
      <w:r w:rsidRPr="006F21B1">
        <w:rPr>
          <w:szCs w:val="18"/>
          <w:lang w:val="nl-NL"/>
        </w:rPr>
        <w:t xml:space="preserve">maar niet zo lang dat het behandellandschap </w:t>
      </w:r>
      <w:r>
        <w:rPr>
          <w:szCs w:val="18"/>
          <w:lang w:val="nl-NL"/>
        </w:rPr>
        <w:t xml:space="preserve">na deze periode </w:t>
      </w:r>
      <w:r w:rsidR="00132FA5">
        <w:rPr>
          <w:szCs w:val="18"/>
          <w:lang w:val="nl-NL"/>
        </w:rPr>
        <w:t xml:space="preserve">te veel </w:t>
      </w:r>
      <w:r>
        <w:rPr>
          <w:szCs w:val="18"/>
          <w:lang w:val="nl-NL"/>
        </w:rPr>
        <w:t>is</w:t>
      </w:r>
      <w:r w:rsidRPr="006F21B1">
        <w:rPr>
          <w:szCs w:val="18"/>
          <w:lang w:val="nl-NL"/>
        </w:rPr>
        <w:t xml:space="preserve"> veranderd</w:t>
      </w:r>
      <w:r>
        <w:rPr>
          <w:szCs w:val="18"/>
          <w:lang w:val="nl-NL"/>
        </w:rPr>
        <w:t xml:space="preserve">. </w:t>
      </w:r>
      <w:r w:rsidR="006553F2">
        <w:rPr>
          <w:szCs w:val="18"/>
          <w:lang w:val="nl-NL"/>
        </w:rPr>
        <w:t>Het kabinet is</w:t>
      </w:r>
      <w:r>
        <w:rPr>
          <w:szCs w:val="18"/>
          <w:lang w:val="nl-NL"/>
        </w:rPr>
        <w:t xml:space="preserve"> het daarmee eens en wil deze wijziging </w:t>
      </w:r>
      <w:r w:rsidR="00132FA5">
        <w:rPr>
          <w:szCs w:val="18"/>
          <w:lang w:val="nl-NL"/>
        </w:rPr>
        <w:t>zo spoedig mogelijk</w:t>
      </w:r>
      <w:r>
        <w:rPr>
          <w:szCs w:val="18"/>
          <w:lang w:val="nl-NL"/>
        </w:rPr>
        <w:t xml:space="preserve"> invoeren</w:t>
      </w:r>
      <w:r w:rsidR="0091402A">
        <w:rPr>
          <w:szCs w:val="18"/>
          <w:lang w:val="nl-NL"/>
        </w:rPr>
        <w:t xml:space="preserve"> voor nieuwe trajecten</w:t>
      </w:r>
      <w:r>
        <w:rPr>
          <w:szCs w:val="18"/>
          <w:lang w:val="nl-NL"/>
        </w:rPr>
        <w:t xml:space="preserve">. Daarbij </w:t>
      </w:r>
      <w:r w:rsidR="006553F2">
        <w:rPr>
          <w:szCs w:val="18"/>
          <w:lang w:val="nl-NL"/>
        </w:rPr>
        <w:t xml:space="preserve">wordt voorgesteld </w:t>
      </w:r>
      <w:r w:rsidR="00223462">
        <w:rPr>
          <w:szCs w:val="18"/>
          <w:lang w:val="nl-NL"/>
        </w:rPr>
        <w:t>dat het mogelijk wordt om eenmalig verlening aan te vragen</w:t>
      </w:r>
      <w:r>
        <w:rPr>
          <w:szCs w:val="18"/>
          <w:lang w:val="nl-NL"/>
        </w:rPr>
        <w:t xml:space="preserve"> van een jaar, mits goed onderbouwd (waarom de verlenging noodzakelijk is en gaat leiden tot resultaten) en onder voorwaarde dat het </w:t>
      </w:r>
      <w:r w:rsidRPr="00227DCA">
        <w:rPr>
          <w:szCs w:val="18"/>
          <w:lang w:val="nl-NL"/>
        </w:rPr>
        <w:t>geneesmiddel nog voldoet aan de criteria</w:t>
      </w:r>
      <w:r w:rsidRPr="004C3DB4">
        <w:rPr>
          <w:lang w:val="nl-NL"/>
        </w:rPr>
        <w:t xml:space="preserve"> </w:t>
      </w:r>
      <w:proofErr w:type="spellStart"/>
      <w:r w:rsidRPr="004C3DB4">
        <w:rPr>
          <w:i/>
          <w:iCs/>
          <w:lang w:val="nl-NL"/>
        </w:rPr>
        <w:t>u</w:t>
      </w:r>
      <w:r w:rsidRPr="004C3DB4">
        <w:rPr>
          <w:i/>
          <w:iCs/>
          <w:szCs w:val="18"/>
          <w:lang w:val="nl-NL"/>
        </w:rPr>
        <w:t>nmet</w:t>
      </w:r>
      <w:proofErr w:type="spellEnd"/>
      <w:r w:rsidRPr="004C3DB4">
        <w:rPr>
          <w:i/>
          <w:iCs/>
          <w:szCs w:val="18"/>
          <w:lang w:val="nl-NL"/>
        </w:rPr>
        <w:t xml:space="preserve"> </w:t>
      </w:r>
      <w:proofErr w:type="spellStart"/>
      <w:r w:rsidRPr="004C3DB4">
        <w:rPr>
          <w:i/>
          <w:iCs/>
          <w:szCs w:val="18"/>
          <w:lang w:val="nl-NL"/>
        </w:rPr>
        <w:t>medical</w:t>
      </w:r>
      <w:proofErr w:type="spellEnd"/>
      <w:r w:rsidRPr="004C3DB4">
        <w:rPr>
          <w:i/>
          <w:iCs/>
          <w:szCs w:val="18"/>
          <w:lang w:val="nl-NL"/>
        </w:rPr>
        <w:t xml:space="preserve"> </w:t>
      </w:r>
      <w:proofErr w:type="spellStart"/>
      <w:r w:rsidRPr="004C3DB4">
        <w:rPr>
          <w:i/>
          <w:iCs/>
          <w:szCs w:val="18"/>
          <w:lang w:val="nl-NL"/>
        </w:rPr>
        <w:t>need</w:t>
      </w:r>
      <w:proofErr w:type="spellEnd"/>
      <w:r>
        <w:rPr>
          <w:szCs w:val="18"/>
          <w:lang w:val="nl-NL"/>
        </w:rPr>
        <w:t xml:space="preserve"> (onver</w:t>
      </w:r>
      <w:r w:rsidRPr="004C3DB4">
        <w:rPr>
          <w:szCs w:val="18"/>
          <w:lang w:val="nl-NL"/>
        </w:rPr>
        <w:t>vulde medische behoefte</w:t>
      </w:r>
      <w:r>
        <w:rPr>
          <w:szCs w:val="18"/>
          <w:lang w:val="nl-NL"/>
        </w:rPr>
        <w:t xml:space="preserve">) </w:t>
      </w:r>
      <w:r w:rsidRPr="00227DCA">
        <w:rPr>
          <w:szCs w:val="18"/>
          <w:lang w:val="nl-NL"/>
        </w:rPr>
        <w:t>en ‘veelbelovend’</w:t>
      </w:r>
      <w:r>
        <w:rPr>
          <w:szCs w:val="18"/>
          <w:lang w:val="nl-NL"/>
        </w:rPr>
        <w:t>.</w:t>
      </w:r>
    </w:p>
    <w:p w:rsidR="00377036" w:rsidP="00C8744A" w:rsidRDefault="00377036" w14:paraId="43768BD7" w14:textId="77777777">
      <w:pPr>
        <w:rPr>
          <w:szCs w:val="18"/>
          <w:u w:val="single"/>
          <w:lang w:val="nl-NL"/>
        </w:rPr>
      </w:pPr>
    </w:p>
    <w:p w:rsidRPr="00C5423D" w:rsidR="00C8744A" w:rsidP="00C8744A" w:rsidRDefault="00C8744A" w14:paraId="35DF9FA2" w14:textId="77777777">
      <w:pPr>
        <w:rPr>
          <w:szCs w:val="18"/>
          <w:u w:val="single"/>
          <w:lang w:val="nl-NL"/>
        </w:rPr>
      </w:pPr>
      <w:r w:rsidRPr="00C5423D">
        <w:rPr>
          <w:szCs w:val="18"/>
          <w:u w:val="single"/>
          <w:lang w:val="nl-NL"/>
        </w:rPr>
        <w:t xml:space="preserve">Harmonisatie </w:t>
      </w:r>
      <w:r w:rsidR="0086302E">
        <w:rPr>
          <w:szCs w:val="18"/>
          <w:u w:val="single"/>
          <w:lang w:val="nl-NL"/>
        </w:rPr>
        <w:t xml:space="preserve">VT </w:t>
      </w:r>
      <w:r w:rsidRPr="00C5423D">
        <w:rPr>
          <w:szCs w:val="18"/>
          <w:u w:val="single"/>
          <w:lang w:val="nl-NL"/>
        </w:rPr>
        <w:t xml:space="preserve">met </w:t>
      </w:r>
      <w:r w:rsidR="0086302E">
        <w:rPr>
          <w:szCs w:val="18"/>
          <w:u w:val="single"/>
          <w:lang w:val="nl-NL"/>
        </w:rPr>
        <w:t xml:space="preserve">de </w:t>
      </w:r>
      <w:r w:rsidRPr="00C5423D">
        <w:rPr>
          <w:szCs w:val="18"/>
          <w:u w:val="single"/>
          <w:lang w:val="nl-NL"/>
        </w:rPr>
        <w:t>ODAP</w:t>
      </w:r>
      <w:r w:rsidR="0086302E">
        <w:rPr>
          <w:szCs w:val="18"/>
          <w:u w:val="single"/>
          <w:lang w:val="nl-NL"/>
        </w:rPr>
        <w:t xml:space="preserve"> en DAP</w:t>
      </w:r>
    </w:p>
    <w:p w:rsidR="00377036" w:rsidP="00377036" w:rsidRDefault="00C8744A" w14:paraId="5EFBCC3D" w14:textId="4AE0617D">
      <w:pPr>
        <w:spacing w:after="0"/>
        <w:rPr>
          <w:szCs w:val="18"/>
          <w:lang w:val="nl-NL"/>
        </w:rPr>
      </w:pPr>
      <w:r>
        <w:rPr>
          <w:szCs w:val="18"/>
          <w:lang w:val="nl-NL"/>
        </w:rPr>
        <w:t xml:space="preserve">Het </w:t>
      </w:r>
      <w:r w:rsidR="00C94571">
        <w:rPr>
          <w:szCs w:val="18"/>
          <w:lang w:val="nl-NL"/>
        </w:rPr>
        <w:t>evaluatie</w:t>
      </w:r>
      <w:r>
        <w:rPr>
          <w:szCs w:val="18"/>
          <w:lang w:val="nl-NL"/>
        </w:rPr>
        <w:t xml:space="preserve">rapport raadt aan </w:t>
      </w:r>
      <w:r w:rsidR="0012042D">
        <w:rPr>
          <w:szCs w:val="18"/>
          <w:lang w:val="nl-NL"/>
        </w:rPr>
        <w:t xml:space="preserve">om </w:t>
      </w:r>
      <w:r w:rsidRPr="00656622">
        <w:rPr>
          <w:szCs w:val="18"/>
          <w:lang w:val="nl-NL"/>
        </w:rPr>
        <w:t xml:space="preserve">de VT </w:t>
      </w:r>
      <w:r>
        <w:rPr>
          <w:szCs w:val="18"/>
          <w:lang w:val="nl-NL"/>
        </w:rPr>
        <w:t xml:space="preserve">te </w:t>
      </w:r>
      <w:r w:rsidRPr="00656622">
        <w:rPr>
          <w:szCs w:val="18"/>
          <w:lang w:val="nl-NL"/>
        </w:rPr>
        <w:t xml:space="preserve">harmoniseren met het </w:t>
      </w:r>
      <w:proofErr w:type="spellStart"/>
      <w:r w:rsidRPr="0042359B">
        <w:rPr>
          <w:i/>
          <w:iCs/>
          <w:szCs w:val="18"/>
          <w:lang w:val="nl-NL"/>
        </w:rPr>
        <w:t>Orphan</w:t>
      </w:r>
      <w:proofErr w:type="spellEnd"/>
      <w:r w:rsidRPr="0042359B">
        <w:rPr>
          <w:i/>
          <w:iCs/>
          <w:szCs w:val="18"/>
          <w:lang w:val="nl-NL"/>
        </w:rPr>
        <w:t xml:space="preserve"> Drug Access Protocol</w:t>
      </w:r>
      <w:r w:rsidRPr="00656622">
        <w:rPr>
          <w:szCs w:val="18"/>
          <w:lang w:val="nl-NL"/>
        </w:rPr>
        <w:t xml:space="preserve"> (ODAP) en het </w:t>
      </w:r>
      <w:r w:rsidRPr="0042359B">
        <w:rPr>
          <w:i/>
          <w:iCs/>
          <w:szCs w:val="18"/>
          <w:lang w:val="nl-NL"/>
        </w:rPr>
        <w:t>Drug Access Protocol</w:t>
      </w:r>
      <w:r w:rsidRPr="00656622">
        <w:rPr>
          <w:szCs w:val="18"/>
          <w:lang w:val="nl-NL"/>
        </w:rPr>
        <w:t xml:space="preserve"> (DAP) binnen het </w:t>
      </w:r>
      <w:r w:rsidRPr="00CE52E5" w:rsidR="00CE52E5">
        <w:rPr>
          <w:szCs w:val="18"/>
          <w:lang w:val="nl-NL"/>
        </w:rPr>
        <w:t xml:space="preserve">nieuw in te richten stelsel van </w:t>
      </w:r>
      <w:r w:rsidRPr="00CE52E5" w:rsidR="00CE52E5">
        <w:rPr>
          <w:szCs w:val="18"/>
          <w:lang w:val="nl-NL"/>
        </w:rPr>
        <w:lastRenderedPageBreak/>
        <w:t>pakkettoelating van geneesmiddelen</w:t>
      </w:r>
      <w:r w:rsidR="0012042D">
        <w:rPr>
          <w:szCs w:val="18"/>
          <w:lang w:val="nl-NL"/>
        </w:rPr>
        <w:t xml:space="preserve"> (TSG)</w:t>
      </w:r>
      <w:r w:rsidRPr="00F01AED" w:rsidR="00F01AED">
        <w:rPr>
          <w:szCs w:val="18"/>
          <w:lang w:val="nl-NL"/>
        </w:rPr>
        <w:t xml:space="preserve"> </w:t>
      </w:r>
      <w:r w:rsidRPr="001E3DC4" w:rsidR="00F01AED">
        <w:rPr>
          <w:szCs w:val="18"/>
          <w:lang w:val="nl-NL"/>
        </w:rPr>
        <w:t>waaraan het Zorginstituut, in opdracht van het Kabinet, werkt</w:t>
      </w:r>
      <w:r w:rsidR="00F01AED">
        <w:rPr>
          <w:rStyle w:val="Voetnootmarkering"/>
          <w:szCs w:val="18"/>
        </w:rPr>
        <w:footnoteReference w:id="12"/>
      </w:r>
      <w:r w:rsidRPr="001E3DC4" w:rsidR="00F01AED">
        <w:rPr>
          <w:szCs w:val="18"/>
          <w:lang w:val="nl-NL"/>
        </w:rPr>
        <w:t>.</w:t>
      </w:r>
      <w:r>
        <w:rPr>
          <w:szCs w:val="18"/>
          <w:lang w:val="nl-NL"/>
        </w:rPr>
        <w:t xml:space="preserve"> </w:t>
      </w:r>
      <w:r w:rsidR="00DD6BE2">
        <w:rPr>
          <w:szCs w:val="18"/>
          <w:lang w:val="nl-NL"/>
        </w:rPr>
        <w:t xml:space="preserve">De ODAP en DAP </w:t>
      </w:r>
      <w:r w:rsidR="00ED580C">
        <w:rPr>
          <w:szCs w:val="18"/>
          <w:lang w:val="nl-NL"/>
        </w:rPr>
        <w:t xml:space="preserve">zijn </w:t>
      </w:r>
      <w:r w:rsidR="000C259C">
        <w:rPr>
          <w:szCs w:val="18"/>
          <w:lang w:val="nl-NL"/>
        </w:rPr>
        <w:t xml:space="preserve">na het ontstaan van de VT </w:t>
      </w:r>
      <w:r w:rsidR="00ED580C">
        <w:rPr>
          <w:szCs w:val="18"/>
          <w:lang w:val="nl-NL"/>
        </w:rPr>
        <w:t>opgericht op initiatief van diverse partijen, waaronder Zorgverzekeraars Nederland (ZN)</w:t>
      </w:r>
      <w:r w:rsidR="000C259C">
        <w:rPr>
          <w:szCs w:val="18"/>
          <w:lang w:val="nl-NL"/>
        </w:rPr>
        <w:t xml:space="preserve">. Deze initiatieven zijn </w:t>
      </w:r>
      <w:r w:rsidR="00ED580C">
        <w:rPr>
          <w:szCs w:val="18"/>
          <w:lang w:val="nl-NL"/>
        </w:rPr>
        <w:t xml:space="preserve">ook </w:t>
      </w:r>
      <w:r w:rsidRPr="00DD6BE2" w:rsidR="00DD6BE2">
        <w:rPr>
          <w:szCs w:val="18"/>
          <w:lang w:val="nl-NL"/>
        </w:rPr>
        <w:t>gericht op het geven van toegang aan patiënten tot geneesmiddelen waarbij onzekerheid</w:t>
      </w:r>
      <w:r w:rsidR="00ED580C">
        <w:rPr>
          <w:szCs w:val="18"/>
          <w:lang w:val="nl-NL"/>
        </w:rPr>
        <w:t xml:space="preserve"> </w:t>
      </w:r>
      <w:r w:rsidRPr="00DD6BE2" w:rsidR="00DD6BE2">
        <w:rPr>
          <w:szCs w:val="18"/>
          <w:lang w:val="nl-NL"/>
        </w:rPr>
        <w:t>bestaat over de effectiviteit, in combinatie met een vorm van onderzoek</w:t>
      </w:r>
      <w:r w:rsidR="00ED580C">
        <w:rPr>
          <w:szCs w:val="18"/>
          <w:lang w:val="nl-NL"/>
        </w:rPr>
        <w:t xml:space="preserve">. De </w:t>
      </w:r>
      <w:r w:rsidRPr="00DD6BE2" w:rsidR="00ED580C">
        <w:rPr>
          <w:szCs w:val="18"/>
          <w:lang w:val="nl-NL"/>
        </w:rPr>
        <w:t>ODAP</w:t>
      </w:r>
      <w:r w:rsidR="00ED580C">
        <w:rPr>
          <w:szCs w:val="18"/>
          <w:lang w:val="nl-NL"/>
        </w:rPr>
        <w:t xml:space="preserve"> is</w:t>
      </w:r>
      <w:r w:rsidRPr="00DD6BE2" w:rsidR="00ED580C">
        <w:rPr>
          <w:szCs w:val="18"/>
          <w:lang w:val="nl-NL"/>
        </w:rPr>
        <w:t xml:space="preserve"> gericht op niet-oncologische weesgeneesmiddelen</w:t>
      </w:r>
      <w:r w:rsidR="00ED580C">
        <w:rPr>
          <w:szCs w:val="18"/>
          <w:lang w:val="nl-NL"/>
        </w:rPr>
        <w:t xml:space="preserve"> en de DAP </w:t>
      </w:r>
      <w:r w:rsidRPr="00DD6BE2" w:rsidR="00DD6BE2">
        <w:rPr>
          <w:szCs w:val="18"/>
          <w:lang w:val="nl-NL"/>
        </w:rPr>
        <w:t>op geneesmiddelen voor kleine oncologische indicaties</w:t>
      </w:r>
      <w:r w:rsidR="00DD6BE2">
        <w:rPr>
          <w:rStyle w:val="Voetnootmarkering"/>
          <w:szCs w:val="18"/>
          <w:lang w:val="nl-NL"/>
        </w:rPr>
        <w:footnoteReference w:id="13"/>
      </w:r>
      <w:r w:rsidR="00ED580C">
        <w:rPr>
          <w:szCs w:val="18"/>
          <w:lang w:val="nl-NL"/>
        </w:rPr>
        <w:t>.</w:t>
      </w:r>
      <w:r w:rsidR="000C259C">
        <w:rPr>
          <w:szCs w:val="18"/>
          <w:lang w:val="nl-NL"/>
        </w:rPr>
        <w:t xml:space="preserve"> </w:t>
      </w:r>
      <w:r w:rsidRPr="007277B0">
        <w:rPr>
          <w:szCs w:val="18"/>
          <w:lang w:val="nl-NL"/>
        </w:rPr>
        <w:t xml:space="preserve">Zowel DAP als ODAP beoordelen </w:t>
      </w:r>
      <w:r w:rsidR="00DC30E7">
        <w:rPr>
          <w:szCs w:val="18"/>
          <w:lang w:val="nl-NL"/>
        </w:rPr>
        <w:t>in eerste instantie</w:t>
      </w:r>
      <w:r w:rsidRPr="007277B0">
        <w:rPr>
          <w:szCs w:val="18"/>
          <w:lang w:val="nl-NL"/>
        </w:rPr>
        <w:t xml:space="preserve"> </w:t>
      </w:r>
      <w:r w:rsidR="005F120D">
        <w:rPr>
          <w:szCs w:val="18"/>
          <w:lang w:val="nl-NL"/>
        </w:rPr>
        <w:t>de</w:t>
      </w:r>
      <w:r w:rsidRPr="007277B0" w:rsidR="005F120D">
        <w:rPr>
          <w:szCs w:val="18"/>
          <w:lang w:val="nl-NL"/>
        </w:rPr>
        <w:t xml:space="preserve"> </w:t>
      </w:r>
      <w:r w:rsidRPr="007277B0">
        <w:rPr>
          <w:szCs w:val="18"/>
          <w:lang w:val="nl-NL"/>
        </w:rPr>
        <w:t>uitkomsten</w:t>
      </w:r>
      <w:r w:rsidR="00FC308B">
        <w:rPr>
          <w:szCs w:val="18"/>
          <w:lang w:val="nl-NL"/>
        </w:rPr>
        <w:t xml:space="preserve"> in een individuele patiënt</w:t>
      </w:r>
      <w:r w:rsidRPr="007277B0">
        <w:rPr>
          <w:szCs w:val="18"/>
          <w:lang w:val="nl-NL"/>
        </w:rPr>
        <w:t xml:space="preserve">. </w:t>
      </w:r>
      <w:r w:rsidR="005F120D">
        <w:rPr>
          <w:szCs w:val="18"/>
          <w:lang w:val="nl-NL"/>
        </w:rPr>
        <w:t>Betaling</w:t>
      </w:r>
      <w:r w:rsidRPr="000C2E85" w:rsidR="005F120D">
        <w:rPr>
          <w:szCs w:val="18"/>
          <w:lang w:val="nl-NL"/>
        </w:rPr>
        <w:t xml:space="preserve"> </w:t>
      </w:r>
      <w:r w:rsidRPr="000C2E85">
        <w:rPr>
          <w:szCs w:val="18"/>
          <w:lang w:val="nl-NL"/>
        </w:rPr>
        <w:t xml:space="preserve">door de zorgverzekeraar vindt plaats </w:t>
      </w:r>
      <w:r w:rsidR="00B807BD">
        <w:rPr>
          <w:szCs w:val="18"/>
          <w:lang w:val="nl-NL"/>
        </w:rPr>
        <w:t>indien</w:t>
      </w:r>
      <w:r w:rsidR="00FC308B">
        <w:rPr>
          <w:szCs w:val="18"/>
          <w:lang w:val="nl-NL"/>
        </w:rPr>
        <w:t xml:space="preserve"> een individuele patiënt</w:t>
      </w:r>
      <w:r w:rsidRPr="000C2E85">
        <w:rPr>
          <w:szCs w:val="18"/>
          <w:lang w:val="nl-NL"/>
        </w:rPr>
        <w:t xml:space="preserve"> </w:t>
      </w:r>
      <w:r w:rsidR="00B807BD">
        <w:rPr>
          <w:szCs w:val="18"/>
          <w:lang w:val="nl-NL"/>
        </w:rPr>
        <w:t>een behandeluitkomst heeft die voldoet</w:t>
      </w:r>
      <w:r w:rsidRPr="000C2E85">
        <w:rPr>
          <w:szCs w:val="18"/>
          <w:lang w:val="nl-NL"/>
        </w:rPr>
        <w:t xml:space="preserve"> aan vooraf opgestelde individuele criteria.</w:t>
      </w:r>
      <w:r>
        <w:rPr>
          <w:szCs w:val="18"/>
          <w:lang w:val="nl-NL"/>
        </w:rPr>
        <w:t xml:space="preserve"> </w:t>
      </w:r>
      <w:r w:rsidRPr="007277B0">
        <w:rPr>
          <w:szCs w:val="18"/>
          <w:lang w:val="nl-NL"/>
        </w:rPr>
        <w:t xml:space="preserve">Uiteindelijk </w:t>
      </w:r>
      <w:r>
        <w:rPr>
          <w:szCs w:val="18"/>
          <w:lang w:val="nl-NL"/>
        </w:rPr>
        <w:t xml:space="preserve">wordt bij de </w:t>
      </w:r>
      <w:r w:rsidRPr="007277B0">
        <w:rPr>
          <w:szCs w:val="18"/>
          <w:lang w:val="nl-NL"/>
        </w:rPr>
        <w:t xml:space="preserve">DAP en ODAP net als </w:t>
      </w:r>
      <w:r>
        <w:rPr>
          <w:szCs w:val="18"/>
          <w:lang w:val="nl-NL"/>
        </w:rPr>
        <w:t xml:space="preserve">bij </w:t>
      </w:r>
      <w:r w:rsidRPr="007277B0">
        <w:rPr>
          <w:szCs w:val="18"/>
          <w:lang w:val="nl-NL"/>
        </w:rPr>
        <w:t xml:space="preserve">de VT </w:t>
      </w:r>
      <w:r>
        <w:rPr>
          <w:szCs w:val="18"/>
          <w:lang w:val="nl-NL"/>
        </w:rPr>
        <w:t xml:space="preserve">gestreefd </w:t>
      </w:r>
      <w:r w:rsidRPr="007277B0">
        <w:rPr>
          <w:szCs w:val="18"/>
          <w:lang w:val="nl-NL"/>
        </w:rPr>
        <w:t xml:space="preserve">naar </w:t>
      </w:r>
      <w:r w:rsidR="00DD1CC5">
        <w:rPr>
          <w:szCs w:val="18"/>
          <w:lang w:val="nl-NL"/>
        </w:rPr>
        <w:t xml:space="preserve">een </w:t>
      </w:r>
      <w:r w:rsidR="00210EDF">
        <w:rPr>
          <w:szCs w:val="18"/>
          <w:lang w:val="nl-NL"/>
        </w:rPr>
        <w:t xml:space="preserve">definitieve </w:t>
      </w:r>
      <w:r w:rsidR="00DD1CC5">
        <w:rPr>
          <w:szCs w:val="18"/>
          <w:lang w:val="nl-NL"/>
        </w:rPr>
        <w:t>conclusie over pakketwaardigheid</w:t>
      </w:r>
      <w:r w:rsidR="00C9347A">
        <w:rPr>
          <w:szCs w:val="18"/>
          <w:lang w:val="nl-NL"/>
        </w:rPr>
        <w:t xml:space="preserve"> </w:t>
      </w:r>
      <w:r w:rsidR="00210EDF">
        <w:rPr>
          <w:szCs w:val="18"/>
          <w:lang w:val="nl-NL"/>
        </w:rPr>
        <w:t xml:space="preserve">op basis van </w:t>
      </w:r>
      <w:r w:rsidRPr="007277B0">
        <w:rPr>
          <w:szCs w:val="18"/>
          <w:lang w:val="nl-NL"/>
        </w:rPr>
        <w:t>een beoordeling</w:t>
      </w:r>
      <w:r w:rsidR="00C37DFE">
        <w:rPr>
          <w:szCs w:val="18"/>
          <w:lang w:val="nl-NL"/>
        </w:rPr>
        <w:t xml:space="preserve"> van de effectiviteit</w:t>
      </w:r>
      <w:r w:rsidRPr="007277B0">
        <w:rPr>
          <w:szCs w:val="18"/>
          <w:lang w:val="nl-NL"/>
        </w:rPr>
        <w:t xml:space="preserve">. Bij </w:t>
      </w:r>
      <w:r w:rsidR="0012042D">
        <w:rPr>
          <w:szCs w:val="18"/>
          <w:lang w:val="nl-NL"/>
        </w:rPr>
        <w:t xml:space="preserve">beide routes </w:t>
      </w:r>
      <w:r w:rsidRPr="007277B0">
        <w:rPr>
          <w:szCs w:val="18"/>
          <w:lang w:val="nl-NL"/>
        </w:rPr>
        <w:t>moet</w:t>
      </w:r>
      <w:r>
        <w:rPr>
          <w:szCs w:val="18"/>
          <w:lang w:val="nl-NL"/>
        </w:rPr>
        <w:t xml:space="preserve"> </w:t>
      </w:r>
      <w:r w:rsidRPr="007277B0">
        <w:rPr>
          <w:szCs w:val="18"/>
          <w:lang w:val="nl-NL"/>
        </w:rPr>
        <w:t xml:space="preserve">echter nog blijken of </w:t>
      </w:r>
      <w:r w:rsidR="00C9347A">
        <w:rPr>
          <w:szCs w:val="18"/>
          <w:lang w:val="nl-NL"/>
        </w:rPr>
        <w:t>het in de p</w:t>
      </w:r>
      <w:r w:rsidRPr="007277B0">
        <w:rPr>
          <w:szCs w:val="18"/>
          <w:lang w:val="nl-NL"/>
        </w:rPr>
        <w:t xml:space="preserve">raktijk haalbaar </w:t>
      </w:r>
      <w:r w:rsidR="00C94571">
        <w:rPr>
          <w:szCs w:val="18"/>
          <w:lang w:val="nl-NL"/>
        </w:rPr>
        <w:t xml:space="preserve">is </w:t>
      </w:r>
      <w:r w:rsidR="00C9347A">
        <w:rPr>
          <w:szCs w:val="18"/>
          <w:lang w:val="nl-NL"/>
        </w:rPr>
        <w:t xml:space="preserve">om </w:t>
      </w:r>
      <w:r w:rsidR="00C37DFE">
        <w:rPr>
          <w:szCs w:val="18"/>
          <w:lang w:val="nl-NL"/>
        </w:rPr>
        <w:t>effectiviteit</w:t>
      </w:r>
      <w:r w:rsidR="00C9347A">
        <w:rPr>
          <w:szCs w:val="18"/>
          <w:lang w:val="nl-NL"/>
        </w:rPr>
        <w:t xml:space="preserve"> aan te tonen</w:t>
      </w:r>
      <w:r w:rsidRPr="007277B0">
        <w:rPr>
          <w:szCs w:val="18"/>
          <w:lang w:val="nl-NL"/>
        </w:rPr>
        <w:t>, ook gezien de doorlooptijd</w:t>
      </w:r>
      <w:r w:rsidR="00327E3F">
        <w:rPr>
          <w:szCs w:val="18"/>
          <w:lang w:val="nl-NL"/>
        </w:rPr>
        <w:t xml:space="preserve"> (maximaal 3 jaar bij de DAP en 5 jaar bij de ODAP)</w:t>
      </w:r>
      <w:r>
        <w:rPr>
          <w:szCs w:val="18"/>
          <w:lang w:val="nl-NL"/>
        </w:rPr>
        <w:t xml:space="preserve">. Beide initiatieven vertonen </w:t>
      </w:r>
      <w:r w:rsidRPr="007277B0">
        <w:rPr>
          <w:szCs w:val="18"/>
          <w:lang w:val="nl-NL"/>
        </w:rPr>
        <w:t>overlap met de VT</w:t>
      </w:r>
      <w:r>
        <w:rPr>
          <w:szCs w:val="18"/>
          <w:lang w:val="nl-NL"/>
        </w:rPr>
        <w:t xml:space="preserve"> en het is daarom </w:t>
      </w:r>
      <w:r w:rsidRPr="000C2E85">
        <w:rPr>
          <w:szCs w:val="18"/>
          <w:lang w:val="nl-NL"/>
        </w:rPr>
        <w:t>niet altijd helder welke procedure per</w:t>
      </w:r>
      <w:r>
        <w:rPr>
          <w:szCs w:val="18"/>
          <w:lang w:val="nl-NL"/>
        </w:rPr>
        <w:t xml:space="preserve"> </w:t>
      </w:r>
      <w:r w:rsidRPr="000C2E85">
        <w:rPr>
          <w:szCs w:val="18"/>
          <w:lang w:val="nl-NL"/>
        </w:rPr>
        <w:t xml:space="preserve">geneesmiddel het meest passend is. </w:t>
      </w:r>
      <w:r w:rsidR="00DC7196">
        <w:rPr>
          <w:szCs w:val="18"/>
          <w:lang w:val="nl-NL"/>
        </w:rPr>
        <w:t xml:space="preserve">In de volgende paragrafen wordt ingegaan </w:t>
      </w:r>
      <w:r w:rsidR="0055025B">
        <w:rPr>
          <w:szCs w:val="18"/>
          <w:lang w:val="nl-NL"/>
        </w:rPr>
        <w:t>op de vraag of en in welke vorm deze routes een plek zouden moeten krijgen in het TSG.</w:t>
      </w:r>
    </w:p>
    <w:p w:rsidR="00377036" w:rsidP="00852DD9" w:rsidRDefault="00377036" w14:paraId="7CD71773" w14:textId="77777777">
      <w:pPr>
        <w:rPr>
          <w:szCs w:val="18"/>
          <w:u w:val="single"/>
          <w:lang w:val="nl-NL"/>
        </w:rPr>
      </w:pPr>
    </w:p>
    <w:p w:rsidRPr="006A2BB3" w:rsidR="00852DD9" w:rsidP="00852DD9" w:rsidRDefault="00852DD9" w14:paraId="62AB8811" w14:textId="77777777">
      <w:pPr>
        <w:rPr>
          <w:szCs w:val="18"/>
          <w:u w:val="single"/>
          <w:lang w:val="nl-NL"/>
        </w:rPr>
      </w:pPr>
      <w:r w:rsidRPr="006A2BB3">
        <w:rPr>
          <w:szCs w:val="18"/>
          <w:u w:val="single"/>
          <w:lang w:val="nl-NL"/>
        </w:rPr>
        <w:t>U</w:t>
      </w:r>
      <w:r w:rsidR="00C9347A">
        <w:rPr>
          <w:szCs w:val="18"/>
          <w:u w:val="single"/>
          <w:lang w:val="nl-NL"/>
        </w:rPr>
        <w:t>l</w:t>
      </w:r>
      <w:r w:rsidRPr="006A2BB3">
        <w:rPr>
          <w:szCs w:val="18"/>
          <w:u w:val="single"/>
          <w:lang w:val="nl-NL"/>
        </w:rPr>
        <w:t>tra-weesgeneesmiddelen</w:t>
      </w:r>
    </w:p>
    <w:p w:rsidRPr="001E3DC4" w:rsidR="001E3DC4" w:rsidP="00C8744A" w:rsidRDefault="00852DD9" w14:paraId="698FE697" w14:textId="24A4A174">
      <w:pPr>
        <w:rPr>
          <w:szCs w:val="18"/>
          <w:lang w:val="nl-NL"/>
        </w:rPr>
      </w:pPr>
      <w:r>
        <w:rPr>
          <w:szCs w:val="18"/>
          <w:lang w:val="nl-NL"/>
        </w:rPr>
        <w:t>De evaluatie raadt aan e</w:t>
      </w:r>
      <w:r w:rsidRPr="00D4595F">
        <w:rPr>
          <w:szCs w:val="18"/>
          <w:lang w:val="nl-NL"/>
        </w:rPr>
        <w:t>en alternatieve regeling op te zetten voor ultra-weesgeneesmiddelen</w:t>
      </w:r>
      <w:r w:rsidR="00A04B69">
        <w:rPr>
          <w:rStyle w:val="Voetnootmarkering"/>
          <w:szCs w:val="18"/>
          <w:lang w:val="nl-NL"/>
        </w:rPr>
        <w:footnoteReference w:id="14"/>
      </w:r>
      <w:r w:rsidRPr="001E3DC4" w:rsidR="001E3DC4">
        <w:rPr>
          <w:lang w:val="nl-NL"/>
        </w:rPr>
        <w:t xml:space="preserve"> </w:t>
      </w:r>
      <w:r w:rsidRPr="001E3DC4" w:rsidR="001E3DC4">
        <w:rPr>
          <w:szCs w:val="18"/>
          <w:lang w:val="nl-NL"/>
        </w:rPr>
        <w:t>omdat het aantonen van effectiviteit volgens de reguliere vereisten vaak niet haalbaar is</w:t>
      </w:r>
      <w:r w:rsidR="001E3DC4">
        <w:rPr>
          <w:szCs w:val="18"/>
          <w:lang w:val="nl-NL"/>
        </w:rPr>
        <w:t>.</w:t>
      </w:r>
      <w:r w:rsidR="00944B66">
        <w:rPr>
          <w:szCs w:val="18"/>
          <w:lang w:val="nl-NL"/>
        </w:rPr>
        <w:t xml:space="preserve"> </w:t>
      </w:r>
      <w:bookmarkStart w:name="_Hlk225518573" w:id="4"/>
      <w:r w:rsidR="0094236F">
        <w:rPr>
          <w:szCs w:val="18"/>
          <w:lang w:val="nl-NL"/>
        </w:rPr>
        <w:t>Het kabinet</w:t>
      </w:r>
      <w:r w:rsidRPr="001E3DC4" w:rsidR="001E3DC4">
        <w:rPr>
          <w:szCs w:val="18"/>
          <w:lang w:val="nl-NL"/>
        </w:rPr>
        <w:t xml:space="preserve"> onderschrijf</w:t>
      </w:r>
      <w:r w:rsidR="0094236F">
        <w:rPr>
          <w:szCs w:val="18"/>
          <w:lang w:val="nl-NL"/>
        </w:rPr>
        <w:t>t</w:t>
      </w:r>
      <w:r w:rsidRPr="001E3DC4" w:rsidR="001E3DC4">
        <w:rPr>
          <w:szCs w:val="18"/>
          <w:lang w:val="nl-NL"/>
        </w:rPr>
        <w:t xml:space="preserve"> de noodzaak van een specifiek traject voor deze middelen, zeker nu er sprake lijkt te zijn van een toename van zeer gepersonaliseerde therapieën voor hele kleine aantallen patiënten</w:t>
      </w:r>
      <w:r w:rsidR="001E3DC4">
        <w:rPr>
          <w:rStyle w:val="Voetnootmarkering"/>
          <w:szCs w:val="18"/>
        </w:rPr>
        <w:footnoteReference w:id="15"/>
      </w:r>
      <w:r w:rsidRPr="001E3DC4" w:rsidR="001E3DC4">
        <w:rPr>
          <w:szCs w:val="18"/>
          <w:lang w:val="nl-NL"/>
        </w:rPr>
        <w:t xml:space="preserve">. </w:t>
      </w:r>
      <w:r w:rsidR="0094236F">
        <w:rPr>
          <w:szCs w:val="18"/>
          <w:lang w:val="nl-NL"/>
        </w:rPr>
        <w:t xml:space="preserve">Hierover wordt </w:t>
      </w:r>
      <w:r w:rsidRPr="001E3DC4" w:rsidR="001E3DC4">
        <w:rPr>
          <w:lang w:val="nl-NL"/>
        </w:rPr>
        <w:t xml:space="preserve">overleg </w:t>
      </w:r>
      <w:r w:rsidR="0094236F">
        <w:rPr>
          <w:lang w:val="nl-NL"/>
        </w:rPr>
        <w:t xml:space="preserve">gevoerd </w:t>
      </w:r>
      <w:r w:rsidRPr="001E3DC4" w:rsidR="001E3DC4">
        <w:rPr>
          <w:lang w:val="nl-NL"/>
        </w:rPr>
        <w:t xml:space="preserve">met het Zorginstituut. Het </w:t>
      </w:r>
      <w:r w:rsidR="0094236F">
        <w:rPr>
          <w:lang w:val="nl-NL"/>
        </w:rPr>
        <w:t>Zorg</w:t>
      </w:r>
      <w:r w:rsidRPr="001E3DC4" w:rsidR="001E3DC4">
        <w:rPr>
          <w:lang w:val="nl-NL"/>
        </w:rPr>
        <w:t xml:space="preserve">instituut heeft voorgesteld </w:t>
      </w:r>
      <w:r w:rsidRPr="001E3DC4" w:rsidR="001E3DC4">
        <w:rPr>
          <w:szCs w:val="18"/>
          <w:lang w:val="nl-NL"/>
        </w:rPr>
        <w:t>een aparte route voor ultra-weesgeneesmiddelen te introduceren binnen het TSG</w:t>
      </w:r>
      <w:r w:rsidR="00F01AED">
        <w:rPr>
          <w:szCs w:val="18"/>
          <w:lang w:val="nl-NL"/>
        </w:rPr>
        <w:t xml:space="preserve">. </w:t>
      </w:r>
      <w:r w:rsidR="0094236F">
        <w:rPr>
          <w:szCs w:val="18"/>
          <w:lang w:val="nl-NL"/>
        </w:rPr>
        <w:t xml:space="preserve">Het kabinet ziet dit als </w:t>
      </w:r>
      <w:r w:rsidRPr="001E3DC4" w:rsidR="001E3DC4">
        <w:rPr>
          <w:szCs w:val="18"/>
          <w:lang w:val="nl-NL"/>
        </w:rPr>
        <w:t>een goed voorstel. De precieze afbakening hiervan wordt nog uitgewerkt</w:t>
      </w:r>
      <w:r w:rsidR="004A5C98">
        <w:rPr>
          <w:rStyle w:val="Voetnootmarkering"/>
          <w:szCs w:val="18"/>
          <w:lang w:val="nl-NL"/>
        </w:rPr>
        <w:footnoteReference w:id="16"/>
      </w:r>
      <w:r w:rsidRPr="001E3DC4" w:rsidR="001E3DC4">
        <w:rPr>
          <w:szCs w:val="18"/>
          <w:lang w:val="nl-NL"/>
        </w:rPr>
        <w:t>. Daarnaast heeft het Zorginstituut aandacht voor de beoordeling van kosteneffectiviteit van deze geneesmiddelen omdat dit vaak lastig is bij hele kleine aantallen patiënten.</w:t>
      </w:r>
      <w:r w:rsidR="00F01AED">
        <w:rPr>
          <w:szCs w:val="18"/>
          <w:lang w:val="nl-NL"/>
        </w:rPr>
        <w:t xml:space="preserve"> Ook hierop wordt nader ingegaan in de weesgeneesmiddelenbrief die voor de </w:t>
      </w:r>
      <w:r w:rsidR="002F1628">
        <w:rPr>
          <w:szCs w:val="18"/>
          <w:lang w:val="nl-NL"/>
        </w:rPr>
        <w:t>z</w:t>
      </w:r>
      <w:r w:rsidR="00F01AED">
        <w:rPr>
          <w:szCs w:val="18"/>
          <w:lang w:val="nl-NL"/>
        </w:rPr>
        <w:t xml:space="preserve">omer met uw Kamer wordt gedeeld. </w:t>
      </w:r>
    </w:p>
    <w:bookmarkEnd w:id="4"/>
    <w:p w:rsidR="00763DAA" w:rsidP="009831BD" w:rsidRDefault="00C8744A" w14:paraId="508E16B5" w14:textId="1E3791DD">
      <w:pPr>
        <w:pStyle w:val="Huisstijl-Aanhef"/>
        <w:spacing w:before="0" w:after="0" w:line="240" w:lineRule="atLeast"/>
        <w:rPr>
          <w:szCs w:val="18"/>
        </w:rPr>
      </w:pPr>
      <w:r w:rsidRPr="00610263">
        <w:rPr>
          <w:szCs w:val="18"/>
        </w:rPr>
        <w:t xml:space="preserve">Het is de vraag hoe wenselijk het is om </w:t>
      </w:r>
      <w:r w:rsidRPr="00610263" w:rsidR="00932185">
        <w:rPr>
          <w:szCs w:val="18"/>
        </w:rPr>
        <w:t xml:space="preserve">weesgeneesmiddelen </w:t>
      </w:r>
      <w:r w:rsidRPr="00610263" w:rsidR="003153A2">
        <w:rPr>
          <w:szCs w:val="18"/>
        </w:rPr>
        <w:t xml:space="preserve">waarvoor het wel mogelijk is om </w:t>
      </w:r>
      <w:r w:rsidRPr="00610263" w:rsidR="00D36D58">
        <w:rPr>
          <w:szCs w:val="18"/>
        </w:rPr>
        <w:t>pakketwaardigheid vast te stellen</w:t>
      </w:r>
      <w:r w:rsidRPr="009831BD" w:rsidR="009831BD">
        <w:t xml:space="preserve"> </w:t>
      </w:r>
      <w:r w:rsidRPr="009831BD" w:rsidR="009831BD">
        <w:rPr>
          <w:szCs w:val="18"/>
        </w:rPr>
        <w:t xml:space="preserve">binnen een redelijke termijn, en waarvoor een firma het onderzoek ook zelf kan uitvoeren, nog via de </w:t>
      </w:r>
      <w:r w:rsidR="009831BD">
        <w:rPr>
          <w:szCs w:val="18"/>
        </w:rPr>
        <w:t>(</w:t>
      </w:r>
      <w:r w:rsidRPr="009831BD" w:rsidR="009831BD">
        <w:rPr>
          <w:szCs w:val="18"/>
        </w:rPr>
        <w:t>O</w:t>
      </w:r>
      <w:r w:rsidR="009831BD">
        <w:rPr>
          <w:szCs w:val="18"/>
        </w:rPr>
        <w:t>)</w:t>
      </w:r>
      <w:r w:rsidRPr="009831BD" w:rsidR="009831BD">
        <w:rPr>
          <w:szCs w:val="18"/>
        </w:rPr>
        <w:t>DAP te vergoeden</w:t>
      </w:r>
      <w:r w:rsidRPr="00610263">
        <w:rPr>
          <w:szCs w:val="18"/>
        </w:rPr>
        <w:t>.</w:t>
      </w:r>
      <w:r w:rsidR="0055025B">
        <w:rPr>
          <w:szCs w:val="18"/>
        </w:rPr>
        <w:t xml:space="preserve"> </w:t>
      </w:r>
      <w:r w:rsidRPr="0055025B" w:rsidR="0055025B">
        <w:rPr>
          <w:szCs w:val="18"/>
        </w:rPr>
        <w:t xml:space="preserve">Elementen van de ODAP kunnen wel onderdeel uitmaken van het TSG, zoals afspraken over </w:t>
      </w:r>
      <w:r w:rsidR="009831BD">
        <w:rPr>
          <w:szCs w:val="18"/>
        </w:rPr>
        <w:t>gepaste</w:t>
      </w:r>
      <w:r w:rsidRPr="0055025B" w:rsidR="0055025B">
        <w:rPr>
          <w:szCs w:val="18"/>
        </w:rPr>
        <w:t xml:space="preserve"> inzet van het middel, financiële afspraken en eventueel </w:t>
      </w:r>
      <w:r w:rsidR="0055025B">
        <w:rPr>
          <w:szCs w:val="18"/>
        </w:rPr>
        <w:t>een</w:t>
      </w:r>
      <w:r w:rsidRPr="0055025B" w:rsidR="0055025B">
        <w:rPr>
          <w:szCs w:val="18"/>
        </w:rPr>
        <w:t xml:space="preserve"> </w:t>
      </w:r>
      <w:proofErr w:type="spellStart"/>
      <w:r w:rsidRPr="0055025B" w:rsidR="0055025B">
        <w:rPr>
          <w:szCs w:val="18"/>
        </w:rPr>
        <w:t>pay</w:t>
      </w:r>
      <w:proofErr w:type="spellEnd"/>
      <w:r w:rsidRPr="0055025B" w:rsidR="0055025B">
        <w:rPr>
          <w:szCs w:val="18"/>
        </w:rPr>
        <w:t>-</w:t>
      </w:r>
      <w:proofErr w:type="spellStart"/>
      <w:r w:rsidRPr="0055025B" w:rsidR="0055025B">
        <w:rPr>
          <w:szCs w:val="18"/>
        </w:rPr>
        <w:t>for</w:t>
      </w:r>
      <w:proofErr w:type="spellEnd"/>
      <w:r w:rsidRPr="0055025B" w:rsidR="0055025B">
        <w:rPr>
          <w:szCs w:val="18"/>
        </w:rPr>
        <w:t>-performance componen</w:t>
      </w:r>
      <w:r w:rsidR="009831BD">
        <w:t>t</w:t>
      </w:r>
      <w:r w:rsidR="009831BD">
        <w:rPr>
          <w:rStyle w:val="Voetnootmarkering"/>
        </w:rPr>
        <w:footnoteReference w:id="17"/>
      </w:r>
      <w:r w:rsidR="009831BD">
        <w:t xml:space="preserve">. </w:t>
      </w:r>
      <w:r w:rsidR="005D2A7C">
        <w:t>H</w:t>
      </w:r>
      <w:r w:rsidRPr="00610263">
        <w:rPr>
          <w:szCs w:val="18"/>
        </w:rPr>
        <w:t xml:space="preserve">ierover </w:t>
      </w:r>
      <w:r w:rsidR="005D2A7C">
        <w:rPr>
          <w:szCs w:val="18"/>
        </w:rPr>
        <w:t xml:space="preserve">wordt </w:t>
      </w:r>
      <w:r w:rsidRPr="00610263">
        <w:rPr>
          <w:szCs w:val="18"/>
        </w:rPr>
        <w:t xml:space="preserve">overleg </w:t>
      </w:r>
      <w:r w:rsidR="005D2A7C">
        <w:rPr>
          <w:szCs w:val="18"/>
        </w:rPr>
        <w:t xml:space="preserve">gevoerd </w:t>
      </w:r>
      <w:r w:rsidRPr="00610263">
        <w:rPr>
          <w:szCs w:val="18"/>
        </w:rPr>
        <w:t xml:space="preserve">met </w:t>
      </w:r>
      <w:r w:rsidR="00F01AED">
        <w:rPr>
          <w:szCs w:val="18"/>
        </w:rPr>
        <w:t xml:space="preserve">het Zorginstituut en </w:t>
      </w:r>
      <w:r w:rsidRPr="00610263">
        <w:rPr>
          <w:szCs w:val="18"/>
        </w:rPr>
        <w:t>de zorgverzekeraars.</w:t>
      </w:r>
    </w:p>
    <w:p w:rsidR="009831BD" w:rsidP="009831BD" w:rsidRDefault="009831BD" w14:paraId="7609EE26" w14:textId="77777777">
      <w:pPr>
        <w:rPr>
          <w:szCs w:val="18"/>
          <w:lang w:val="nl-NL"/>
        </w:rPr>
      </w:pPr>
    </w:p>
    <w:p w:rsidRPr="001D242F" w:rsidR="00D21D17" w:rsidP="00D21D17" w:rsidRDefault="00D21D17" w14:paraId="7602242F" w14:textId="77777777">
      <w:pPr>
        <w:rPr>
          <w:szCs w:val="18"/>
          <w:u w:val="single"/>
          <w:lang w:val="nl-NL"/>
        </w:rPr>
      </w:pPr>
      <w:r w:rsidRPr="001D242F">
        <w:rPr>
          <w:szCs w:val="18"/>
          <w:u w:val="single"/>
          <w:lang w:val="nl-NL"/>
        </w:rPr>
        <w:t>Criterium veelbelovend</w:t>
      </w:r>
    </w:p>
    <w:p w:rsidR="00533811" w:rsidP="00377036" w:rsidRDefault="005D2A7C" w14:paraId="4B330CFE" w14:textId="09427617">
      <w:pPr>
        <w:spacing w:after="0"/>
        <w:rPr>
          <w:szCs w:val="18"/>
          <w:lang w:val="nl-NL"/>
        </w:rPr>
      </w:pPr>
      <w:r>
        <w:rPr>
          <w:szCs w:val="18"/>
          <w:lang w:val="nl-NL"/>
        </w:rPr>
        <w:t>Het kabinet</w:t>
      </w:r>
      <w:r w:rsidR="0030084E">
        <w:rPr>
          <w:szCs w:val="18"/>
          <w:lang w:val="nl-NL"/>
        </w:rPr>
        <w:t xml:space="preserve"> vind</w:t>
      </w:r>
      <w:r>
        <w:rPr>
          <w:szCs w:val="18"/>
          <w:lang w:val="nl-NL"/>
        </w:rPr>
        <w:t>t</w:t>
      </w:r>
      <w:r w:rsidR="0030084E">
        <w:rPr>
          <w:szCs w:val="18"/>
          <w:lang w:val="nl-NL"/>
        </w:rPr>
        <w:t xml:space="preserve"> het belangrijk dat alleen veelbelovende geneesmiddelen worden vergoed via de VT. </w:t>
      </w:r>
      <w:r>
        <w:rPr>
          <w:szCs w:val="18"/>
          <w:lang w:val="nl-NL"/>
        </w:rPr>
        <w:t>Daarmee wordt</w:t>
      </w:r>
      <w:r w:rsidR="00130E35">
        <w:rPr>
          <w:szCs w:val="18"/>
          <w:lang w:val="nl-NL"/>
        </w:rPr>
        <w:t xml:space="preserve"> bedoel</w:t>
      </w:r>
      <w:r w:rsidR="005B0BBB">
        <w:rPr>
          <w:szCs w:val="18"/>
          <w:lang w:val="nl-NL"/>
        </w:rPr>
        <w:t>d</w:t>
      </w:r>
      <w:r w:rsidR="00130E35">
        <w:rPr>
          <w:szCs w:val="18"/>
          <w:lang w:val="nl-NL"/>
        </w:rPr>
        <w:t xml:space="preserve"> dat het </w:t>
      </w:r>
      <w:bookmarkStart w:name="_Hlk213668378" w:id="5"/>
      <w:r w:rsidR="002F05A9">
        <w:rPr>
          <w:szCs w:val="18"/>
          <w:lang w:val="nl-NL"/>
        </w:rPr>
        <w:t>aannemelijk</w:t>
      </w:r>
      <w:r w:rsidR="00350710">
        <w:rPr>
          <w:szCs w:val="18"/>
          <w:lang w:val="nl-NL"/>
        </w:rPr>
        <w:t xml:space="preserve"> is dat </w:t>
      </w:r>
      <w:r w:rsidR="002F05A9">
        <w:rPr>
          <w:szCs w:val="18"/>
          <w:lang w:val="nl-NL"/>
        </w:rPr>
        <w:t>patiënten</w:t>
      </w:r>
      <w:r w:rsidR="0033751B">
        <w:rPr>
          <w:szCs w:val="18"/>
          <w:lang w:val="nl-NL"/>
        </w:rPr>
        <w:t xml:space="preserve"> baat kunnen hebben </w:t>
      </w:r>
      <w:r>
        <w:rPr>
          <w:szCs w:val="18"/>
          <w:lang w:val="nl-NL"/>
        </w:rPr>
        <w:t>bij</w:t>
      </w:r>
      <w:r w:rsidR="0033751B">
        <w:rPr>
          <w:szCs w:val="18"/>
          <w:lang w:val="nl-NL"/>
        </w:rPr>
        <w:t xml:space="preserve"> </w:t>
      </w:r>
      <w:r w:rsidR="00350710">
        <w:rPr>
          <w:szCs w:val="18"/>
          <w:lang w:val="nl-NL"/>
        </w:rPr>
        <w:t>het geneesmidde</w:t>
      </w:r>
      <w:bookmarkEnd w:id="5"/>
      <w:r w:rsidR="002F05A9">
        <w:rPr>
          <w:szCs w:val="18"/>
          <w:lang w:val="nl-NL"/>
        </w:rPr>
        <w:t xml:space="preserve">l. </w:t>
      </w:r>
      <w:r w:rsidR="0030084E">
        <w:rPr>
          <w:szCs w:val="18"/>
          <w:lang w:val="nl-NL"/>
        </w:rPr>
        <w:t xml:space="preserve">Zeker nu blijkt dat veel geneesmiddelen die onder voorwaarden door </w:t>
      </w:r>
      <w:r w:rsidR="00616DB9">
        <w:rPr>
          <w:szCs w:val="18"/>
          <w:lang w:val="nl-NL"/>
        </w:rPr>
        <w:t>het</w:t>
      </w:r>
      <w:r w:rsidR="0030084E">
        <w:rPr>
          <w:szCs w:val="18"/>
          <w:lang w:val="nl-NL"/>
        </w:rPr>
        <w:t xml:space="preserve"> EMA zijn toegelaten (de </w:t>
      </w:r>
      <w:proofErr w:type="spellStart"/>
      <w:r w:rsidRPr="00831D15" w:rsidR="0030084E">
        <w:rPr>
          <w:i/>
          <w:iCs/>
          <w:szCs w:val="18"/>
          <w:lang w:val="nl-NL"/>
        </w:rPr>
        <w:t>conditionals</w:t>
      </w:r>
      <w:proofErr w:type="spellEnd"/>
      <w:r w:rsidR="0030084E">
        <w:rPr>
          <w:szCs w:val="18"/>
          <w:lang w:val="nl-NL"/>
        </w:rPr>
        <w:t xml:space="preserve">) </w:t>
      </w:r>
      <w:r w:rsidRPr="0030084E" w:rsidR="0030084E">
        <w:rPr>
          <w:szCs w:val="18"/>
          <w:lang w:val="nl-NL"/>
        </w:rPr>
        <w:t xml:space="preserve">uiteindelijk onvoldoende meerwaarde blijken te hebben. </w:t>
      </w:r>
      <w:r w:rsidR="0030084E">
        <w:rPr>
          <w:szCs w:val="18"/>
          <w:lang w:val="nl-NL"/>
        </w:rPr>
        <w:t>V</w:t>
      </w:r>
      <w:r w:rsidRPr="00533811" w:rsidR="00533811">
        <w:rPr>
          <w:szCs w:val="18"/>
          <w:lang w:val="nl-NL"/>
        </w:rPr>
        <w:t>eelbelovendheid van het geneesmiddel is op dit moment geen expliciete voorwaarde</w:t>
      </w:r>
      <w:r w:rsidR="00533811">
        <w:rPr>
          <w:szCs w:val="18"/>
          <w:lang w:val="nl-NL"/>
        </w:rPr>
        <w:t xml:space="preserve"> </w:t>
      </w:r>
      <w:r w:rsidRPr="00533811" w:rsidR="00533811">
        <w:rPr>
          <w:szCs w:val="18"/>
          <w:lang w:val="nl-NL"/>
        </w:rPr>
        <w:t>voor een VT-traject.</w:t>
      </w:r>
      <w:r w:rsidR="00533811">
        <w:rPr>
          <w:szCs w:val="18"/>
          <w:lang w:val="nl-NL"/>
        </w:rPr>
        <w:t xml:space="preserve"> Dit is bijvoorbeeld wel het geval bij de ODAP. </w:t>
      </w:r>
      <w:r w:rsidR="005B0BBB">
        <w:rPr>
          <w:szCs w:val="18"/>
          <w:lang w:val="nl-NL"/>
        </w:rPr>
        <w:t>H</w:t>
      </w:r>
      <w:r>
        <w:rPr>
          <w:szCs w:val="18"/>
          <w:lang w:val="nl-NL"/>
        </w:rPr>
        <w:t>et kab</w:t>
      </w:r>
      <w:r w:rsidR="005B0BBB">
        <w:rPr>
          <w:szCs w:val="18"/>
          <w:lang w:val="nl-NL"/>
        </w:rPr>
        <w:t>i</w:t>
      </w:r>
      <w:r>
        <w:rPr>
          <w:szCs w:val="18"/>
          <w:lang w:val="nl-NL"/>
        </w:rPr>
        <w:t>net</w:t>
      </w:r>
      <w:r w:rsidR="00D648D4">
        <w:rPr>
          <w:szCs w:val="18"/>
          <w:lang w:val="nl-NL"/>
        </w:rPr>
        <w:t xml:space="preserve"> </w:t>
      </w:r>
      <w:r w:rsidR="005B0BBB">
        <w:rPr>
          <w:szCs w:val="18"/>
          <w:lang w:val="nl-NL"/>
        </w:rPr>
        <w:t xml:space="preserve">vindt </w:t>
      </w:r>
      <w:r w:rsidR="00723ED6">
        <w:rPr>
          <w:szCs w:val="18"/>
          <w:lang w:val="nl-NL"/>
        </w:rPr>
        <w:t xml:space="preserve">het </w:t>
      </w:r>
      <w:r w:rsidR="00D648D4">
        <w:rPr>
          <w:szCs w:val="18"/>
          <w:lang w:val="nl-NL"/>
        </w:rPr>
        <w:t xml:space="preserve">wenselijk om dit criterium als formele voorwaarde toe te voegen aan de VT. Het </w:t>
      </w:r>
      <w:r w:rsidRPr="00D648D4" w:rsidR="00D648D4">
        <w:rPr>
          <w:szCs w:val="18"/>
          <w:lang w:val="nl-NL"/>
        </w:rPr>
        <w:t>zogenaamde Praktijkomschrijving introductie geneesmiddel (PIG)-formulier</w:t>
      </w:r>
      <w:r w:rsidR="00D648D4">
        <w:rPr>
          <w:szCs w:val="18"/>
          <w:lang w:val="nl-NL"/>
        </w:rPr>
        <w:t xml:space="preserve"> </w:t>
      </w:r>
      <w:r w:rsidR="00CE3650">
        <w:rPr>
          <w:szCs w:val="18"/>
          <w:lang w:val="nl-NL"/>
        </w:rPr>
        <w:t>zou een go</w:t>
      </w:r>
      <w:r w:rsidR="00D648D4">
        <w:rPr>
          <w:szCs w:val="18"/>
          <w:lang w:val="nl-NL"/>
        </w:rPr>
        <w:t>ede basis</w:t>
      </w:r>
      <w:r w:rsidR="005A4F1E">
        <w:rPr>
          <w:szCs w:val="18"/>
          <w:lang w:val="nl-NL"/>
        </w:rPr>
        <w:t xml:space="preserve"> </w:t>
      </w:r>
      <w:r w:rsidR="00CE3650">
        <w:rPr>
          <w:szCs w:val="18"/>
          <w:lang w:val="nl-NL"/>
        </w:rPr>
        <w:t xml:space="preserve">kunnen zijn </w:t>
      </w:r>
      <w:r w:rsidR="005A4F1E">
        <w:rPr>
          <w:szCs w:val="18"/>
          <w:lang w:val="nl-NL"/>
        </w:rPr>
        <w:t>om hierover informatie op te halen bij de beroepsgroep</w:t>
      </w:r>
      <w:r w:rsidR="00D648D4">
        <w:rPr>
          <w:szCs w:val="18"/>
          <w:lang w:val="nl-NL"/>
        </w:rPr>
        <w:t xml:space="preserve">. Dit formulier wordt ingevuld door de </w:t>
      </w:r>
      <w:r w:rsidRPr="00D648D4" w:rsidR="00D648D4">
        <w:rPr>
          <w:szCs w:val="18"/>
          <w:lang w:val="nl-NL"/>
        </w:rPr>
        <w:t>wetenschappelijke verenigingen voor de beoordeling van nieuwe geneesmiddelen of indicaties</w:t>
      </w:r>
      <w:r w:rsidR="00D648D4">
        <w:rPr>
          <w:szCs w:val="18"/>
          <w:lang w:val="nl-NL"/>
        </w:rPr>
        <w:t>. Hier</w:t>
      </w:r>
      <w:r w:rsidR="003C46DC">
        <w:rPr>
          <w:szCs w:val="18"/>
          <w:lang w:val="nl-NL"/>
        </w:rPr>
        <w:t>bij</w:t>
      </w:r>
      <w:r w:rsidR="00D648D4">
        <w:rPr>
          <w:szCs w:val="18"/>
          <w:lang w:val="nl-NL"/>
        </w:rPr>
        <w:t xml:space="preserve"> </w:t>
      </w:r>
      <w:r w:rsidR="009D3E3D">
        <w:rPr>
          <w:szCs w:val="18"/>
          <w:lang w:val="nl-NL"/>
        </w:rPr>
        <w:t>wordt informatie aangeleverd ten behoeve van de beoordeling van een nieuw geneesmiddel</w:t>
      </w:r>
      <w:r w:rsidR="008765CA">
        <w:rPr>
          <w:szCs w:val="18"/>
          <w:lang w:val="nl-NL"/>
        </w:rPr>
        <w:t xml:space="preserve"> en/of </w:t>
      </w:r>
      <w:r w:rsidR="008765CA">
        <w:rPr>
          <w:szCs w:val="18"/>
          <w:lang w:val="nl-NL"/>
        </w:rPr>
        <w:lastRenderedPageBreak/>
        <w:t>indicatie</w:t>
      </w:r>
      <w:r w:rsidR="00D94D97">
        <w:rPr>
          <w:szCs w:val="18"/>
          <w:lang w:val="nl-NL"/>
        </w:rPr>
        <w:t xml:space="preserve"> en </w:t>
      </w:r>
      <w:r w:rsidR="00D648D4">
        <w:rPr>
          <w:szCs w:val="18"/>
          <w:lang w:val="nl-NL"/>
        </w:rPr>
        <w:t xml:space="preserve">moet de </w:t>
      </w:r>
      <w:r w:rsidRPr="00D648D4" w:rsidR="00D648D4">
        <w:rPr>
          <w:szCs w:val="18"/>
          <w:lang w:val="nl-NL"/>
        </w:rPr>
        <w:t xml:space="preserve">toegevoegde waarde </w:t>
      </w:r>
      <w:r w:rsidR="00335B0B">
        <w:rPr>
          <w:szCs w:val="18"/>
          <w:lang w:val="nl-NL"/>
        </w:rPr>
        <w:t xml:space="preserve">van het </w:t>
      </w:r>
      <w:r w:rsidRPr="00D648D4" w:rsidR="00D648D4">
        <w:rPr>
          <w:szCs w:val="18"/>
          <w:lang w:val="nl-NL"/>
        </w:rPr>
        <w:t>geneesmiddel</w:t>
      </w:r>
      <w:r w:rsidR="00D648D4">
        <w:rPr>
          <w:szCs w:val="18"/>
          <w:lang w:val="nl-NL"/>
        </w:rPr>
        <w:t xml:space="preserve"> worden ingeschat. </w:t>
      </w:r>
      <w:r w:rsidR="00BA29F8">
        <w:rPr>
          <w:szCs w:val="18"/>
          <w:lang w:val="nl-NL"/>
        </w:rPr>
        <w:t xml:space="preserve">Op deze manier wordt het criterium ‘veelbelovend’ zo gestandaardiseerd mogelijk beoordeeld. </w:t>
      </w:r>
      <w:r>
        <w:rPr>
          <w:szCs w:val="18"/>
          <w:lang w:val="nl-NL"/>
        </w:rPr>
        <w:t>Hierover wordt</w:t>
      </w:r>
      <w:r w:rsidR="002F2F38">
        <w:rPr>
          <w:szCs w:val="18"/>
          <w:lang w:val="nl-NL"/>
        </w:rPr>
        <w:t xml:space="preserve"> overleg </w:t>
      </w:r>
      <w:r>
        <w:rPr>
          <w:szCs w:val="18"/>
          <w:lang w:val="nl-NL"/>
        </w:rPr>
        <w:t xml:space="preserve">gevoerd </w:t>
      </w:r>
      <w:r w:rsidR="002F2F38">
        <w:rPr>
          <w:szCs w:val="18"/>
          <w:lang w:val="nl-NL"/>
        </w:rPr>
        <w:t>met het Zorginstituut</w:t>
      </w:r>
      <w:r>
        <w:rPr>
          <w:szCs w:val="18"/>
          <w:lang w:val="nl-NL"/>
        </w:rPr>
        <w:t xml:space="preserve">. Het kabinet </w:t>
      </w:r>
      <w:r w:rsidR="001B49C1">
        <w:rPr>
          <w:szCs w:val="18"/>
          <w:lang w:val="nl-NL"/>
        </w:rPr>
        <w:t>wil d</w:t>
      </w:r>
      <w:r w:rsidR="00E27C17">
        <w:rPr>
          <w:szCs w:val="18"/>
          <w:lang w:val="nl-NL"/>
        </w:rPr>
        <w:t xml:space="preserve">eze </w:t>
      </w:r>
      <w:r w:rsidR="00616DB9">
        <w:rPr>
          <w:szCs w:val="18"/>
          <w:lang w:val="nl-NL"/>
        </w:rPr>
        <w:t>voorwaarde</w:t>
      </w:r>
      <w:r w:rsidR="001B49C1">
        <w:rPr>
          <w:szCs w:val="18"/>
          <w:lang w:val="nl-NL"/>
        </w:rPr>
        <w:t xml:space="preserve"> zo spoedig mogelijk invoeren</w:t>
      </w:r>
      <w:r w:rsidR="002F2F38">
        <w:rPr>
          <w:szCs w:val="18"/>
          <w:lang w:val="nl-NL"/>
        </w:rPr>
        <w:t xml:space="preserve">. </w:t>
      </w:r>
    </w:p>
    <w:p w:rsidR="00D21D17" w:rsidP="00C5423D" w:rsidRDefault="00D21D17" w14:paraId="00865819" w14:textId="77777777">
      <w:pPr>
        <w:rPr>
          <w:szCs w:val="18"/>
          <w:u w:val="single"/>
          <w:lang w:val="nl-NL"/>
        </w:rPr>
      </w:pPr>
    </w:p>
    <w:p w:rsidRPr="00F623EE" w:rsidR="00F623EE" w:rsidP="00C5423D" w:rsidRDefault="00F623EE" w14:paraId="3CEE792B" w14:textId="77777777">
      <w:pPr>
        <w:rPr>
          <w:szCs w:val="18"/>
          <w:u w:val="single"/>
          <w:lang w:val="nl-NL"/>
        </w:rPr>
      </w:pPr>
      <w:r w:rsidRPr="00F623EE">
        <w:rPr>
          <w:szCs w:val="18"/>
          <w:u w:val="single"/>
          <w:lang w:val="nl-NL"/>
        </w:rPr>
        <w:t>Sterk verlaagde prijs</w:t>
      </w:r>
      <w:r w:rsidR="00E21441">
        <w:rPr>
          <w:szCs w:val="18"/>
          <w:u w:val="single"/>
          <w:lang w:val="nl-NL"/>
        </w:rPr>
        <w:t xml:space="preserve"> en transparantie over de uitgaven</w:t>
      </w:r>
    </w:p>
    <w:p w:rsidR="00897E98" w:rsidP="00C5423D" w:rsidRDefault="00C024DA" w14:paraId="23AB4868" w14:textId="51DE47E0">
      <w:pPr>
        <w:rPr>
          <w:szCs w:val="18"/>
          <w:lang w:val="nl-NL"/>
        </w:rPr>
      </w:pPr>
      <w:bookmarkStart w:name="_Hlk222385253" w:id="6"/>
      <w:r>
        <w:rPr>
          <w:szCs w:val="18"/>
          <w:lang w:val="nl-NL"/>
        </w:rPr>
        <w:t xml:space="preserve">Tijdens de evaluatie is onderzocht hoe </w:t>
      </w:r>
      <w:r w:rsidRPr="00A8125B" w:rsidR="00A8125B">
        <w:rPr>
          <w:szCs w:val="18"/>
          <w:lang w:val="nl-NL"/>
        </w:rPr>
        <w:t xml:space="preserve">de </w:t>
      </w:r>
      <w:r w:rsidR="00616DB9">
        <w:rPr>
          <w:szCs w:val="18"/>
          <w:lang w:val="nl-NL"/>
        </w:rPr>
        <w:t xml:space="preserve">voorwaarde van een </w:t>
      </w:r>
      <w:r w:rsidRPr="00A8125B" w:rsidR="00A8125B">
        <w:rPr>
          <w:szCs w:val="18"/>
          <w:lang w:val="nl-NL"/>
        </w:rPr>
        <w:t>‘sterk verlaagde prijs’</w:t>
      </w:r>
      <w:r w:rsidR="00B25138">
        <w:rPr>
          <w:szCs w:val="18"/>
          <w:lang w:val="nl-NL"/>
        </w:rPr>
        <w:t xml:space="preserve"> </w:t>
      </w:r>
      <w:r>
        <w:rPr>
          <w:szCs w:val="18"/>
          <w:lang w:val="nl-NL"/>
        </w:rPr>
        <w:t>kan worden geconcretiseerd</w:t>
      </w:r>
      <w:bookmarkEnd w:id="6"/>
      <w:r w:rsidRPr="00A8125B" w:rsidR="00A8125B">
        <w:rPr>
          <w:szCs w:val="18"/>
          <w:lang w:val="nl-NL"/>
        </w:rPr>
        <w:t xml:space="preserve">. </w:t>
      </w:r>
      <w:r w:rsidR="00F10CA3">
        <w:rPr>
          <w:szCs w:val="18"/>
          <w:lang w:val="nl-NL"/>
        </w:rPr>
        <w:t xml:space="preserve">Dit is een belangrijke voorwaarde voor de VT omdat de </w:t>
      </w:r>
      <w:r w:rsidRPr="00F10CA3" w:rsidR="00F10CA3">
        <w:rPr>
          <w:szCs w:val="18"/>
          <w:lang w:val="nl-NL"/>
        </w:rPr>
        <w:t xml:space="preserve">effectiviteit van het </w:t>
      </w:r>
      <w:r w:rsidR="00F10CA3">
        <w:rPr>
          <w:szCs w:val="18"/>
          <w:lang w:val="nl-NL"/>
        </w:rPr>
        <w:t>genees</w:t>
      </w:r>
      <w:r w:rsidRPr="00F10CA3" w:rsidR="00F10CA3">
        <w:rPr>
          <w:szCs w:val="18"/>
          <w:lang w:val="nl-NL"/>
        </w:rPr>
        <w:t xml:space="preserve">middel nog </w:t>
      </w:r>
      <w:r w:rsidR="00B25138">
        <w:rPr>
          <w:szCs w:val="18"/>
          <w:lang w:val="nl-NL"/>
        </w:rPr>
        <w:t>on</w:t>
      </w:r>
      <w:r w:rsidRPr="00F10CA3" w:rsidR="00F10CA3">
        <w:rPr>
          <w:szCs w:val="18"/>
          <w:lang w:val="nl-NL"/>
        </w:rPr>
        <w:t xml:space="preserve">voldoende </w:t>
      </w:r>
      <w:r w:rsidR="00F10CA3">
        <w:rPr>
          <w:szCs w:val="18"/>
          <w:lang w:val="nl-NL"/>
        </w:rPr>
        <w:t xml:space="preserve">is </w:t>
      </w:r>
      <w:r w:rsidRPr="00F10CA3" w:rsidR="00F10CA3">
        <w:rPr>
          <w:szCs w:val="18"/>
          <w:lang w:val="nl-NL"/>
        </w:rPr>
        <w:t xml:space="preserve">aangetoond. </w:t>
      </w:r>
      <w:r w:rsidRPr="00B25138" w:rsidR="00B25138">
        <w:rPr>
          <w:szCs w:val="18"/>
          <w:lang w:val="nl-NL"/>
        </w:rPr>
        <w:t xml:space="preserve">Het rapport stelt voor dat het Zorginstituut VWS </w:t>
      </w:r>
      <w:r w:rsidR="00002E34">
        <w:rPr>
          <w:szCs w:val="18"/>
          <w:lang w:val="nl-NL"/>
        </w:rPr>
        <w:t xml:space="preserve">adviseert </w:t>
      </w:r>
      <w:r w:rsidRPr="00B25138" w:rsidR="00B25138">
        <w:rPr>
          <w:szCs w:val="18"/>
          <w:lang w:val="nl-NL"/>
        </w:rPr>
        <w:t>over de maatschappelijk gewenste korting</w:t>
      </w:r>
      <w:r w:rsidR="00B25138">
        <w:rPr>
          <w:szCs w:val="18"/>
          <w:lang w:val="nl-NL"/>
        </w:rPr>
        <w:t xml:space="preserve"> </w:t>
      </w:r>
      <w:r w:rsidRPr="00A8125B" w:rsidR="00A8125B">
        <w:rPr>
          <w:szCs w:val="18"/>
          <w:lang w:val="nl-NL"/>
        </w:rPr>
        <w:t xml:space="preserve">en </w:t>
      </w:r>
      <w:r w:rsidR="00F10CA3">
        <w:rPr>
          <w:szCs w:val="18"/>
          <w:lang w:val="nl-NL"/>
        </w:rPr>
        <w:t xml:space="preserve">dat </w:t>
      </w:r>
      <w:r w:rsidRPr="00A8125B" w:rsidR="00A8125B">
        <w:rPr>
          <w:szCs w:val="18"/>
          <w:lang w:val="nl-NL"/>
        </w:rPr>
        <w:t xml:space="preserve">dit advies </w:t>
      </w:r>
      <w:r w:rsidR="00F10CA3">
        <w:rPr>
          <w:szCs w:val="18"/>
          <w:lang w:val="nl-NL"/>
        </w:rPr>
        <w:t>wordt</w:t>
      </w:r>
      <w:r w:rsidRPr="00A8125B" w:rsidR="00A8125B">
        <w:rPr>
          <w:szCs w:val="18"/>
          <w:lang w:val="nl-NL"/>
        </w:rPr>
        <w:t xml:space="preserve"> onderbouw</w:t>
      </w:r>
      <w:r w:rsidR="00F10CA3">
        <w:rPr>
          <w:szCs w:val="18"/>
          <w:lang w:val="nl-NL"/>
        </w:rPr>
        <w:t>d</w:t>
      </w:r>
      <w:r w:rsidRPr="00A8125B" w:rsidR="00A8125B">
        <w:rPr>
          <w:szCs w:val="18"/>
          <w:lang w:val="nl-NL"/>
        </w:rPr>
        <w:t xml:space="preserve"> op basis van de </w:t>
      </w:r>
      <w:r w:rsidR="00150497">
        <w:rPr>
          <w:szCs w:val="18"/>
          <w:lang w:val="nl-NL"/>
        </w:rPr>
        <w:t xml:space="preserve">zogenaamde </w:t>
      </w:r>
      <w:proofErr w:type="spellStart"/>
      <w:r w:rsidRPr="00B25138" w:rsidR="00A8125B">
        <w:rPr>
          <w:i/>
          <w:iCs/>
          <w:szCs w:val="18"/>
          <w:lang w:val="nl-NL"/>
        </w:rPr>
        <w:t>evidence</w:t>
      </w:r>
      <w:proofErr w:type="spellEnd"/>
      <w:r w:rsidRPr="00B25138" w:rsidR="00A8125B">
        <w:rPr>
          <w:i/>
          <w:iCs/>
          <w:szCs w:val="18"/>
          <w:lang w:val="nl-NL"/>
        </w:rPr>
        <w:t xml:space="preserve"> gap</w:t>
      </w:r>
      <w:r w:rsidR="00150497">
        <w:rPr>
          <w:szCs w:val="18"/>
          <w:lang w:val="nl-NL"/>
        </w:rPr>
        <w:t xml:space="preserve"> (</w:t>
      </w:r>
      <w:r w:rsidRPr="00150497" w:rsidR="00150497">
        <w:rPr>
          <w:szCs w:val="18"/>
          <w:lang w:val="nl-NL"/>
        </w:rPr>
        <w:t>onzekerheid rondom de effectiviteit</w:t>
      </w:r>
      <w:r w:rsidR="00150497">
        <w:rPr>
          <w:szCs w:val="18"/>
          <w:lang w:val="nl-NL"/>
        </w:rPr>
        <w:t xml:space="preserve">). </w:t>
      </w:r>
      <w:r w:rsidRPr="006627C8" w:rsidR="006627C8">
        <w:rPr>
          <w:szCs w:val="18"/>
          <w:lang w:val="nl-NL"/>
        </w:rPr>
        <w:t xml:space="preserve">De benodigde prijskorting is hierbij dus afhankelijk van de mate van onzekerheid. </w:t>
      </w:r>
      <w:r w:rsidR="00295770">
        <w:rPr>
          <w:szCs w:val="18"/>
          <w:lang w:val="nl-NL"/>
        </w:rPr>
        <w:t>Het kabinet is</w:t>
      </w:r>
      <w:r w:rsidR="00150497">
        <w:rPr>
          <w:szCs w:val="18"/>
          <w:lang w:val="nl-NL"/>
        </w:rPr>
        <w:t xml:space="preserve"> hierover </w:t>
      </w:r>
      <w:r w:rsidR="00002E34">
        <w:rPr>
          <w:szCs w:val="18"/>
          <w:lang w:val="nl-NL"/>
        </w:rPr>
        <w:t>in beginsel positief</w:t>
      </w:r>
      <w:r w:rsidR="00150497">
        <w:rPr>
          <w:szCs w:val="18"/>
          <w:lang w:val="nl-NL"/>
        </w:rPr>
        <w:t xml:space="preserve">. </w:t>
      </w:r>
      <w:r w:rsidR="00897E98">
        <w:rPr>
          <w:szCs w:val="18"/>
          <w:lang w:val="nl-NL"/>
        </w:rPr>
        <w:t>In het recent uitgebracht</w:t>
      </w:r>
      <w:r w:rsidR="00BC7B9B">
        <w:rPr>
          <w:szCs w:val="18"/>
          <w:lang w:val="nl-NL"/>
        </w:rPr>
        <w:t xml:space="preserve"> advies </w:t>
      </w:r>
      <w:r w:rsidR="00897E98">
        <w:rPr>
          <w:szCs w:val="18"/>
          <w:lang w:val="nl-NL"/>
        </w:rPr>
        <w:t xml:space="preserve">MAUG </w:t>
      </w:r>
      <w:r w:rsidR="00BC7B9B">
        <w:rPr>
          <w:szCs w:val="18"/>
          <w:lang w:val="nl-NL"/>
        </w:rPr>
        <w:t xml:space="preserve">dat </w:t>
      </w:r>
      <w:r w:rsidR="004F3E3E">
        <w:rPr>
          <w:szCs w:val="18"/>
          <w:lang w:val="nl-NL"/>
        </w:rPr>
        <w:t>het kabinet heeft</w:t>
      </w:r>
      <w:r w:rsidR="00BC7B9B">
        <w:rPr>
          <w:szCs w:val="18"/>
          <w:lang w:val="nl-NL"/>
        </w:rPr>
        <w:t xml:space="preserve"> ontvangen van </w:t>
      </w:r>
      <w:r w:rsidR="004F3E3E">
        <w:rPr>
          <w:szCs w:val="18"/>
          <w:lang w:val="nl-NL"/>
        </w:rPr>
        <w:t xml:space="preserve">de </w:t>
      </w:r>
      <w:r w:rsidR="00BC7B9B">
        <w:rPr>
          <w:szCs w:val="18"/>
          <w:lang w:val="nl-NL"/>
        </w:rPr>
        <w:t xml:space="preserve">ACM, </w:t>
      </w:r>
      <w:proofErr w:type="spellStart"/>
      <w:r w:rsidR="00BC7B9B">
        <w:rPr>
          <w:szCs w:val="18"/>
          <w:lang w:val="nl-NL"/>
        </w:rPr>
        <w:t>NZa</w:t>
      </w:r>
      <w:proofErr w:type="spellEnd"/>
      <w:r w:rsidR="00BC7B9B">
        <w:rPr>
          <w:szCs w:val="18"/>
          <w:lang w:val="nl-NL"/>
        </w:rPr>
        <w:t xml:space="preserve"> en Zorginstituut</w:t>
      </w:r>
      <w:r w:rsidR="005C308E">
        <w:rPr>
          <w:rStyle w:val="Voetnootmarkering"/>
          <w:szCs w:val="18"/>
          <w:lang w:val="nl-NL"/>
        </w:rPr>
        <w:footnoteReference w:id="18"/>
      </w:r>
      <w:r w:rsidR="00BC7B9B">
        <w:rPr>
          <w:szCs w:val="18"/>
          <w:lang w:val="nl-NL"/>
        </w:rPr>
        <w:t xml:space="preserve"> </w:t>
      </w:r>
      <w:r w:rsidR="002D3E20">
        <w:rPr>
          <w:szCs w:val="18"/>
          <w:lang w:val="nl-NL"/>
        </w:rPr>
        <w:t xml:space="preserve">is één van de </w:t>
      </w:r>
      <w:r w:rsidR="002F1628">
        <w:rPr>
          <w:szCs w:val="18"/>
          <w:lang w:val="nl-NL"/>
        </w:rPr>
        <w:t>zes</w:t>
      </w:r>
      <w:r w:rsidR="002D3E20">
        <w:rPr>
          <w:szCs w:val="18"/>
          <w:lang w:val="nl-NL"/>
        </w:rPr>
        <w:t xml:space="preserve"> uitgangspunten bij het beoordelen van een maatschappelijk aanvaardbare prijs het meewegen van de onzekerheid. </w:t>
      </w:r>
      <w:r w:rsidR="00E34014">
        <w:rPr>
          <w:szCs w:val="18"/>
          <w:lang w:val="nl-NL"/>
        </w:rPr>
        <w:t xml:space="preserve">Dit zou </w:t>
      </w:r>
      <w:r w:rsidR="002D3E20">
        <w:rPr>
          <w:szCs w:val="18"/>
          <w:lang w:val="nl-NL"/>
        </w:rPr>
        <w:t xml:space="preserve">toegepast </w:t>
      </w:r>
      <w:r w:rsidR="00E34014">
        <w:rPr>
          <w:szCs w:val="18"/>
          <w:lang w:val="nl-NL"/>
        </w:rPr>
        <w:t xml:space="preserve">kunnen worden </w:t>
      </w:r>
      <w:r w:rsidR="002D3E20">
        <w:rPr>
          <w:szCs w:val="18"/>
          <w:lang w:val="nl-NL"/>
        </w:rPr>
        <w:t xml:space="preserve">op de advisering over de prijs voor de middelen in de VT. </w:t>
      </w:r>
      <w:r w:rsidRPr="00E34014" w:rsidR="00E34014">
        <w:rPr>
          <w:szCs w:val="18"/>
          <w:lang w:val="nl-NL"/>
        </w:rPr>
        <w:t xml:space="preserve">De vraag is echter of deze methode toepasbaar is op </w:t>
      </w:r>
      <w:r w:rsidR="00E34014">
        <w:rPr>
          <w:szCs w:val="18"/>
          <w:lang w:val="nl-NL"/>
        </w:rPr>
        <w:t xml:space="preserve">onderzoek waar de Nederlandse </w:t>
      </w:r>
      <w:r w:rsidRPr="00E34014" w:rsidR="00E34014">
        <w:rPr>
          <w:szCs w:val="18"/>
          <w:lang w:val="nl-NL"/>
        </w:rPr>
        <w:t xml:space="preserve">situatie afwijkt. In dat geval is de </w:t>
      </w:r>
      <w:proofErr w:type="spellStart"/>
      <w:r w:rsidRPr="00CE3650" w:rsidR="00E34014">
        <w:rPr>
          <w:i/>
          <w:iCs/>
          <w:szCs w:val="18"/>
          <w:lang w:val="nl-NL"/>
        </w:rPr>
        <w:t>evidence</w:t>
      </w:r>
      <w:proofErr w:type="spellEnd"/>
      <w:r w:rsidRPr="00CE3650" w:rsidR="00E34014">
        <w:rPr>
          <w:i/>
          <w:iCs/>
          <w:szCs w:val="18"/>
          <w:lang w:val="nl-NL"/>
        </w:rPr>
        <w:t xml:space="preserve"> gap</w:t>
      </w:r>
      <w:r w:rsidRPr="00E34014" w:rsidR="00E34014">
        <w:rPr>
          <w:szCs w:val="18"/>
          <w:lang w:val="nl-NL"/>
        </w:rPr>
        <w:t xml:space="preserve"> moeilijk te definiëren.</w:t>
      </w:r>
      <w:r w:rsidR="00E34014">
        <w:rPr>
          <w:szCs w:val="18"/>
          <w:lang w:val="nl-NL"/>
        </w:rPr>
        <w:t xml:space="preserve"> </w:t>
      </w:r>
      <w:r w:rsidR="004F3E3E">
        <w:rPr>
          <w:szCs w:val="18"/>
          <w:lang w:val="nl-NL"/>
        </w:rPr>
        <w:t>H</w:t>
      </w:r>
      <w:r w:rsidR="008E37EF">
        <w:rPr>
          <w:szCs w:val="18"/>
          <w:lang w:val="nl-NL"/>
        </w:rPr>
        <w:t xml:space="preserve">ierover </w:t>
      </w:r>
      <w:r w:rsidR="004F3E3E">
        <w:rPr>
          <w:szCs w:val="18"/>
          <w:lang w:val="nl-NL"/>
        </w:rPr>
        <w:t xml:space="preserve">wordt </w:t>
      </w:r>
      <w:r w:rsidR="008E37EF">
        <w:rPr>
          <w:szCs w:val="18"/>
          <w:lang w:val="nl-NL"/>
        </w:rPr>
        <w:t xml:space="preserve">verleg </w:t>
      </w:r>
      <w:r w:rsidR="004F3E3E">
        <w:rPr>
          <w:szCs w:val="18"/>
          <w:lang w:val="nl-NL"/>
        </w:rPr>
        <w:t xml:space="preserve">gevoerd </w:t>
      </w:r>
      <w:r w:rsidR="008E37EF">
        <w:rPr>
          <w:szCs w:val="18"/>
          <w:lang w:val="nl-NL"/>
        </w:rPr>
        <w:t>met het Zorginstituut</w:t>
      </w:r>
      <w:r w:rsidR="00E14709">
        <w:rPr>
          <w:szCs w:val="18"/>
          <w:lang w:val="nl-NL"/>
        </w:rPr>
        <w:t>.</w:t>
      </w:r>
    </w:p>
    <w:p w:rsidRPr="00E27C17" w:rsidR="00271290" w:rsidP="009A26E6" w:rsidRDefault="007D2786" w14:paraId="7D057E4B" w14:textId="5FFEACEF">
      <w:pPr>
        <w:rPr>
          <w:lang w:val="nl-NL"/>
        </w:rPr>
      </w:pPr>
      <w:r>
        <w:rPr>
          <w:szCs w:val="18"/>
          <w:lang w:val="nl-NL"/>
        </w:rPr>
        <w:t>H</w:t>
      </w:r>
      <w:r w:rsidRPr="001C0E93" w:rsidR="001C0E93">
        <w:rPr>
          <w:szCs w:val="18"/>
          <w:lang w:val="nl-NL"/>
        </w:rPr>
        <w:t xml:space="preserve">et evaluatierapport </w:t>
      </w:r>
      <w:r>
        <w:rPr>
          <w:szCs w:val="18"/>
          <w:lang w:val="nl-NL"/>
        </w:rPr>
        <w:t xml:space="preserve">adviseert </w:t>
      </w:r>
      <w:r w:rsidRPr="001C0E93" w:rsidR="001C0E93">
        <w:rPr>
          <w:szCs w:val="18"/>
          <w:lang w:val="nl-NL"/>
        </w:rPr>
        <w:t xml:space="preserve">om de huidige manier van onderhandelen te blijven handhaven </w:t>
      </w:r>
      <w:r>
        <w:rPr>
          <w:szCs w:val="18"/>
          <w:lang w:val="nl-NL"/>
        </w:rPr>
        <w:t xml:space="preserve">wanneer zou blijken dat </w:t>
      </w:r>
      <w:r w:rsidRPr="007D2786">
        <w:rPr>
          <w:szCs w:val="18"/>
          <w:lang w:val="nl-NL"/>
        </w:rPr>
        <w:t xml:space="preserve">de </w:t>
      </w:r>
      <w:proofErr w:type="spellStart"/>
      <w:r w:rsidRPr="00416B26">
        <w:rPr>
          <w:i/>
          <w:iCs/>
          <w:szCs w:val="18"/>
          <w:lang w:val="nl-NL"/>
        </w:rPr>
        <w:t>evidence</w:t>
      </w:r>
      <w:proofErr w:type="spellEnd"/>
      <w:r w:rsidRPr="00416B26">
        <w:rPr>
          <w:i/>
          <w:iCs/>
          <w:szCs w:val="18"/>
          <w:lang w:val="nl-NL"/>
        </w:rPr>
        <w:t xml:space="preserve"> gap</w:t>
      </w:r>
      <w:r w:rsidRPr="007D2786">
        <w:rPr>
          <w:szCs w:val="18"/>
          <w:lang w:val="nl-NL"/>
        </w:rPr>
        <w:t xml:space="preserve"> methode niet op proportionele wijze </w:t>
      </w:r>
      <w:r>
        <w:rPr>
          <w:szCs w:val="18"/>
          <w:lang w:val="nl-NL"/>
        </w:rPr>
        <w:t>kan worden geïmplementeerd.</w:t>
      </w:r>
      <w:r w:rsidRPr="007D2786">
        <w:rPr>
          <w:szCs w:val="18"/>
          <w:lang w:val="nl-NL"/>
        </w:rPr>
        <w:t xml:space="preserve"> </w:t>
      </w:r>
      <w:r w:rsidR="003C3B66">
        <w:rPr>
          <w:szCs w:val="18"/>
          <w:lang w:val="nl-NL"/>
        </w:rPr>
        <w:t xml:space="preserve">In dat geval wordt onderhandeld over de sterk verlaagde prijs, zonder dat het Zorginstituut een kortingsadvies geeft. </w:t>
      </w:r>
      <w:r w:rsidRPr="001C0E93" w:rsidR="001C0E93">
        <w:rPr>
          <w:szCs w:val="18"/>
          <w:lang w:val="nl-NL"/>
        </w:rPr>
        <w:t xml:space="preserve">De prijs die VWS </w:t>
      </w:r>
      <w:r w:rsidR="006A43ED">
        <w:rPr>
          <w:szCs w:val="18"/>
          <w:lang w:val="nl-NL"/>
        </w:rPr>
        <w:t xml:space="preserve">dan </w:t>
      </w:r>
      <w:r w:rsidRPr="001C0E93" w:rsidR="001C0E93">
        <w:rPr>
          <w:szCs w:val="18"/>
          <w:lang w:val="nl-NL"/>
        </w:rPr>
        <w:t>betaalt wordt vooral bepaald door het totale budget dat voor de VT beschikbaar is, gedeeld door het verwachte aantal VT-trajecten.</w:t>
      </w:r>
      <w:r w:rsidRPr="006364D8" w:rsidR="00BD4D2E">
        <w:rPr>
          <w:lang w:val="nl-NL"/>
        </w:rPr>
        <w:t xml:space="preserve"> </w:t>
      </w:r>
      <w:r w:rsidR="00BD4D2E">
        <w:rPr>
          <w:lang w:val="nl-NL"/>
        </w:rPr>
        <w:t>Daarbij kan worden overwogen een m</w:t>
      </w:r>
      <w:r w:rsidRPr="00BD4D2E" w:rsidR="00BD4D2E">
        <w:rPr>
          <w:szCs w:val="18"/>
          <w:lang w:val="nl-NL"/>
        </w:rPr>
        <w:t xml:space="preserve">aximum budget </w:t>
      </w:r>
      <w:r w:rsidR="00BD4D2E">
        <w:rPr>
          <w:szCs w:val="18"/>
          <w:lang w:val="nl-NL"/>
        </w:rPr>
        <w:t xml:space="preserve">per VT te hanteren, </w:t>
      </w:r>
      <w:r w:rsidRPr="00BD4D2E" w:rsidR="00BD4D2E">
        <w:rPr>
          <w:szCs w:val="18"/>
          <w:lang w:val="nl-NL"/>
        </w:rPr>
        <w:t>b.v. 3 miljoen euro</w:t>
      </w:r>
      <w:r w:rsidR="00A35F8B">
        <w:rPr>
          <w:szCs w:val="18"/>
          <w:lang w:val="nl-NL"/>
        </w:rPr>
        <w:t xml:space="preserve">. </w:t>
      </w:r>
      <w:r w:rsidR="00733B1C">
        <w:rPr>
          <w:szCs w:val="18"/>
          <w:lang w:val="nl-NL"/>
        </w:rPr>
        <w:t xml:space="preserve">Dit bedrag </w:t>
      </w:r>
      <w:r w:rsidR="00AC0345">
        <w:rPr>
          <w:szCs w:val="18"/>
          <w:lang w:val="nl-NL"/>
        </w:rPr>
        <w:t xml:space="preserve">past bij </w:t>
      </w:r>
      <w:r w:rsidR="00733B1C">
        <w:rPr>
          <w:szCs w:val="18"/>
          <w:lang w:val="nl-NL"/>
        </w:rPr>
        <w:t xml:space="preserve">een aantal van twee VT trajecten per jaar, een </w:t>
      </w:r>
      <w:r w:rsidR="00017288">
        <w:rPr>
          <w:szCs w:val="18"/>
          <w:lang w:val="nl-NL"/>
        </w:rPr>
        <w:t xml:space="preserve">maximale </w:t>
      </w:r>
      <w:r w:rsidR="00733B1C">
        <w:rPr>
          <w:szCs w:val="18"/>
          <w:lang w:val="nl-NL"/>
        </w:rPr>
        <w:t xml:space="preserve">duur van </w:t>
      </w:r>
      <w:r w:rsidR="00017288">
        <w:rPr>
          <w:szCs w:val="18"/>
          <w:lang w:val="nl-NL"/>
        </w:rPr>
        <w:t>6</w:t>
      </w:r>
      <w:r w:rsidR="00733B1C">
        <w:rPr>
          <w:szCs w:val="18"/>
          <w:lang w:val="nl-NL"/>
        </w:rPr>
        <w:t xml:space="preserve"> jaar en een budget van 38 miljoen. </w:t>
      </w:r>
      <w:r w:rsidR="00A17836">
        <w:rPr>
          <w:szCs w:val="18"/>
          <w:lang w:val="nl-NL"/>
        </w:rPr>
        <w:t>H</w:t>
      </w:r>
      <w:r w:rsidR="000C2D51">
        <w:rPr>
          <w:szCs w:val="18"/>
          <w:lang w:val="nl-NL"/>
        </w:rPr>
        <w:t xml:space="preserve">iermee kan worden voorkomen dat een onevenredig groot budget aan </w:t>
      </w:r>
      <w:r w:rsidR="00EB7DFE">
        <w:rPr>
          <w:szCs w:val="18"/>
          <w:lang w:val="nl-NL"/>
        </w:rPr>
        <w:t>éé</w:t>
      </w:r>
      <w:r w:rsidR="000C2D51">
        <w:rPr>
          <w:szCs w:val="18"/>
          <w:lang w:val="nl-NL"/>
        </w:rPr>
        <w:t>n VT traject wordt uitgegeven</w:t>
      </w:r>
      <w:r w:rsidR="00E27C17">
        <w:rPr>
          <w:lang w:val="nl-NL"/>
        </w:rPr>
        <w:t xml:space="preserve">. </w:t>
      </w:r>
      <w:r w:rsidR="00416B26">
        <w:rPr>
          <w:szCs w:val="18"/>
          <w:lang w:val="nl-NL"/>
        </w:rPr>
        <w:t xml:space="preserve">Na afronding van de VT, wanneer </w:t>
      </w:r>
      <w:r w:rsidR="00C37DFE">
        <w:rPr>
          <w:szCs w:val="18"/>
          <w:lang w:val="nl-NL"/>
        </w:rPr>
        <w:t>de effectiviteit</w:t>
      </w:r>
      <w:r w:rsidR="00416B26">
        <w:rPr>
          <w:szCs w:val="18"/>
          <w:lang w:val="nl-NL"/>
        </w:rPr>
        <w:t xml:space="preserve"> is aangetoond en het geneesmiddel </w:t>
      </w:r>
      <w:r w:rsidR="006627C8">
        <w:rPr>
          <w:szCs w:val="18"/>
          <w:lang w:val="nl-NL"/>
        </w:rPr>
        <w:t>(</w:t>
      </w:r>
      <w:r w:rsidR="00416B26">
        <w:rPr>
          <w:szCs w:val="18"/>
          <w:lang w:val="nl-NL"/>
        </w:rPr>
        <w:t>kosten</w:t>
      </w:r>
      <w:r w:rsidR="006627C8">
        <w:rPr>
          <w:szCs w:val="18"/>
          <w:lang w:val="nl-NL"/>
        </w:rPr>
        <w:t>)</w:t>
      </w:r>
      <w:r w:rsidR="00416B26">
        <w:rPr>
          <w:szCs w:val="18"/>
          <w:lang w:val="nl-NL"/>
        </w:rPr>
        <w:t>effectief is bevonden, kan</w:t>
      </w:r>
      <w:r w:rsidR="000134F9">
        <w:rPr>
          <w:szCs w:val="18"/>
          <w:lang w:val="nl-NL"/>
        </w:rPr>
        <w:t>, indien mogelijk,</w:t>
      </w:r>
      <w:r w:rsidR="00416B26">
        <w:rPr>
          <w:szCs w:val="18"/>
          <w:lang w:val="nl-NL"/>
        </w:rPr>
        <w:t xml:space="preserve"> worden overwogen om </w:t>
      </w:r>
      <w:r w:rsidR="00E83946">
        <w:rPr>
          <w:szCs w:val="18"/>
          <w:lang w:val="nl-NL"/>
        </w:rPr>
        <w:t xml:space="preserve">bij de prijsonderhandelingen over de definitieve prijs rekening te houden met de </w:t>
      </w:r>
      <w:r w:rsidR="00A17836">
        <w:rPr>
          <w:szCs w:val="18"/>
          <w:lang w:val="nl-NL"/>
        </w:rPr>
        <w:t xml:space="preserve">eventuele </w:t>
      </w:r>
      <w:r w:rsidR="00E83946">
        <w:rPr>
          <w:szCs w:val="18"/>
          <w:lang w:val="nl-NL"/>
        </w:rPr>
        <w:t>misgelopen inkomsten.</w:t>
      </w:r>
      <w:r w:rsidRPr="00BD4D2E" w:rsidR="00BD4D2E">
        <w:rPr>
          <w:szCs w:val="18"/>
          <w:lang w:val="nl-NL"/>
        </w:rPr>
        <w:t xml:space="preserve"> </w:t>
      </w:r>
      <w:r w:rsidR="0005744B">
        <w:rPr>
          <w:szCs w:val="18"/>
          <w:lang w:val="nl-NL"/>
        </w:rPr>
        <w:t>B</w:t>
      </w:r>
      <w:r w:rsidRPr="0005744B" w:rsidR="0005744B">
        <w:rPr>
          <w:szCs w:val="18"/>
          <w:lang w:val="nl-NL"/>
        </w:rPr>
        <w:t xml:space="preserve">ij </w:t>
      </w:r>
      <w:r w:rsidR="0005744B">
        <w:rPr>
          <w:szCs w:val="18"/>
          <w:lang w:val="nl-NL"/>
        </w:rPr>
        <w:t xml:space="preserve">een </w:t>
      </w:r>
      <w:r w:rsidRPr="0005744B" w:rsidR="0005744B">
        <w:rPr>
          <w:szCs w:val="18"/>
          <w:lang w:val="nl-NL"/>
        </w:rPr>
        <w:t xml:space="preserve">negatieve uitkomst </w:t>
      </w:r>
      <w:r w:rsidR="0005744B">
        <w:rPr>
          <w:szCs w:val="18"/>
          <w:lang w:val="nl-NL"/>
        </w:rPr>
        <w:t xml:space="preserve">worden de reeds gemaakte uitgaven niet teruggevorderd. </w:t>
      </w:r>
    </w:p>
    <w:p w:rsidRPr="00F92DB0" w:rsidR="001C0E93" w:rsidP="564FB139" w:rsidRDefault="009A26E6" w14:paraId="56CAEC25" w14:textId="77777777">
      <w:pPr>
        <w:rPr>
          <w:lang w:val="nl-NL"/>
        </w:rPr>
      </w:pPr>
      <w:r w:rsidRPr="00F92DB0">
        <w:rPr>
          <w:lang w:val="nl-NL"/>
        </w:rPr>
        <w:t>De vraag of het beschikbare budget voor de VT voldoende is</w:t>
      </w:r>
      <w:r w:rsidR="00763DAA">
        <w:rPr>
          <w:lang w:val="nl-NL"/>
        </w:rPr>
        <w:t>,</w:t>
      </w:r>
      <w:r w:rsidRPr="00F92DB0">
        <w:rPr>
          <w:lang w:val="nl-NL"/>
        </w:rPr>
        <w:t xml:space="preserve"> kan pas worden beantwoord wanneer er meer bekend is over het aantal </w:t>
      </w:r>
      <w:r w:rsidRPr="00F92DB0" w:rsidR="00C23A92">
        <w:rPr>
          <w:lang w:val="nl-NL"/>
        </w:rPr>
        <w:t>trajecten</w:t>
      </w:r>
      <w:r w:rsidRPr="00F92DB0">
        <w:rPr>
          <w:lang w:val="nl-NL"/>
        </w:rPr>
        <w:t xml:space="preserve">, het aantal patiënten en de methode voor het bepalen van de </w:t>
      </w:r>
      <w:r w:rsidRPr="00F92DB0" w:rsidR="00FB4A63">
        <w:rPr>
          <w:lang w:val="nl-NL"/>
        </w:rPr>
        <w:t>‘</w:t>
      </w:r>
      <w:r w:rsidRPr="00F92DB0">
        <w:rPr>
          <w:lang w:val="nl-NL"/>
        </w:rPr>
        <w:t>verlaagde prijs</w:t>
      </w:r>
      <w:r w:rsidRPr="00F92DB0" w:rsidR="00FB4A63">
        <w:rPr>
          <w:lang w:val="nl-NL"/>
        </w:rPr>
        <w:t>’</w:t>
      </w:r>
      <w:r w:rsidRPr="00F92DB0">
        <w:rPr>
          <w:lang w:val="nl-NL"/>
        </w:rPr>
        <w:t>.</w:t>
      </w:r>
      <w:r w:rsidR="001C48DD">
        <w:rPr>
          <w:lang w:val="nl-NL"/>
        </w:rPr>
        <w:t xml:space="preserve"> </w:t>
      </w:r>
    </w:p>
    <w:p w:rsidR="003107B8" w:rsidP="0049340A" w:rsidRDefault="00DD178E" w14:paraId="41D22CAB" w14:textId="77777777">
      <w:pPr>
        <w:rPr>
          <w:lang w:val="nl-NL"/>
        </w:rPr>
      </w:pPr>
      <w:r w:rsidRPr="00DD178E">
        <w:rPr>
          <w:lang w:val="nl-NL"/>
        </w:rPr>
        <w:t xml:space="preserve">Uit de evaluatie blijkt </w:t>
      </w:r>
      <w:r w:rsidR="000576E1">
        <w:rPr>
          <w:lang w:val="nl-NL"/>
        </w:rPr>
        <w:t xml:space="preserve">verder </w:t>
      </w:r>
      <w:r w:rsidRPr="00DD178E">
        <w:rPr>
          <w:lang w:val="nl-NL"/>
        </w:rPr>
        <w:t xml:space="preserve">dat transparantie over de </w:t>
      </w:r>
      <w:r w:rsidR="00041B35">
        <w:rPr>
          <w:lang w:val="nl-NL"/>
        </w:rPr>
        <w:t>uitgaven per geneesmiddel</w:t>
      </w:r>
      <w:r w:rsidRPr="00DD178E">
        <w:rPr>
          <w:lang w:val="nl-NL"/>
        </w:rPr>
        <w:t xml:space="preserve"> een reden is voor firma</w:t>
      </w:r>
      <w:r w:rsidR="00377036">
        <w:rPr>
          <w:lang w:val="nl-NL"/>
        </w:rPr>
        <w:t>’</w:t>
      </w:r>
      <w:r w:rsidRPr="00DD178E">
        <w:rPr>
          <w:lang w:val="nl-NL"/>
        </w:rPr>
        <w:t>s</w:t>
      </w:r>
      <w:r>
        <w:rPr>
          <w:lang w:val="nl-NL"/>
        </w:rPr>
        <w:t xml:space="preserve"> </w:t>
      </w:r>
      <w:r w:rsidRPr="00DD178E">
        <w:rPr>
          <w:lang w:val="nl-NL"/>
        </w:rPr>
        <w:t>om niet deel te nemen aan de VT</w:t>
      </w:r>
      <w:r>
        <w:rPr>
          <w:lang w:val="nl-NL"/>
        </w:rPr>
        <w:t>.</w:t>
      </w:r>
      <w:r w:rsidRPr="00DD178E">
        <w:rPr>
          <w:lang w:val="nl-NL"/>
        </w:rPr>
        <w:t xml:space="preserve"> </w:t>
      </w:r>
      <w:r w:rsidR="009A5672">
        <w:rPr>
          <w:lang w:val="nl-NL"/>
        </w:rPr>
        <w:t>Zij</w:t>
      </w:r>
      <w:r w:rsidR="000576E1">
        <w:rPr>
          <w:lang w:val="nl-NL"/>
        </w:rPr>
        <w:t xml:space="preserve"> </w:t>
      </w:r>
      <w:r w:rsidR="009A5672">
        <w:rPr>
          <w:lang w:val="nl-NL"/>
        </w:rPr>
        <w:t>vrezen</w:t>
      </w:r>
      <w:r w:rsidRPr="00DD178E">
        <w:rPr>
          <w:lang w:val="nl-NL"/>
        </w:rPr>
        <w:t xml:space="preserve"> dat de korting door andere</w:t>
      </w:r>
      <w:r>
        <w:rPr>
          <w:lang w:val="nl-NL"/>
        </w:rPr>
        <w:t xml:space="preserve"> </w:t>
      </w:r>
      <w:r w:rsidRPr="00DD178E">
        <w:rPr>
          <w:lang w:val="nl-NL"/>
        </w:rPr>
        <w:t xml:space="preserve">landen </w:t>
      </w:r>
      <w:r w:rsidR="00E21441">
        <w:rPr>
          <w:lang w:val="nl-NL"/>
        </w:rPr>
        <w:t xml:space="preserve">zal worden </w:t>
      </w:r>
      <w:r w:rsidRPr="00DD178E">
        <w:rPr>
          <w:lang w:val="nl-NL"/>
        </w:rPr>
        <w:t>gebruikt in prijsonderhandelingen</w:t>
      </w:r>
      <w:r w:rsidR="005641D1">
        <w:rPr>
          <w:lang w:val="nl-NL"/>
        </w:rPr>
        <w:t xml:space="preserve"> en/of</w:t>
      </w:r>
      <w:r w:rsidRPr="00DD178E">
        <w:rPr>
          <w:lang w:val="nl-NL"/>
        </w:rPr>
        <w:t xml:space="preserve"> </w:t>
      </w:r>
      <w:proofErr w:type="spellStart"/>
      <w:r w:rsidRPr="00E21441">
        <w:rPr>
          <w:i/>
          <w:iCs/>
          <w:lang w:val="nl-NL"/>
        </w:rPr>
        <w:t>external</w:t>
      </w:r>
      <w:proofErr w:type="spellEnd"/>
      <w:r w:rsidRPr="00E21441">
        <w:rPr>
          <w:i/>
          <w:iCs/>
          <w:lang w:val="nl-NL"/>
        </w:rPr>
        <w:t xml:space="preserve"> </w:t>
      </w:r>
      <w:proofErr w:type="spellStart"/>
      <w:r w:rsidRPr="00E21441">
        <w:rPr>
          <w:i/>
          <w:iCs/>
          <w:lang w:val="nl-NL"/>
        </w:rPr>
        <w:t>reference</w:t>
      </w:r>
      <w:proofErr w:type="spellEnd"/>
      <w:r w:rsidRPr="00E21441">
        <w:rPr>
          <w:i/>
          <w:iCs/>
          <w:lang w:val="nl-NL"/>
        </w:rPr>
        <w:t xml:space="preserve"> pricing</w:t>
      </w:r>
      <w:r w:rsidRPr="00896615" w:rsidR="005641D1">
        <w:rPr>
          <w:rStyle w:val="Voetnootmarkering"/>
          <w:lang w:val="nl-NL"/>
        </w:rPr>
        <w:footnoteReference w:id="19"/>
      </w:r>
      <w:r w:rsidRPr="00DD178E">
        <w:rPr>
          <w:lang w:val="nl-NL"/>
        </w:rPr>
        <w:t>.</w:t>
      </w:r>
      <w:r>
        <w:rPr>
          <w:lang w:val="nl-NL"/>
        </w:rPr>
        <w:t xml:space="preserve"> </w:t>
      </w:r>
      <w:r w:rsidR="004F3E3E">
        <w:rPr>
          <w:lang w:val="nl-NL"/>
        </w:rPr>
        <w:t xml:space="preserve">Het kabinet heeft </w:t>
      </w:r>
      <w:r w:rsidR="00DE28E5">
        <w:rPr>
          <w:lang w:val="nl-NL"/>
        </w:rPr>
        <w:t>begrepen dat f</w:t>
      </w:r>
      <w:r w:rsidRPr="00DE28E5" w:rsidR="00DE28E5">
        <w:rPr>
          <w:lang w:val="nl-NL"/>
        </w:rPr>
        <w:t>irma</w:t>
      </w:r>
      <w:r w:rsidR="00377036">
        <w:rPr>
          <w:lang w:val="nl-NL"/>
        </w:rPr>
        <w:t>’</w:t>
      </w:r>
      <w:r w:rsidRPr="00DE28E5" w:rsidR="00DE28E5">
        <w:rPr>
          <w:lang w:val="nl-NL"/>
        </w:rPr>
        <w:t xml:space="preserve">s </w:t>
      </w:r>
      <w:r w:rsidR="00DE28E5">
        <w:rPr>
          <w:lang w:val="nl-NL"/>
        </w:rPr>
        <w:t xml:space="preserve">ook </w:t>
      </w:r>
      <w:r w:rsidRPr="00DE28E5" w:rsidR="00DE28E5">
        <w:rPr>
          <w:lang w:val="nl-NL"/>
        </w:rPr>
        <w:t xml:space="preserve">vrezen dat </w:t>
      </w:r>
      <w:r w:rsidR="00056891">
        <w:rPr>
          <w:lang w:val="nl-NL"/>
        </w:rPr>
        <w:t>de verlaagde prijs</w:t>
      </w:r>
      <w:r w:rsidRPr="00DE28E5" w:rsidR="00DE28E5">
        <w:rPr>
          <w:lang w:val="nl-NL"/>
        </w:rPr>
        <w:t xml:space="preserve"> doorwerkt naar andere geneesmiddelen met onzekerheid en daarom niet </w:t>
      </w:r>
      <w:r w:rsidR="00F65D65">
        <w:rPr>
          <w:lang w:val="nl-NL"/>
        </w:rPr>
        <w:t>bereid zijn om deel te nemen aan de VT</w:t>
      </w:r>
      <w:r w:rsidRPr="00DE28E5" w:rsidR="00DE28E5">
        <w:rPr>
          <w:lang w:val="nl-NL"/>
        </w:rPr>
        <w:t>.</w:t>
      </w:r>
      <w:r w:rsidR="000576E1">
        <w:rPr>
          <w:lang w:val="nl-NL"/>
        </w:rPr>
        <w:t xml:space="preserve"> </w:t>
      </w:r>
      <w:r w:rsidR="004F3E3E">
        <w:rPr>
          <w:lang w:val="nl-NL"/>
        </w:rPr>
        <w:t>Het kabinet</w:t>
      </w:r>
      <w:r w:rsidR="00131220">
        <w:rPr>
          <w:lang w:val="nl-NL"/>
        </w:rPr>
        <w:t xml:space="preserve"> hecht aan het principe van ee</w:t>
      </w:r>
      <w:r w:rsidR="00E45D7B">
        <w:rPr>
          <w:lang w:val="nl-NL"/>
        </w:rPr>
        <w:t>n</w:t>
      </w:r>
      <w:r w:rsidR="00131220">
        <w:rPr>
          <w:lang w:val="nl-NL"/>
        </w:rPr>
        <w:t xml:space="preserve"> sterk verlaagde prijs, en verantwoording naar de maatschappij</w:t>
      </w:r>
      <w:r w:rsidR="004F3E3E">
        <w:rPr>
          <w:lang w:val="nl-NL"/>
        </w:rPr>
        <w:t>. T</w:t>
      </w:r>
      <w:r w:rsidR="00F93E10">
        <w:rPr>
          <w:lang w:val="nl-NL"/>
        </w:rPr>
        <w:t xml:space="preserve">egelijk </w:t>
      </w:r>
      <w:r w:rsidR="004F3E3E">
        <w:rPr>
          <w:lang w:val="nl-NL"/>
        </w:rPr>
        <w:t>is het duidelijk da</w:t>
      </w:r>
      <w:r w:rsidR="00E45D7B">
        <w:rPr>
          <w:lang w:val="nl-NL"/>
        </w:rPr>
        <w:t xml:space="preserve">t de eis van openbaarmaking </w:t>
      </w:r>
      <w:r w:rsidRPr="00E45D7B" w:rsidR="00E45D7B">
        <w:rPr>
          <w:lang w:val="nl-NL"/>
        </w:rPr>
        <w:t>niet bij</w:t>
      </w:r>
      <w:r w:rsidR="00E45D7B">
        <w:rPr>
          <w:lang w:val="nl-NL"/>
        </w:rPr>
        <w:t>draagt</w:t>
      </w:r>
      <w:r w:rsidRPr="00E45D7B" w:rsidR="00E45D7B">
        <w:rPr>
          <w:lang w:val="nl-NL"/>
        </w:rPr>
        <w:t xml:space="preserve"> aan</w:t>
      </w:r>
      <w:r w:rsidR="00E45D7B">
        <w:rPr>
          <w:lang w:val="nl-NL"/>
        </w:rPr>
        <w:t xml:space="preserve"> het primaire doel van de VT: het </w:t>
      </w:r>
      <w:r w:rsidR="00FD7259">
        <w:rPr>
          <w:lang w:val="nl-NL"/>
        </w:rPr>
        <w:t>beschikbaar maken van veelbelovende geneesmiddelen in combinatie met onderzoek naar de effectiviteit</w:t>
      </w:r>
      <w:r w:rsidR="00E45D7B">
        <w:rPr>
          <w:lang w:val="nl-NL"/>
        </w:rPr>
        <w:t>. Op basis hiervan</w:t>
      </w:r>
      <w:r w:rsidR="008A5877">
        <w:rPr>
          <w:lang w:val="nl-NL"/>
        </w:rPr>
        <w:t xml:space="preserve"> en de voorgestelde </w:t>
      </w:r>
      <w:r w:rsidR="000576E1">
        <w:rPr>
          <w:lang w:val="nl-NL"/>
        </w:rPr>
        <w:t>concretisering</w:t>
      </w:r>
      <w:r w:rsidR="00E45D7B">
        <w:rPr>
          <w:lang w:val="nl-NL"/>
        </w:rPr>
        <w:t xml:space="preserve"> van de sterk verlaagde prijs,</w:t>
      </w:r>
      <w:r w:rsidR="004F3E3E">
        <w:rPr>
          <w:lang w:val="nl-NL"/>
        </w:rPr>
        <w:t xml:space="preserve"> is </w:t>
      </w:r>
      <w:r w:rsidR="00A50DA7">
        <w:rPr>
          <w:lang w:val="nl-NL"/>
        </w:rPr>
        <w:t xml:space="preserve">besloten </w:t>
      </w:r>
      <w:r w:rsidR="00E45D7B">
        <w:rPr>
          <w:lang w:val="nl-NL"/>
        </w:rPr>
        <w:t xml:space="preserve">de eis van openbaarmaking </w:t>
      </w:r>
      <w:r w:rsidR="009C5A6F">
        <w:rPr>
          <w:lang w:val="nl-NL"/>
        </w:rPr>
        <w:t xml:space="preserve">van uitgaven </w:t>
      </w:r>
      <w:r w:rsidR="00F93E10">
        <w:rPr>
          <w:lang w:val="nl-NL"/>
        </w:rPr>
        <w:t xml:space="preserve">per geneesmiddel </w:t>
      </w:r>
      <w:r w:rsidR="00E45D7B">
        <w:rPr>
          <w:lang w:val="nl-NL"/>
        </w:rPr>
        <w:t xml:space="preserve">te </w:t>
      </w:r>
      <w:r w:rsidR="00A50DA7">
        <w:rPr>
          <w:lang w:val="nl-NL"/>
        </w:rPr>
        <w:t>l</w:t>
      </w:r>
      <w:r w:rsidR="00E45D7B">
        <w:rPr>
          <w:lang w:val="nl-NL"/>
        </w:rPr>
        <w:t xml:space="preserve">aten vallen. </w:t>
      </w:r>
      <w:r w:rsidR="00053956">
        <w:rPr>
          <w:lang w:val="nl-NL"/>
        </w:rPr>
        <w:t xml:space="preserve">Mogelijk zal </w:t>
      </w:r>
      <w:r w:rsidR="009C5A6F">
        <w:rPr>
          <w:lang w:val="nl-NL"/>
        </w:rPr>
        <w:t xml:space="preserve">de prijs </w:t>
      </w:r>
      <w:r w:rsidR="00053956">
        <w:rPr>
          <w:lang w:val="nl-NL"/>
        </w:rPr>
        <w:t xml:space="preserve">niet </w:t>
      </w:r>
      <w:r w:rsidR="009C5A6F">
        <w:rPr>
          <w:lang w:val="nl-NL"/>
        </w:rPr>
        <w:t>volledig vertr</w:t>
      </w:r>
      <w:r w:rsidR="008A5877">
        <w:rPr>
          <w:lang w:val="nl-NL"/>
        </w:rPr>
        <w:t xml:space="preserve">ouwelijk zijn, </w:t>
      </w:r>
      <w:r w:rsidR="00053956">
        <w:rPr>
          <w:lang w:val="nl-NL"/>
        </w:rPr>
        <w:t xml:space="preserve">bijvoorbeeld wanneer </w:t>
      </w:r>
      <w:r w:rsidR="008A5877">
        <w:rPr>
          <w:lang w:val="nl-NL"/>
        </w:rPr>
        <w:t xml:space="preserve">het kortingsadvies van het Zorginstituut </w:t>
      </w:r>
      <w:r w:rsidR="000576E1">
        <w:rPr>
          <w:lang w:val="nl-NL"/>
        </w:rPr>
        <w:t xml:space="preserve">(of indien van toepassing het totale budget per VT) </w:t>
      </w:r>
      <w:r w:rsidR="008A5877">
        <w:rPr>
          <w:lang w:val="nl-NL"/>
        </w:rPr>
        <w:t xml:space="preserve">wel openbaar </w:t>
      </w:r>
      <w:r w:rsidR="00C66ED1">
        <w:rPr>
          <w:lang w:val="nl-NL"/>
        </w:rPr>
        <w:t>worden</w:t>
      </w:r>
      <w:r w:rsidR="00E70714">
        <w:rPr>
          <w:lang w:val="nl-NL"/>
        </w:rPr>
        <w:t xml:space="preserve"> gemaakt</w:t>
      </w:r>
      <w:r w:rsidR="008A5877">
        <w:rPr>
          <w:lang w:val="nl-NL"/>
        </w:rPr>
        <w:t>. Deze wijziging gaat in zodra de concretisering van sterk verlaagde prijs is ingevoerd</w:t>
      </w:r>
      <w:r w:rsidR="00E45D7B">
        <w:rPr>
          <w:lang w:val="nl-NL"/>
        </w:rPr>
        <w:t xml:space="preserve">. </w:t>
      </w:r>
    </w:p>
    <w:p w:rsidR="00377036" w:rsidP="00377036" w:rsidRDefault="00377036" w14:paraId="3708852C" w14:textId="77777777">
      <w:pPr>
        <w:spacing w:after="0"/>
        <w:rPr>
          <w:lang w:val="nl-NL"/>
        </w:rPr>
      </w:pPr>
    </w:p>
    <w:p w:rsidRPr="00A75225" w:rsidR="00A75225" w:rsidP="00255F22" w:rsidRDefault="00C23A92" w14:paraId="5CE9B5C9" w14:textId="77777777">
      <w:pPr>
        <w:rPr>
          <w:szCs w:val="18"/>
          <w:u w:val="single"/>
          <w:lang w:val="nl-NL"/>
        </w:rPr>
      </w:pPr>
      <w:r>
        <w:rPr>
          <w:szCs w:val="18"/>
          <w:u w:val="single"/>
          <w:lang w:val="nl-NL"/>
        </w:rPr>
        <w:t>Betalingen</w:t>
      </w:r>
      <w:r w:rsidRPr="00A75225" w:rsidR="00A75225">
        <w:rPr>
          <w:szCs w:val="18"/>
          <w:u w:val="single"/>
          <w:lang w:val="nl-NL"/>
        </w:rPr>
        <w:t xml:space="preserve"> voor </w:t>
      </w:r>
      <w:r w:rsidR="00A75225">
        <w:rPr>
          <w:szCs w:val="18"/>
          <w:u w:val="single"/>
          <w:lang w:val="nl-NL"/>
        </w:rPr>
        <w:t>de uitvoering van het onderzoek</w:t>
      </w:r>
    </w:p>
    <w:p w:rsidR="00B83E23" w:rsidP="00377036" w:rsidRDefault="00BC4D7D" w14:paraId="0CEFC0D5" w14:textId="77777777">
      <w:pPr>
        <w:spacing w:after="0"/>
        <w:rPr>
          <w:lang w:val="nl-NL"/>
        </w:rPr>
      </w:pPr>
      <w:r w:rsidRPr="00F92DB0">
        <w:rPr>
          <w:lang w:val="nl-NL"/>
        </w:rPr>
        <w:t xml:space="preserve">In de huidige situatie betalen firma’s deelnemende </w:t>
      </w:r>
      <w:r w:rsidRPr="00F92DB0" w:rsidR="00B8720D">
        <w:rPr>
          <w:lang w:val="nl-NL"/>
        </w:rPr>
        <w:t xml:space="preserve">ziekenhuizen </w:t>
      </w:r>
      <w:r w:rsidRPr="00F92DB0">
        <w:rPr>
          <w:lang w:val="nl-NL"/>
        </w:rPr>
        <w:t>direct voor de dataverzameling in de</w:t>
      </w:r>
      <w:r w:rsidRPr="00F92DB0" w:rsidR="0034694B">
        <w:rPr>
          <w:lang w:val="nl-NL"/>
        </w:rPr>
        <w:t xml:space="preserve"> </w:t>
      </w:r>
      <w:r w:rsidRPr="00F92DB0">
        <w:rPr>
          <w:lang w:val="nl-NL"/>
        </w:rPr>
        <w:t xml:space="preserve">VT. Uit de evaluatie blijkt dat deze directe betaling vanuit de firma </w:t>
      </w:r>
      <w:r w:rsidRPr="00F92DB0" w:rsidR="00F93E10">
        <w:rPr>
          <w:lang w:val="nl-NL"/>
        </w:rPr>
        <w:t xml:space="preserve">onwenselijk is </w:t>
      </w:r>
      <w:r w:rsidRPr="00F92DB0">
        <w:rPr>
          <w:lang w:val="nl-NL"/>
        </w:rPr>
        <w:t xml:space="preserve">voor sommige </w:t>
      </w:r>
      <w:r w:rsidRPr="00F92DB0">
        <w:rPr>
          <w:lang w:val="nl-NL"/>
        </w:rPr>
        <w:lastRenderedPageBreak/>
        <w:t>zorgverleners</w:t>
      </w:r>
      <w:r w:rsidRPr="00F92DB0" w:rsidR="00041B35">
        <w:rPr>
          <w:lang w:val="nl-NL"/>
        </w:rPr>
        <w:t xml:space="preserve">, vanwege de </w:t>
      </w:r>
      <w:r w:rsidR="007C53D5">
        <w:rPr>
          <w:lang w:val="nl-NL"/>
        </w:rPr>
        <w:t>(</w:t>
      </w:r>
      <w:r w:rsidRPr="00F92DB0" w:rsidR="00041B35">
        <w:rPr>
          <w:lang w:val="nl-NL"/>
        </w:rPr>
        <w:t>schijn van</w:t>
      </w:r>
      <w:r w:rsidR="007C53D5">
        <w:rPr>
          <w:lang w:val="nl-NL"/>
        </w:rPr>
        <w:t>)</w:t>
      </w:r>
      <w:r w:rsidRPr="00F92DB0" w:rsidR="00AD1E29">
        <w:rPr>
          <w:lang w:val="nl-NL"/>
        </w:rPr>
        <w:t xml:space="preserve"> belangenverstrengeling.</w:t>
      </w:r>
      <w:r w:rsidRPr="00F92DB0" w:rsidR="009C7A94">
        <w:rPr>
          <w:lang w:val="nl-NL"/>
        </w:rPr>
        <w:t xml:space="preserve"> </w:t>
      </w:r>
      <w:r w:rsidRPr="00F92DB0">
        <w:rPr>
          <w:lang w:val="nl-NL"/>
        </w:rPr>
        <w:t xml:space="preserve">Het rapport raadt aan </w:t>
      </w:r>
      <w:r w:rsidRPr="00F92DB0" w:rsidR="0034694B">
        <w:rPr>
          <w:lang w:val="nl-NL"/>
        </w:rPr>
        <w:t>om t</w:t>
      </w:r>
      <w:r w:rsidRPr="00F92DB0">
        <w:rPr>
          <w:lang w:val="nl-NL"/>
        </w:rPr>
        <w:t>e verkennen of directe betaling van firma’s aan deelnemende centra</w:t>
      </w:r>
      <w:r w:rsidRPr="00F92DB0" w:rsidR="00A7428C">
        <w:rPr>
          <w:lang w:val="nl-NL"/>
        </w:rPr>
        <w:t>, en daarmee aan zorgverleners,</w:t>
      </w:r>
      <w:r w:rsidRPr="00F92DB0" w:rsidR="0034694B">
        <w:rPr>
          <w:lang w:val="nl-NL"/>
        </w:rPr>
        <w:t xml:space="preserve"> </w:t>
      </w:r>
      <w:r w:rsidRPr="00F92DB0">
        <w:rPr>
          <w:lang w:val="nl-NL"/>
        </w:rPr>
        <w:t>kan worden</w:t>
      </w:r>
      <w:r w:rsidRPr="00F92DB0" w:rsidR="00A7428C">
        <w:rPr>
          <w:lang w:val="nl-NL"/>
        </w:rPr>
        <w:t xml:space="preserve"> voorkomen</w:t>
      </w:r>
      <w:r w:rsidRPr="00F92DB0" w:rsidR="0034694B">
        <w:rPr>
          <w:lang w:val="nl-NL"/>
        </w:rPr>
        <w:t xml:space="preserve">. </w:t>
      </w:r>
      <w:r w:rsidRPr="00F92DB0" w:rsidR="00A7428C">
        <w:rPr>
          <w:lang w:val="nl-NL"/>
        </w:rPr>
        <w:t xml:space="preserve">Om dit te realiseren </w:t>
      </w:r>
      <w:r w:rsidRPr="00F92DB0" w:rsidR="0034694B">
        <w:rPr>
          <w:lang w:val="nl-NL"/>
        </w:rPr>
        <w:t xml:space="preserve">moet een derde partij betrokken worden. </w:t>
      </w:r>
      <w:r w:rsidRPr="00F92DB0" w:rsidR="00B83E23">
        <w:rPr>
          <w:lang w:val="nl-NL"/>
        </w:rPr>
        <w:t xml:space="preserve">In het </w:t>
      </w:r>
      <w:r w:rsidRPr="00F92DB0" w:rsidR="00244101">
        <w:rPr>
          <w:lang w:val="nl-NL"/>
        </w:rPr>
        <w:t xml:space="preserve">SiRM </w:t>
      </w:r>
      <w:r w:rsidRPr="00F92DB0" w:rsidR="00B83E23">
        <w:rPr>
          <w:lang w:val="nl-NL"/>
        </w:rPr>
        <w:t>rapport worden de mogelijke nadelen hiervan beschreven. Wanneer een derde partij (bijvoorbeeld ZonMw</w:t>
      </w:r>
      <w:r w:rsidR="000134F9">
        <w:rPr>
          <w:lang w:val="nl-NL"/>
        </w:rPr>
        <w:t xml:space="preserve">, </w:t>
      </w:r>
      <w:r w:rsidRPr="00F92DB0" w:rsidR="00244101">
        <w:rPr>
          <w:lang w:val="nl-NL"/>
        </w:rPr>
        <w:t>het Zorginstituut</w:t>
      </w:r>
      <w:r w:rsidR="000134F9">
        <w:rPr>
          <w:lang w:val="nl-NL"/>
        </w:rPr>
        <w:t xml:space="preserve"> of de FMS</w:t>
      </w:r>
      <w:r w:rsidRPr="00F92DB0" w:rsidR="00B83E23">
        <w:rPr>
          <w:lang w:val="nl-NL"/>
        </w:rPr>
        <w:t xml:space="preserve">) betrokken raakt bij de financiering van deze </w:t>
      </w:r>
      <w:r w:rsidRPr="00F92DB0" w:rsidR="003F737F">
        <w:rPr>
          <w:lang w:val="nl-NL"/>
        </w:rPr>
        <w:t xml:space="preserve">ziekenhuizen </w:t>
      </w:r>
      <w:r w:rsidRPr="00F92DB0" w:rsidR="00B83E23">
        <w:rPr>
          <w:lang w:val="nl-NL"/>
        </w:rPr>
        <w:t xml:space="preserve">en zorgverleners zal deze partij ook een rol (moeten) innemen in de (beoordeling van) doelmatige inzet van de middelen. Dat kan leiden tot </w:t>
      </w:r>
      <w:r w:rsidRPr="00F92DB0" w:rsidR="003F737F">
        <w:rPr>
          <w:lang w:val="nl-NL"/>
        </w:rPr>
        <w:t>extra regeldruk</w:t>
      </w:r>
      <w:r w:rsidRPr="00F92DB0" w:rsidR="00B83E23">
        <w:rPr>
          <w:lang w:val="nl-NL"/>
        </w:rPr>
        <w:t xml:space="preserve">. </w:t>
      </w:r>
      <w:r w:rsidR="004F3E3E">
        <w:rPr>
          <w:lang w:val="nl-NL"/>
        </w:rPr>
        <w:t>Het kabinet</w:t>
      </w:r>
      <w:r w:rsidRPr="00F92DB0" w:rsidR="0086116D">
        <w:rPr>
          <w:lang w:val="nl-NL"/>
        </w:rPr>
        <w:t xml:space="preserve"> vind</w:t>
      </w:r>
      <w:r w:rsidR="004F3E3E">
        <w:rPr>
          <w:lang w:val="nl-NL"/>
        </w:rPr>
        <w:t>t</w:t>
      </w:r>
      <w:r w:rsidRPr="00F92DB0" w:rsidR="0086116D">
        <w:rPr>
          <w:lang w:val="nl-NL"/>
        </w:rPr>
        <w:t xml:space="preserve"> dat niet wenselijk. </w:t>
      </w:r>
      <w:r w:rsidR="004F3E3E">
        <w:rPr>
          <w:lang w:val="nl-NL"/>
        </w:rPr>
        <w:t>Daarom wordt onderzocht</w:t>
      </w:r>
      <w:r w:rsidRPr="00F92DB0" w:rsidR="00DB3CE5">
        <w:rPr>
          <w:lang w:val="nl-NL"/>
        </w:rPr>
        <w:t xml:space="preserve"> of </w:t>
      </w:r>
      <w:r w:rsidRPr="00F92DB0" w:rsidR="00A7428C">
        <w:rPr>
          <w:lang w:val="nl-NL"/>
        </w:rPr>
        <w:t xml:space="preserve">het voordeel van het betrekken van een derde partij </w:t>
      </w:r>
      <w:r w:rsidRPr="00F92DB0" w:rsidR="00DB3CE5">
        <w:rPr>
          <w:lang w:val="nl-NL"/>
        </w:rPr>
        <w:t>opwe</w:t>
      </w:r>
      <w:r w:rsidRPr="00F92DB0" w:rsidR="00A7428C">
        <w:rPr>
          <w:lang w:val="nl-NL"/>
        </w:rPr>
        <w:t xml:space="preserve">egt tegen de nadelen </w:t>
      </w:r>
      <w:r w:rsidRPr="00F92DB0" w:rsidR="003107B8">
        <w:rPr>
          <w:lang w:val="nl-NL"/>
        </w:rPr>
        <w:t>en of er eenvoudiger te realiseren alternatieve</w:t>
      </w:r>
      <w:r w:rsidRPr="00F92DB0" w:rsidR="007D61F9">
        <w:rPr>
          <w:lang w:val="nl-NL"/>
        </w:rPr>
        <w:t>n</w:t>
      </w:r>
      <w:r w:rsidRPr="00F92DB0" w:rsidR="003107B8">
        <w:rPr>
          <w:lang w:val="nl-NL"/>
        </w:rPr>
        <w:t xml:space="preserve"> zijn</w:t>
      </w:r>
      <w:r w:rsidRPr="00F92DB0" w:rsidR="00DB3CE5">
        <w:rPr>
          <w:lang w:val="nl-NL"/>
        </w:rPr>
        <w:t xml:space="preserve">. </w:t>
      </w:r>
      <w:r w:rsidRPr="00F92DB0" w:rsidR="00B83E23">
        <w:rPr>
          <w:lang w:val="nl-NL"/>
        </w:rPr>
        <w:t xml:space="preserve"> </w:t>
      </w:r>
    </w:p>
    <w:p w:rsidRPr="00F92DB0" w:rsidR="00377036" w:rsidP="00377036" w:rsidRDefault="00377036" w14:paraId="64C55291" w14:textId="77777777">
      <w:pPr>
        <w:rPr>
          <w:lang w:val="nl-NL"/>
        </w:rPr>
      </w:pPr>
    </w:p>
    <w:p w:rsidRPr="0035714A" w:rsidR="0035714A" w:rsidP="00AD0827" w:rsidRDefault="0035714A" w14:paraId="00FD5E72" w14:textId="77777777">
      <w:pPr>
        <w:rPr>
          <w:szCs w:val="18"/>
          <w:u w:val="single"/>
          <w:lang w:val="nl-NL"/>
        </w:rPr>
      </w:pPr>
      <w:r w:rsidRPr="0035714A">
        <w:rPr>
          <w:szCs w:val="18"/>
          <w:u w:val="single"/>
          <w:lang w:val="nl-NL"/>
        </w:rPr>
        <w:t>Initiator</w:t>
      </w:r>
      <w:r w:rsidR="00F10CA3">
        <w:rPr>
          <w:szCs w:val="18"/>
          <w:u w:val="single"/>
          <w:lang w:val="nl-NL"/>
        </w:rPr>
        <w:t xml:space="preserve"> van het onderzoek</w:t>
      </w:r>
      <w:r w:rsidR="00B51277">
        <w:rPr>
          <w:szCs w:val="18"/>
          <w:u w:val="single"/>
          <w:lang w:val="nl-NL"/>
        </w:rPr>
        <w:t xml:space="preserve"> en versnelling van voorbereidende fase</w:t>
      </w:r>
    </w:p>
    <w:p w:rsidR="0035714A" w:rsidP="00377036" w:rsidRDefault="0035714A" w14:paraId="131CDFC2" w14:textId="77777777">
      <w:pPr>
        <w:spacing w:after="0"/>
        <w:rPr>
          <w:szCs w:val="18"/>
          <w:lang w:val="nl-NL"/>
        </w:rPr>
      </w:pPr>
      <w:r w:rsidRPr="0035714A">
        <w:rPr>
          <w:szCs w:val="18"/>
          <w:lang w:val="nl-NL"/>
        </w:rPr>
        <w:t>De evaluatie beveelt aan te verkennen of de beroepsgroep</w:t>
      </w:r>
      <w:r w:rsidR="003F572B">
        <w:rPr>
          <w:szCs w:val="18"/>
          <w:lang w:val="nl-NL"/>
        </w:rPr>
        <w:t xml:space="preserve"> </w:t>
      </w:r>
      <w:r w:rsidRPr="0035714A">
        <w:rPr>
          <w:szCs w:val="18"/>
          <w:lang w:val="nl-NL"/>
        </w:rPr>
        <w:t>in de VT meer een trekkersrol kan krijgen</w:t>
      </w:r>
      <w:r w:rsidR="00B51277">
        <w:rPr>
          <w:szCs w:val="18"/>
          <w:lang w:val="nl-NL"/>
        </w:rPr>
        <w:t>, zoals dat bij de ODAP gebeurt</w:t>
      </w:r>
      <w:r w:rsidRPr="0035714A">
        <w:rPr>
          <w:szCs w:val="18"/>
          <w:lang w:val="nl-NL"/>
        </w:rPr>
        <w:t xml:space="preserve">. </w:t>
      </w:r>
      <w:r w:rsidR="003E1A5B">
        <w:rPr>
          <w:szCs w:val="18"/>
          <w:lang w:val="nl-NL"/>
        </w:rPr>
        <w:t>E</w:t>
      </w:r>
      <w:r w:rsidRPr="003E1A5B" w:rsidR="003E1A5B">
        <w:rPr>
          <w:szCs w:val="18"/>
          <w:lang w:val="nl-NL"/>
        </w:rPr>
        <w:t xml:space="preserve">en grotere rol van de beroepsgroep </w:t>
      </w:r>
      <w:r w:rsidR="003E1A5B">
        <w:rPr>
          <w:szCs w:val="18"/>
          <w:lang w:val="nl-NL"/>
        </w:rPr>
        <w:t xml:space="preserve">zou </w:t>
      </w:r>
      <w:r w:rsidRPr="003E1A5B" w:rsidR="003E1A5B">
        <w:rPr>
          <w:szCs w:val="18"/>
          <w:lang w:val="nl-NL"/>
        </w:rPr>
        <w:t>de</w:t>
      </w:r>
      <w:r w:rsidR="003E1A5B">
        <w:rPr>
          <w:szCs w:val="18"/>
          <w:lang w:val="nl-NL"/>
        </w:rPr>
        <w:t xml:space="preserve"> </w:t>
      </w:r>
      <w:r w:rsidRPr="003E1A5B" w:rsidR="003E1A5B">
        <w:rPr>
          <w:szCs w:val="18"/>
          <w:lang w:val="nl-NL"/>
        </w:rPr>
        <w:t xml:space="preserve">doorlooptijd van de voorbereidende fase </w:t>
      </w:r>
      <w:r w:rsidR="003E1A5B">
        <w:rPr>
          <w:szCs w:val="18"/>
          <w:lang w:val="nl-NL"/>
        </w:rPr>
        <w:t xml:space="preserve">kunnen </w:t>
      </w:r>
      <w:r w:rsidRPr="003E1A5B" w:rsidR="003E1A5B">
        <w:rPr>
          <w:szCs w:val="18"/>
          <w:lang w:val="nl-NL"/>
        </w:rPr>
        <w:t>verkorten</w:t>
      </w:r>
      <w:r w:rsidR="003E1A5B">
        <w:rPr>
          <w:szCs w:val="18"/>
          <w:lang w:val="nl-NL"/>
        </w:rPr>
        <w:t xml:space="preserve">. Tegelijkertijd </w:t>
      </w:r>
      <w:r w:rsidR="000142B7">
        <w:rPr>
          <w:szCs w:val="18"/>
          <w:lang w:val="nl-NL"/>
        </w:rPr>
        <w:t>laat de evaluatie zien dat d</w:t>
      </w:r>
      <w:r w:rsidRPr="0035714A">
        <w:rPr>
          <w:szCs w:val="18"/>
          <w:lang w:val="nl-NL"/>
        </w:rPr>
        <w:t xml:space="preserve">e beroepsgroep hier niet altijd op </w:t>
      </w:r>
      <w:r w:rsidR="009077FA">
        <w:rPr>
          <w:szCs w:val="18"/>
          <w:lang w:val="nl-NL"/>
        </w:rPr>
        <w:t xml:space="preserve">is </w:t>
      </w:r>
      <w:r w:rsidRPr="0035714A">
        <w:rPr>
          <w:szCs w:val="18"/>
          <w:lang w:val="nl-NL"/>
        </w:rPr>
        <w:t xml:space="preserve">toegerust </w:t>
      </w:r>
      <w:r w:rsidR="00B51277">
        <w:rPr>
          <w:szCs w:val="18"/>
          <w:lang w:val="nl-NL"/>
        </w:rPr>
        <w:t>of toe bereid is</w:t>
      </w:r>
      <w:r w:rsidR="009077FA">
        <w:rPr>
          <w:szCs w:val="18"/>
          <w:lang w:val="nl-NL"/>
        </w:rPr>
        <w:t>. H</w:t>
      </w:r>
      <w:r w:rsidR="000142B7">
        <w:rPr>
          <w:szCs w:val="18"/>
          <w:lang w:val="nl-NL"/>
        </w:rPr>
        <w:t xml:space="preserve">et is </w:t>
      </w:r>
      <w:r w:rsidR="001534F1">
        <w:rPr>
          <w:szCs w:val="18"/>
          <w:lang w:val="nl-NL"/>
        </w:rPr>
        <w:t>ui</w:t>
      </w:r>
      <w:r w:rsidR="00E44034">
        <w:rPr>
          <w:szCs w:val="18"/>
          <w:lang w:val="nl-NL"/>
        </w:rPr>
        <w:t>teindelijk van belang dat</w:t>
      </w:r>
      <w:r w:rsidR="000142B7">
        <w:rPr>
          <w:szCs w:val="18"/>
          <w:lang w:val="nl-NL"/>
        </w:rPr>
        <w:t xml:space="preserve"> </w:t>
      </w:r>
      <w:r w:rsidRPr="0035714A">
        <w:rPr>
          <w:szCs w:val="18"/>
          <w:lang w:val="nl-NL"/>
        </w:rPr>
        <w:t xml:space="preserve">de firma </w:t>
      </w:r>
      <w:r w:rsidR="00A97384">
        <w:rPr>
          <w:szCs w:val="18"/>
          <w:lang w:val="nl-NL"/>
        </w:rPr>
        <w:t xml:space="preserve">het </w:t>
      </w:r>
      <w:r w:rsidR="00001450">
        <w:rPr>
          <w:szCs w:val="18"/>
          <w:lang w:val="nl-NL"/>
        </w:rPr>
        <w:t xml:space="preserve">middel wil aanbieden </w:t>
      </w:r>
      <w:r w:rsidR="003203BC">
        <w:rPr>
          <w:szCs w:val="18"/>
          <w:lang w:val="nl-NL"/>
        </w:rPr>
        <w:t>en</w:t>
      </w:r>
      <w:r w:rsidRPr="0035714A" w:rsidDel="003203BC">
        <w:rPr>
          <w:szCs w:val="18"/>
          <w:lang w:val="nl-NL"/>
        </w:rPr>
        <w:t xml:space="preserve"> </w:t>
      </w:r>
      <w:r w:rsidR="00A97384">
        <w:rPr>
          <w:szCs w:val="18"/>
          <w:lang w:val="nl-NL"/>
        </w:rPr>
        <w:t xml:space="preserve">het onderzoek </w:t>
      </w:r>
      <w:r w:rsidR="00DA66D7">
        <w:rPr>
          <w:szCs w:val="18"/>
          <w:lang w:val="nl-NL"/>
        </w:rPr>
        <w:t xml:space="preserve">in de VT </w:t>
      </w:r>
      <w:r w:rsidR="00A97384">
        <w:rPr>
          <w:szCs w:val="18"/>
          <w:lang w:val="nl-NL"/>
        </w:rPr>
        <w:t>wil betalen</w:t>
      </w:r>
      <w:r w:rsidRPr="0035714A">
        <w:rPr>
          <w:szCs w:val="18"/>
          <w:lang w:val="nl-NL"/>
        </w:rPr>
        <w:t>.</w:t>
      </w:r>
      <w:r w:rsidR="000142B7">
        <w:rPr>
          <w:szCs w:val="18"/>
          <w:lang w:val="nl-NL"/>
        </w:rPr>
        <w:t xml:space="preserve"> </w:t>
      </w:r>
      <w:r w:rsidR="004F3E3E">
        <w:rPr>
          <w:szCs w:val="18"/>
          <w:lang w:val="nl-NL"/>
        </w:rPr>
        <w:t>D</w:t>
      </w:r>
      <w:r w:rsidR="000142B7">
        <w:rPr>
          <w:szCs w:val="18"/>
          <w:lang w:val="nl-NL"/>
        </w:rPr>
        <w:t xml:space="preserve">aarom </w:t>
      </w:r>
      <w:r w:rsidR="004F3E3E">
        <w:rPr>
          <w:szCs w:val="18"/>
          <w:lang w:val="nl-NL"/>
        </w:rPr>
        <w:t xml:space="preserve">is </w:t>
      </w:r>
      <w:r w:rsidR="000142B7">
        <w:rPr>
          <w:szCs w:val="18"/>
          <w:lang w:val="nl-NL"/>
        </w:rPr>
        <w:t xml:space="preserve">besloten deze aanbeveling niet op te volgen. </w:t>
      </w:r>
      <w:r w:rsidR="004F3E3E">
        <w:rPr>
          <w:szCs w:val="18"/>
          <w:lang w:val="nl-NL"/>
        </w:rPr>
        <w:t>D</w:t>
      </w:r>
      <w:r w:rsidR="00A955CF">
        <w:rPr>
          <w:szCs w:val="18"/>
          <w:lang w:val="nl-NL"/>
        </w:rPr>
        <w:t xml:space="preserve">e </w:t>
      </w:r>
      <w:r w:rsidR="00301D76">
        <w:rPr>
          <w:szCs w:val="18"/>
          <w:lang w:val="nl-NL"/>
        </w:rPr>
        <w:t xml:space="preserve">betrokkenheid van de beroepsgroep </w:t>
      </w:r>
      <w:r w:rsidR="004F3E3E">
        <w:rPr>
          <w:szCs w:val="18"/>
          <w:lang w:val="nl-NL"/>
        </w:rPr>
        <w:t xml:space="preserve">is </w:t>
      </w:r>
      <w:r w:rsidR="00301D76">
        <w:rPr>
          <w:szCs w:val="18"/>
          <w:lang w:val="nl-NL"/>
        </w:rPr>
        <w:t xml:space="preserve">belangrijk, maar </w:t>
      </w:r>
      <w:r w:rsidR="00716AAF">
        <w:rPr>
          <w:szCs w:val="18"/>
          <w:lang w:val="nl-NL"/>
        </w:rPr>
        <w:t xml:space="preserve">de primaire verantwoordelijkheid </w:t>
      </w:r>
      <w:r w:rsidR="004F3E3E">
        <w:rPr>
          <w:szCs w:val="18"/>
          <w:lang w:val="nl-NL"/>
        </w:rPr>
        <w:t xml:space="preserve">moet </w:t>
      </w:r>
      <w:r w:rsidR="00716AAF">
        <w:rPr>
          <w:szCs w:val="18"/>
          <w:lang w:val="nl-NL"/>
        </w:rPr>
        <w:t>bij de firma blij</w:t>
      </w:r>
      <w:r w:rsidR="004F3E3E">
        <w:rPr>
          <w:szCs w:val="18"/>
          <w:lang w:val="nl-NL"/>
        </w:rPr>
        <w:t>ven</w:t>
      </w:r>
      <w:r w:rsidR="00716AAF">
        <w:rPr>
          <w:szCs w:val="18"/>
          <w:lang w:val="nl-NL"/>
        </w:rPr>
        <w:t xml:space="preserve"> liggen.</w:t>
      </w:r>
      <w:r w:rsidR="000142B7">
        <w:rPr>
          <w:szCs w:val="18"/>
          <w:lang w:val="nl-NL"/>
        </w:rPr>
        <w:t xml:space="preserve"> </w:t>
      </w:r>
      <w:r w:rsidRPr="00B51277" w:rsidR="00B51277">
        <w:rPr>
          <w:szCs w:val="18"/>
          <w:lang w:val="nl-NL"/>
        </w:rPr>
        <w:t xml:space="preserve">Door de vroegtijdige triage van geneesmiddelen </w:t>
      </w:r>
      <w:r w:rsidR="00B51277">
        <w:rPr>
          <w:szCs w:val="18"/>
          <w:lang w:val="nl-NL"/>
        </w:rPr>
        <w:t xml:space="preserve">in het TSG </w:t>
      </w:r>
      <w:r w:rsidRPr="00B51277" w:rsidR="00B51277">
        <w:rPr>
          <w:szCs w:val="18"/>
          <w:lang w:val="nl-NL"/>
        </w:rPr>
        <w:t xml:space="preserve">kunnen mogelijke VT kandidaten naar verwachting eerder worden geïdentificeerd, waarmee de voorbereidende fase </w:t>
      </w:r>
      <w:r w:rsidR="00B51277">
        <w:rPr>
          <w:szCs w:val="18"/>
          <w:lang w:val="nl-NL"/>
        </w:rPr>
        <w:t xml:space="preserve">ook </w:t>
      </w:r>
      <w:r w:rsidRPr="00B51277" w:rsidR="00B51277">
        <w:rPr>
          <w:szCs w:val="18"/>
          <w:lang w:val="nl-NL"/>
        </w:rPr>
        <w:t>kan worden versneld</w:t>
      </w:r>
      <w:r w:rsidR="00B51277">
        <w:rPr>
          <w:szCs w:val="18"/>
          <w:lang w:val="nl-NL"/>
        </w:rPr>
        <w:t xml:space="preserve">. </w:t>
      </w:r>
    </w:p>
    <w:p w:rsidR="00377036" w:rsidP="00377036" w:rsidRDefault="00377036" w14:paraId="55C0CCA0" w14:textId="77777777">
      <w:pPr>
        <w:rPr>
          <w:szCs w:val="18"/>
          <w:lang w:val="nl-NL"/>
        </w:rPr>
      </w:pPr>
    </w:p>
    <w:p w:rsidRPr="0035714A" w:rsidR="0035714A" w:rsidP="00AD0827" w:rsidRDefault="0035714A" w14:paraId="6076EF7A" w14:textId="77777777">
      <w:pPr>
        <w:rPr>
          <w:szCs w:val="18"/>
          <w:u w:val="single"/>
          <w:lang w:val="nl-NL"/>
        </w:rPr>
      </w:pPr>
      <w:r w:rsidRPr="0035714A">
        <w:rPr>
          <w:szCs w:val="18"/>
          <w:u w:val="single"/>
          <w:lang w:val="nl-NL"/>
        </w:rPr>
        <w:t>Gezamenlijke VT</w:t>
      </w:r>
    </w:p>
    <w:p w:rsidR="0049340A" w:rsidP="0049340A" w:rsidRDefault="000E4355" w14:paraId="71E11073" w14:textId="56AF583F">
      <w:pPr>
        <w:rPr>
          <w:szCs w:val="18"/>
          <w:lang w:val="nl-NL"/>
        </w:rPr>
      </w:pPr>
      <w:r w:rsidRPr="000E4355">
        <w:rPr>
          <w:szCs w:val="18"/>
          <w:lang w:val="nl-NL"/>
        </w:rPr>
        <w:t>In de huidige VT-procedure tekent een firma in het convenant dat</w:t>
      </w:r>
      <w:r>
        <w:rPr>
          <w:szCs w:val="18"/>
          <w:lang w:val="nl-NL"/>
        </w:rPr>
        <w:t xml:space="preserve"> </w:t>
      </w:r>
      <w:r w:rsidRPr="000E4355">
        <w:rPr>
          <w:szCs w:val="18"/>
          <w:lang w:val="nl-NL"/>
        </w:rPr>
        <w:t xml:space="preserve">twee concurrerende middelen gezamenlijk een VT-traject </w:t>
      </w:r>
      <w:r w:rsidR="00A105F5">
        <w:rPr>
          <w:szCs w:val="18"/>
          <w:lang w:val="nl-NL"/>
        </w:rPr>
        <w:t xml:space="preserve">kunnen </w:t>
      </w:r>
      <w:r w:rsidRPr="000E4355">
        <w:rPr>
          <w:szCs w:val="18"/>
          <w:lang w:val="nl-NL"/>
        </w:rPr>
        <w:t>doorlopen</w:t>
      </w:r>
      <w:r w:rsidR="00A105F5">
        <w:rPr>
          <w:rStyle w:val="Voetnootmarkering"/>
          <w:szCs w:val="18"/>
          <w:lang w:val="nl-NL"/>
        </w:rPr>
        <w:footnoteReference w:id="20"/>
      </w:r>
      <w:r>
        <w:rPr>
          <w:szCs w:val="18"/>
          <w:lang w:val="nl-NL"/>
        </w:rPr>
        <w:t xml:space="preserve">. Uit de evaluatie blijkt echter dat de </w:t>
      </w:r>
      <w:r w:rsidRPr="000E4355">
        <w:rPr>
          <w:szCs w:val="18"/>
          <w:lang w:val="nl-NL"/>
        </w:rPr>
        <w:t>uitvoering van een gezamenlijk VT-traject in praktijk</w:t>
      </w:r>
      <w:r>
        <w:rPr>
          <w:szCs w:val="18"/>
          <w:lang w:val="nl-NL"/>
        </w:rPr>
        <w:t xml:space="preserve"> </w:t>
      </w:r>
      <w:r w:rsidRPr="000E4355">
        <w:rPr>
          <w:szCs w:val="18"/>
          <w:lang w:val="nl-NL"/>
        </w:rPr>
        <w:t>niet goed werkbaar</w:t>
      </w:r>
      <w:r>
        <w:rPr>
          <w:szCs w:val="18"/>
          <w:lang w:val="nl-NL"/>
        </w:rPr>
        <w:t xml:space="preserve"> is. In overleg met het Zorginstituut is besloten deze passage te verwijderen </w:t>
      </w:r>
      <w:r w:rsidR="00A17836">
        <w:rPr>
          <w:szCs w:val="18"/>
          <w:lang w:val="nl-NL"/>
        </w:rPr>
        <w:t>uit het convenant</w:t>
      </w:r>
      <w:r w:rsidR="001011D4">
        <w:rPr>
          <w:szCs w:val="18"/>
          <w:lang w:val="nl-NL"/>
        </w:rPr>
        <w:t>. Het is dan aan het veld om te kiezen tussen beide VT trajecten</w:t>
      </w:r>
      <w:r w:rsidR="006355FC">
        <w:rPr>
          <w:szCs w:val="18"/>
          <w:lang w:val="nl-NL"/>
        </w:rPr>
        <w:t xml:space="preserve">. Daarbij kan blijken dat een van beide producten als het meest veelbelovend wordt gezien. </w:t>
      </w:r>
      <w:r>
        <w:rPr>
          <w:szCs w:val="18"/>
          <w:lang w:val="nl-NL"/>
        </w:rPr>
        <w:t xml:space="preserve">Wanneer er sprake is van een tweede, vergelijkbaar geneesmiddel, zullen in het convenant wel afspraken gemaakt moeten worden over de </w:t>
      </w:r>
      <w:r w:rsidRPr="0035714A" w:rsidR="0035714A">
        <w:rPr>
          <w:szCs w:val="18"/>
          <w:lang w:val="nl-NL"/>
        </w:rPr>
        <w:t xml:space="preserve">analyse van </w:t>
      </w:r>
      <w:r>
        <w:rPr>
          <w:szCs w:val="18"/>
          <w:lang w:val="nl-NL"/>
        </w:rPr>
        <w:t>patiënten die van het ene naar het andere geneesmiddel overstappen</w:t>
      </w:r>
      <w:r w:rsidRPr="0035714A" w:rsidR="0035714A">
        <w:rPr>
          <w:szCs w:val="18"/>
          <w:lang w:val="nl-NL"/>
        </w:rPr>
        <w:t>.</w:t>
      </w:r>
      <w:r w:rsidR="003F572B">
        <w:rPr>
          <w:szCs w:val="18"/>
          <w:lang w:val="nl-NL"/>
        </w:rPr>
        <w:t xml:space="preserve"> Wanneer twee VT producten tegelijk starten kan wel worden overwogen om te kiezen voor </w:t>
      </w:r>
      <w:r w:rsidR="00DA0D67">
        <w:rPr>
          <w:szCs w:val="18"/>
          <w:lang w:val="nl-NL"/>
        </w:rPr>
        <w:t xml:space="preserve">(het verplicht stellen van) </w:t>
      </w:r>
      <w:r w:rsidR="003F572B">
        <w:rPr>
          <w:szCs w:val="18"/>
          <w:lang w:val="nl-NL"/>
        </w:rPr>
        <w:t xml:space="preserve">een gezamenlijke VT. </w:t>
      </w:r>
    </w:p>
    <w:p w:rsidR="0049340A" w:rsidP="00732703" w:rsidRDefault="0049340A" w14:paraId="62410F0D" w14:textId="77777777">
      <w:pPr>
        <w:suppressAutoHyphens/>
        <w:spacing w:after="0" w:line="240" w:lineRule="atLeast"/>
        <w:rPr>
          <w:szCs w:val="18"/>
          <w:u w:val="single"/>
          <w:lang w:val="nl-NL"/>
        </w:rPr>
      </w:pPr>
    </w:p>
    <w:p w:rsidRPr="00946C74" w:rsidR="00732703" w:rsidP="00F711F0" w:rsidRDefault="00732703" w14:paraId="74EB488D" w14:textId="77777777">
      <w:pPr>
        <w:suppressAutoHyphens/>
        <w:spacing w:line="240" w:lineRule="atLeast"/>
        <w:rPr>
          <w:szCs w:val="18"/>
          <w:u w:val="single"/>
          <w:lang w:val="nl-NL"/>
        </w:rPr>
      </w:pPr>
      <w:r w:rsidRPr="00946C74">
        <w:rPr>
          <w:szCs w:val="18"/>
          <w:u w:val="single"/>
          <w:lang w:val="nl-NL"/>
        </w:rPr>
        <w:t xml:space="preserve">Delen van tussenresultaten </w:t>
      </w:r>
    </w:p>
    <w:p w:rsidR="00732703" w:rsidP="00377036" w:rsidRDefault="007D0BCE" w14:paraId="3DE867F7" w14:textId="6BC8A204">
      <w:pPr>
        <w:spacing w:after="0"/>
        <w:rPr>
          <w:szCs w:val="18"/>
          <w:lang w:val="nl-NL"/>
        </w:rPr>
      </w:pPr>
      <w:r w:rsidRPr="007D0BCE">
        <w:rPr>
          <w:szCs w:val="18"/>
          <w:lang w:val="nl-NL"/>
        </w:rPr>
        <w:t>Geïnterviewde firma’s en patiëntenorganisaties geven aan dat zij gedurende de</w:t>
      </w:r>
      <w:r>
        <w:rPr>
          <w:szCs w:val="18"/>
          <w:lang w:val="nl-NL"/>
        </w:rPr>
        <w:t xml:space="preserve"> </w:t>
      </w:r>
      <w:r w:rsidRPr="007D0BCE">
        <w:rPr>
          <w:szCs w:val="18"/>
          <w:lang w:val="nl-NL"/>
        </w:rPr>
        <w:t>onderzoeksperiode van de VT graag zicht willen op tussentijdse onderzoeksresultaten zoals de</w:t>
      </w:r>
      <w:r>
        <w:rPr>
          <w:szCs w:val="18"/>
          <w:lang w:val="nl-NL"/>
        </w:rPr>
        <w:t xml:space="preserve"> </w:t>
      </w:r>
      <w:r w:rsidRPr="007D0BCE">
        <w:rPr>
          <w:szCs w:val="18"/>
          <w:lang w:val="nl-NL"/>
        </w:rPr>
        <w:t>effectiviteit van het geneesmiddel bij patiënten</w:t>
      </w:r>
      <w:r w:rsidR="003B29B1">
        <w:rPr>
          <w:szCs w:val="18"/>
          <w:lang w:val="nl-NL"/>
        </w:rPr>
        <w:t xml:space="preserve"> die meedoen aan het onderzoek</w:t>
      </w:r>
      <w:r>
        <w:rPr>
          <w:szCs w:val="18"/>
          <w:lang w:val="nl-NL"/>
        </w:rPr>
        <w:t xml:space="preserve">. </w:t>
      </w:r>
      <w:r w:rsidRPr="007D0BCE">
        <w:rPr>
          <w:szCs w:val="18"/>
          <w:lang w:val="nl-NL"/>
        </w:rPr>
        <w:t xml:space="preserve">Het tussentijds meten van resultaten kan </w:t>
      </w:r>
      <w:r>
        <w:rPr>
          <w:szCs w:val="18"/>
          <w:lang w:val="nl-NL"/>
        </w:rPr>
        <w:t xml:space="preserve">echter </w:t>
      </w:r>
      <w:r w:rsidRPr="007D0BCE">
        <w:rPr>
          <w:szCs w:val="18"/>
          <w:lang w:val="nl-NL"/>
        </w:rPr>
        <w:t>consequenties hebben voor de vereisten van statistische validiteit van het onderzoek</w:t>
      </w:r>
      <w:r>
        <w:rPr>
          <w:szCs w:val="18"/>
          <w:lang w:val="nl-NL"/>
        </w:rPr>
        <w:t xml:space="preserve">. </w:t>
      </w:r>
      <w:r w:rsidR="00B333A7">
        <w:rPr>
          <w:szCs w:val="18"/>
          <w:lang w:val="nl-NL"/>
        </w:rPr>
        <w:t>Alhoewel de wens van patiënten begrijp</w:t>
      </w:r>
      <w:r w:rsidR="004F3E3E">
        <w:rPr>
          <w:szCs w:val="18"/>
          <w:lang w:val="nl-NL"/>
        </w:rPr>
        <w:t>elijk is</w:t>
      </w:r>
      <w:r w:rsidR="00B333A7">
        <w:rPr>
          <w:szCs w:val="18"/>
          <w:lang w:val="nl-NL"/>
        </w:rPr>
        <w:t xml:space="preserve">, </w:t>
      </w:r>
      <w:r w:rsidR="004F3E3E">
        <w:rPr>
          <w:szCs w:val="18"/>
          <w:lang w:val="nl-NL"/>
        </w:rPr>
        <w:t>is</w:t>
      </w:r>
      <w:r w:rsidR="00B333A7">
        <w:rPr>
          <w:szCs w:val="18"/>
          <w:lang w:val="nl-NL"/>
        </w:rPr>
        <w:t xml:space="preserve"> </w:t>
      </w:r>
      <w:r w:rsidRPr="007D0BCE">
        <w:rPr>
          <w:szCs w:val="18"/>
          <w:lang w:val="nl-NL"/>
        </w:rPr>
        <w:t>daarom besloten hier niet toe over te gaan.</w:t>
      </w:r>
      <w:r w:rsidR="00866D5D">
        <w:rPr>
          <w:szCs w:val="18"/>
          <w:lang w:val="nl-NL"/>
        </w:rPr>
        <w:t xml:space="preserve"> </w:t>
      </w:r>
      <w:r w:rsidR="00DA0D67">
        <w:rPr>
          <w:szCs w:val="18"/>
          <w:lang w:val="nl-NL"/>
        </w:rPr>
        <w:t xml:space="preserve">Daarbij komt dat </w:t>
      </w:r>
      <w:r w:rsidR="00DF6854">
        <w:rPr>
          <w:szCs w:val="18"/>
          <w:lang w:val="nl-NL"/>
        </w:rPr>
        <w:t>d</w:t>
      </w:r>
      <w:r w:rsidR="00AA55A9">
        <w:rPr>
          <w:szCs w:val="18"/>
          <w:lang w:val="nl-NL"/>
        </w:rPr>
        <w:t xml:space="preserve">e duur van het VT traject </w:t>
      </w:r>
      <w:r w:rsidR="00DA0D67">
        <w:rPr>
          <w:szCs w:val="18"/>
          <w:lang w:val="nl-NL"/>
        </w:rPr>
        <w:t xml:space="preserve">wordt </w:t>
      </w:r>
      <w:r w:rsidR="00AA55A9">
        <w:rPr>
          <w:szCs w:val="18"/>
          <w:lang w:val="nl-NL"/>
        </w:rPr>
        <w:t>teruggebracht van maximaal 14 jaar naar 5 jaar</w:t>
      </w:r>
      <w:r w:rsidR="00DA0D67">
        <w:rPr>
          <w:szCs w:val="18"/>
          <w:lang w:val="nl-NL"/>
        </w:rPr>
        <w:t>.</w:t>
      </w:r>
      <w:r w:rsidR="00AA55A9">
        <w:rPr>
          <w:szCs w:val="18"/>
          <w:lang w:val="nl-NL"/>
        </w:rPr>
        <w:t xml:space="preserve"> </w:t>
      </w:r>
      <w:r w:rsidR="00866D5D">
        <w:rPr>
          <w:szCs w:val="18"/>
          <w:lang w:val="nl-NL"/>
        </w:rPr>
        <w:t xml:space="preserve">Los hiervan wordt </w:t>
      </w:r>
      <w:r w:rsidRPr="00866D5D" w:rsidR="00866D5D">
        <w:rPr>
          <w:szCs w:val="18"/>
          <w:lang w:val="nl-NL"/>
        </w:rPr>
        <w:t>de inclusie en de haalbaarheid van het onderzoekstraject</w:t>
      </w:r>
      <w:r w:rsidR="003F7221">
        <w:rPr>
          <w:szCs w:val="18"/>
          <w:lang w:val="nl-NL"/>
        </w:rPr>
        <w:t xml:space="preserve"> jaarlijks gemonitord</w:t>
      </w:r>
      <w:r w:rsidR="00AA55A9">
        <w:rPr>
          <w:szCs w:val="18"/>
          <w:lang w:val="nl-NL"/>
        </w:rPr>
        <w:t xml:space="preserve">. </w:t>
      </w:r>
      <w:r w:rsidR="00866D5D">
        <w:rPr>
          <w:szCs w:val="18"/>
          <w:lang w:val="nl-NL"/>
        </w:rPr>
        <w:t>Het Zorginstituut kan adviseren</w:t>
      </w:r>
      <w:r w:rsidRPr="00866D5D" w:rsidR="00866D5D">
        <w:rPr>
          <w:szCs w:val="18"/>
          <w:lang w:val="nl-NL"/>
        </w:rPr>
        <w:t xml:space="preserve"> over het al dan niet voortzetten van het onderzoekstraject.</w:t>
      </w:r>
    </w:p>
    <w:p w:rsidR="00377036" w:rsidP="00377036" w:rsidRDefault="00377036" w14:paraId="17E9517D" w14:textId="77777777">
      <w:pPr>
        <w:rPr>
          <w:szCs w:val="18"/>
          <w:lang w:val="nl-NL"/>
        </w:rPr>
      </w:pPr>
    </w:p>
    <w:p w:rsidR="007D0BCE" w:rsidP="0035714A" w:rsidRDefault="00706E13" w14:paraId="6CE7F6C8" w14:textId="77777777">
      <w:pPr>
        <w:rPr>
          <w:szCs w:val="18"/>
          <w:u w:val="single"/>
          <w:lang w:val="nl-NL"/>
        </w:rPr>
      </w:pPr>
      <w:r w:rsidRPr="00001078">
        <w:rPr>
          <w:szCs w:val="18"/>
          <w:u w:val="single"/>
          <w:lang w:val="nl-NL"/>
        </w:rPr>
        <w:t>Beschikbaarheid van geneesmiddelen voor (sub-)indicaties die in toekomst nauwelijks meer zullen bestaan</w:t>
      </w:r>
    </w:p>
    <w:p w:rsidR="00706E13" w:rsidP="00377036" w:rsidRDefault="00D40C96" w14:paraId="19F356B6" w14:textId="074C3C68">
      <w:pPr>
        <w:spacing w:after="0"/>
        <w:rPr>
          <w:lang w:val="nl-NL"/>
        </w:rPr>
      </w:pPr>
      <w:r w:rsidRPr="00F92DB0">
        <w:rPr>
          <w:lang w:val="nl-NL"/>
        </w:rPr>
        <w:t>Voor ziektes waar</w:t>
      </w:r>
      <w:r w:rsidRPr="00F92DB0" w:rsidR="00C45204">
        <w:rPr>
          <w:lang w:val="nl-NL"/>
        </w:rPr>
        <w:t>voor</w:t>
      </w:r>
      <w:r w:rsidRPr="00F92DB0">
        <w:rPr>
          <w:lang w:val="nl-NL"/>
        </w:rPr>
        <w:t xml:space="preserve"> eerder geen behandeling beschikbaar was (</w:t>
      </w:r>
      <w:proofErr w:type="spellStart"/>
      <w:r w:rsidRPr="00DF40BA">
        <w:rPr>
          <w:i/>
          <w:iCs/>
          <w:lang w:val="nl-NL"/>
        </w:rPr>
        <w:t>unmet</w:t>
      </w:r>
      <w:proofErr w:type="spellEnd"/>
      <w:r w:rsidRPr="00DF40BA">
        <w:rPr>
          <w:i/>
          <w:iCs/>
          <w:lang w:val="nl-NL"/>
        </w:rPr>
        <w:t xml:space="preserve"> </w:t>
      </w:r>
      <w:proofErr w:type="spellStart"/>
      <w:r w:rsidRPr="00DF40BA">
        <w:rPr>
          <w:i/>
          <w:iCs/>
          <w:lang w:val="nl-NL"/>
        </w:rPr>
        <w:t>medical</w:t>
      </w:r>
      <w:proofErr w:type="spellEnd"/>
      <w:r w:rsidRPr="00DF40BA">
        <w:rPr>
          <w:i/>
          <w:iCs/>
          <w:lang w:val="nl-NL"/>
        </w:rPr>
        <w:t xml:space="preserve"> </w:t>
      </w:r>
      <w:proofErr w:type="spellStart"/>
      <w:r w:rsidRPr="00DF40BA">
        <w:rPr>
          <w:i/>
          <w:iCs/>
          <w:lang w:val="nl-NL"/>
        </w:rPr>
        <w:t>need</w:t>
      </w:r>
      <w:proofErr w:type="spellEnd"/>
      <w:r w:rsidRPr="00F92DB0">
        <w:rPr>
          <w:lang w:val="nl-NL"/>
        </w:rPr>
        <w:t xml:space="preserve">), komt vroegdiagnostiek (b.v. de hielprik) </w:t>
      </w:r>
      <w:r w:rsidR="00CE56E6">
        <w:rPr>
          <w:lang w:val="nl-NL"/>
        </w:rPr>
        <w:t>vaak</w:t>
      </w:r>
      <w:r w:rsidRPr="00F92DB0">
        <w:rPr>
          <w:lang w:val="nl-NL"/>
        </w:rPr>
        <w:t xml:space="preserve"> pas beschikbaar wanneer een nieuwe behandeling in zicht is. </w:t>
      </w:r>
      <w:r w:rsidR="007637DE">
        <w:rPr>
          <w:lang w:val="nl-NL"/>
        </w:rPr>
        <w:t xml:space="preserve">Bij zogenaamde degeneratieve aandoeningen worden </w:t>
      </w:r>
      <w:r w:rsidR="00AD4DB1">
        <w:rPr>
          <w:lang w:val="nl-NL"/>
        </w:rPr>
        <w:t>patiënten</w:t>
      </w:r>
      <w:r w:rsidR="007637DE">
        <w:rPr>
          <w:lang w:val="nl-NL"/>
        </w:rPr>
        <w:t xml:space="preserve"> steeds zieker naarmate ze ouder worden</w:t>
      </w:r>
      <w:r w:rsidR="00AD4DB1">
        <w:rPr>
          <w:lang w:val="nl-NL"/>
        </w:rPr>
        <w:t>.</w:t>
      </w:r>
      <w:r w:rsidRPr="007637DE" w:rsidR="007637DE">
        <w:rPr>
          <w:lang w:val="nl-NL"/>
        </w:rPr>
        <w:t xml:space="preserve"> Door vroegdiagnostiek </w:t>
      </w:r>
      <w:r w:rsidR="00EB7DFE">
        <w:rPr>
          <w:lang w:val="nl-NL"/>
        </w:rPr>
        <w:t xml:space="preserve">en daarmee start van de behandeling op jonge leeftijd, </w:t>
      </w:r>
      <w:r w:rsidRPr="007637DE" w:rsidR="007637DE">
        <w:rPr>
          <w:lang w:val="nl-NL"/>
        </w:rPr>
        <w:t xml:space="preserve">zal </w:t>
      </w:r>
      <w:r w:rsidRPr="007637DE" w:rsidR="007637DE">
        <w:rPr>
          <w:lang w:val="nl-NL"/>
        </w:rPr>
        <w:lastRenderedPageBreak/>
        <w:t xml:space="preserve">het aantal ernstig zieke </w:t>
      </w:r>
      <w:r w:rsidR="007637DE">
        <w:rPr>
          <w:lang w:val="nl-NL"/>
        </w:rPr>
        <w:t xml:space="preserve">oudere </w:t>
      </w:r>
      <w:r w:rsidRPr="007637DE" w:rsidR="007637DE">
        <w:rPr>
          <w:lang w:val="nl-NL"/>
        </w:rPr>
        <w:t xml:space="preserve">patiënten </w:t>
      </w:r>
      <w:r w:rsidR="007637DE">
        <w:rPr>
          <w:lang w:val="nl-NL"/>
        </w:rPr>
        <w:t xml:space="preserve">afnemen. </w:t>
      </w:r>
      <w:r w:rsidR="00A164E0">
        <w:rPr>
          <w:lang w:val="nl-NL"/>
        </w:rPr>
        <w:t xml:space="preserve">Dan lijkt het </w:t>
      </w:r>
      <w:r w:rsidRPr="00F92DB0">
        <w:rPr>
          <w:lang w:val="nl-NL"/>
        </w:rPr>
        <w:t xml:space="preserve">beantwoorden van de pakketvraag voor </w:t>
      </w:r>
      <w:r w:rsidRPr="00F92DB0" w:rsidR="00244FFD">
        <w:rPr>
          <w:lang w:val="nl-NL"/>
        </w:rPr>
        <w:t xml:space="preserve">een </w:t>
      </w:r>
      <w:r w:rsidRPr="00F92DB0">
        <w:rPr>
          <w:lang w:val="nl-NL"/>
        </w:rPr>
        <w:t xml:space="preserve">oudere patiëntgroep, bijvoorbeeld binnen de VT, niet </w:t>
      </w:r>
      <w:r w:rsidR="00A164E0">
        <w:rPr>
          <w:lang w:val="nl-NL"/>
        </w:rPr>
        <w:t xml:space="preserve">meer </w:t>
      </w:r>
      <w:r w:rsidRPr="00F92DB0">
        <w:rPr>
          <w:lang w:val="nl-NL"/>
        </w:rPr>
        <w:t>proportioneel</w:t>
      </w:r>
      <w:r w:rsidR="00A164E0">
        <w:rPr>
          <w:lang w:val="nl-NL"/>
        </w:rPr>
        <w:t xml:space="preserve">. </w:t>
      </w:r>
      <w:r w:rsidRPr="00F92DB0">
        <w:rPr>
          <w:lang w:val="nl-NL"/>
        </w:rPr>
        <w:t xml:space="preserve">Het rapport adviseert VWS om te verkennen of beschikbaarheid van het geneesmiddel voor de oudere patiëntgroep op een andere manier te borgen is, zonder daarbij </w:t>
      </w:r>
      <w:r w:rsidRPr="00F92DB0" w:rsidR="00A4431E">
        <w:rPr>
          <w:lang w:val="nl-NL"/>
        </w:rPr>
        <w:t xml:space="preserve">altijd </w:t>
      </w:r>
      <w:r w:rsidRPr="00F92DB0">
        <w:rPr>
          <w:lang w:val="nl-NL"/>
        </w:rPr>
        <w:t xml:space="preserve">onderzoek of andere dataverzameling te eisen. </w:t>
      </w:r>
      <w:r w:rsidR="004F3E3E">
        <w:rPr>
          <w:lang w:val="nl-NL"/>
        </w:rPr>
        <w:t>Hierover</w:t>
      </w:r>
      <w:r w:rsidRPr="00F92DB0" w:rsidR="00706E13">
        <w:rPr>
          <w:lang w:val="nl-NL"/>
        </w:rPr>
        <w:t xml:space="preserve"> moet nog ee</w:t>
      </w:r>
      <w:r w:rsidRPr="00F92DB0" w:rsidR="003F7221">
        <w:rPr>
          <w:lang w:val="nl-NL"/>
        </w:rPr>
        <w:t>n</w:t>
      </w:r>
      <w:r w:rsidRPr="00F92DB0" w:rsidR="00706E13">
        <w:rPr>
          <w:lang w:val="nl-NL"/>
        </w:rPr>
        <w:t xml:space="preserve"> besliss</w:t>
      </w:r>
      <w:r w:rsidRPr="00F92DB0" w:rsidR="003F7221">
        <w:rPr>
          <w:lang w:val="nl-NL"/>
        </w:rPr>
        <w:t>ing</w:t>
      </w:r>
      <w:r w:rsidRPr="00F92DB0" w:rsidR="00706E13">
        <w:rPr>
          <w:lang w:val="nl-NL"/>
        </w:rPr>
        <w:t xml:space="preserve"> </w:t>
      </w:r>
      <w:r w:rsidR="004F3E3E">
        <w:rPr>
          <w:lang w:val="nl-NL"/>
        </w:rPr>
        <w:t>worden genomen. Maar het is belangrijk om</w:t>
      </w:r>
      <w:r w:rsidRPr="00F92DB0" w:rsidR="00706E13">
        <w:rPr>
          <w:lang w:val="nl-NL"/>
        </w:rPr>
        <w:t xml:space="preserve"> hier nogmaals </w:t>
      </w:r>
      <w:r w:rsidR="004F3E3E">
        <w:rPr>
          <w:lang w:val="nl-NL"/>
        </w:rPr>
        <w:t xml:space="preserve">te </w:t>
      </w:r>
      <w:r w:rsidRPr="00F92DB0" w:rsidR="00706E13">
        <w:rPr>
          <w:lang w:val="nl-NL"/>
        </w:rPr>
        <w:t xml:space="preserve">benadrukken dat </w:t>
      </w:r>
      <w:r w:rsidR="004F3E3E">
        <w:rPr>
          <w:lang w:val="nl-NL"/>
        </w:rPr>
        <w:t>het kabinet</w:t>
      </w:r>
      <w:r w:rsidRPr="00F92DB0" w:rsidR="00706E13">
        <w:rPr>
          <w:lang w:val="nl-NL"/>
        </w:rPr>
        <w:t xml:space="preserve"> over het algemeen geen voorstander </w:t>
      </w:r>
      <w:r w:rsidR="004F3E3E">
        <w:rPr>
          <w:lang w:val="nl-NL"/>
        </w:rPr>
        <w:t xml:space="preserve">is </w:t>
      </w:r>
      <w:r w:rsidRPr="00F92DB0" w:rsidR="00706E13">
        <w:rPr>
          <w:lang w:val="nl-NL"/>
        </w:rPr>
        <w:t>van het vergoeden van geneesmiddelen waar</w:t>
      </w:r>
      <w:r w:rsidRPr="00F92DB0" w:rsidR="00A6301A">
        <w:rPr>
          <w:lang w:val="nl-NL"/>
        </w:rPr>
        <w:t>van</w:t>
      </w:r>
      <w:r w:rsidRPr="00F92DB0" w:rsidR="00706E13">
        <w:rPr>
          <w:lang w:val="nl-NL"/>
        </w:rPr>
        <w:t xml:space="preserve"> de effectiviteit (nog) onvoldoende is </w:t>
      </w:r>
      <w:r w:rsidRPr="00F92DB0" w:rsidR="00A6301A">
        <w:rPr>
          <w:lang w:val="nl-NL"/>
        </w:rPr>
        <w:t>aangetoond</w:t>
      </w:r>
      <w:r w:rsidRPr="00F92DB0" w:rsidR="00706E13">
        <w:rPr>
          <w:lang w:val="nl-NL"/>
        </w:rPr>
        <w:t xml:space="preserve">.   </w:t>
      </w:r>
    </w:p>
    <w:p w:rsidRPr="00F92DB0" w:rsidR="00377036" w:rsidP="00377036" w:rsidRDefault="00377036" w14:paraId="275247EE" w14:textId="77777777">
      <w:pPr>
        <w:rPr>
          <w:lang w:val="nl-NL"/>
        </w:rPr>
      </w:pPr>
    </w:p>
    <w:p w:rsidRPr="00A73E14" w:rsidR="00001078" w:rsidP="00001078" w:rsidRDefault="006C6CB8" w14:paraId="1A9E37B3" w14:textId="77777777">
      <w:pPr>
        <w:rPr>
          <w:b/>
          <w:bCs/>
          <w:lang w:val="nl-NL"/>
        </w:rPr>
      </w:pPr>
      <w:r w:rsidRPr="00A73E14">
        <w:rPr>
          <w:b/>
          <w:bCs/>
          <w:lang w:val="nl-NL"/>
        </w:rPr>
        <w:t>Invoering aanpassingen</w:t>
      </w:r>
    </w:p>
    <w:p w:rsidR="006C6CB8" w:rsidP="00377036" w:rsidRDefault="004F3E3E" w14:paraId="42CB9762" w14:textId="0CEC7AA1">
      <w:pPr>
        <w:spacing w:after="0"/>
        <w:rPr>
          <w:lang w:val="nl-NL"/>
        </w:rPr>
      </w:pPr>
      <w:r>
        <w:rPr>
          <w:lang w:val="nl-NL"/>
        </w:rPr>
        <w:t>Het kabinet</w:t>
      </w:r>
      <w:r w:rsidRPr="006C6CB8" w:rsidR="006C6CB8">
        <w:rPr>
          <w:lang w:val="nl-NL"/>
        </w:rPr>
        <w:t xml:space="preserve"> stel</w:t>
      </w:r>
      <w:r>
        <w:rPr>
          <w:lang w:val="nl-NL"/>
        </w:rPr>
        <w:t>t</w:t>
      </w:r>
      <w:r w:rsidRPr="006C6CB8" w:rsidR="006C6CB8">
        <w:rPr>
          <w:lang w:val="nl-NL"/>
        </w:rPr>
        <w:t xml:space="preserve"> een gefaseerde invoering voor van de aanpassingen. Aanpassingen die relatief eenvoudig zijn te realiseren k</w:t>
      </w:r>
      <w:r>
        <w:rPr>
          <w:lang w:val="nl-NL"/>
        </w:rPr>
        <w:t>unnen</w:t>
      </w:r>
      <w:r w:rsidRPr="006C6CB8" w:rsidR="006C6CB8">
        <w:rPr>
          <w:lang w:val="nl-NL"/>
        </w:rPr>
        <w:t xml:space="preserve"> op korte termijn </w:t>
      </w:r>
      <w:r>
        <w:rPr>
          <w:lang w:val="nl-NL"/>
        </w:rPr>
        <w:t>worden ingevoerd</w:t>
      </w:r>
      <w:r w:rsidRPr="006C6CB8" w:rsidR="006C6CB8">
        <w:rPr>
          <w:lang w:val="nl-NL"/>
        </w:rPr>
        <w:t xml:space="preserve">. Meer complexe aanpassingen vragen nog om nader onderzoek en afstemming en worden, wanneer van toepassing, op langere termijn doorgevoerd. </w:t>
      </w:r>
      <w:r>
        <w:rPr>
          <w:lang w:val="nl-NL"/>
        </w:rPr>
        <w:t xml:space="preserve">Het streven is om </w:t>
      </w:r>
      <w:r w:rsidR="00886144">
        <w:rPr>
          <w:lang w:val="nl-NL"/>
        </w:rPr>
        <w:t xml:space="preserve">deze </w:t>
      </w:r>
      <w:r>
        <w:rPr>
          <w:lang w:val="nl-NL"/>
        </w:rPr>
        <w:t xml:space="preserve">aanpassingen </w:t>
      </w:r>
      <w:r w:rsidR="00886144">
        <w:rPr>
          <w:lang w:val="nl-NL"/>
        </w:rPr>
        <w:t xml:space="preserve">te hebben </w:t>
      </w:r>
      <w:r w:rsidR="00EB7DFE">
        <w:rPr>
          <w:lang w:val="nl-NL"/>
        </w:rPr>
        <w:t>door</w:t>
      </w:r>
      <w:r w:rsidR="00886144">
        <w:rPr>
          <w:lang w:val="nl-NL"/>
        </w:rPr>
        <w:t xml:space="preserve">gevoerd op het moment dat het </w:t>
      </w:r>
      <w:r w:rsidR="00733CE3">
        <w:rPr>
          <w:lang w:val="nl-NL"/>
        </w:rPr>
        <w:t>TSG</w:t>
      </w:r>
      <w:r w:rsidR="00886144">
        <w:rPr>
          <w:lang w:val="nl-NL"/>
        </w:rPr>
        <w:t xml:space="preserve"> van kracht wordt. </w:t>
      </w:r>
      <w:r>
        <w:rPr>
          <w:lang w:val="nl-NL"/>
        </w:rPr>
        <w:t xml:space="preserve">Tot die tijd worden de </w:t>
      </w:r>
      <w:r w:rsidRPr="006C6CB8" w:rsidR="006C6CB8">
        <w:rPr>
          <w:lang w:val="nl-NL"/>
        </w:rPr>
        <w:t xml:space="preserve">bestaande voorwaarden gevolgd </w:t>
      </w:r>
      <w:r>
        <w:rPr>
          <w:lang w:val="nl-NL"/>
        </w:rPr>
        <w:t>voor de betreffende punten</w:t>
      </w:r>
      <w:r w:rsidRPr="006C6CB8" w:rsidR="006C6CB8">
        <w:rPr>
          <w:lang w:val="nl-NL"/>
        </w:rPr>
        <w:t>.</w:t>
      </w:r>
    </w:p>
    <w:p w:rsidR="00377036" w:rsidP="00377036" w:rsidRDefault="00377036" w14:paraId="177B5DC6" w14:textId="77777777">
      <w:pPr>
        <w:rPr>
          <w:lang w:val="nl-NL"/>
        </w:rPr>
      </w:pPr>
    </w:p>
    <w:p w:rsidR="00EB7DFE" w:rsidRDefault="00EB7DFE" w14:paraId="32FB0B60" w14:textId="77777777">
      <w:pPr>
        <w:rPr>
          <w:b/>
          <w:bCs/>
          <w:lang w:val="nl-NL"/>
        </w:rPr>
      </w:pPr>
      <w:r>
        <w:rPr>
          <w:b/>
          <w:bCs/>
          <w:lang w:val="nl-NL"/>
        </w:rPr>
        <w:br w:type="page"/>
      </w:r>
    </w:p>
    <w:p w:rsidRPr="00A73E14" w:rsidR="003F7221" w:rsidP="00001078" w:rsidRDefault="003F7221" w14:paraId="72C9403B" w14:textId="6729359F">
      <w:pPr>
        <w:rPr>
          <w:b/>
          <w:bCs/>
          <w:lang w:val="nl-NL"/>
        </w:rPr>
      </w:pPr>
      <w:r w:rsidRPr="00A73E14">
        <w:rPr>
          <w:b/>
          <w:bCs/>
          <w:lang w:val="nl-NL"/>
        </w:rPr>
        <w:lastRenderedPageBreak/>
        <w:t>Samenvatting huidig en nieuw VT beleid</w:t>
      </w:r>
    </w:p>
    <w:p w:rsidR="005F6598" w:rsidP="005F6598" w:rsidRDefault="00001078" w14:paraId="2DB20654" w14:textId="77777777">
      <w:pPr>
        <w:rPr>
          <w:lang w:val="nl-NL"/>
        </w:rPr>
      </w:pPr>
      <w:r>
        <w:rPr>
          <w:lang w:val="nl-NL"/>
        </w:rPr>
        <w:t xml:space="preserve">Tabel 1. </w:t>
      </w:r>
      <w:r w:rsidR="00C10A62">
        <w:rPr>
          <w:lang w:val="nl-NL"/>
        </w:rPr>
        <w:t>Belangrijkste k</w:t>
      </w:r>
      <w:r>
        <w:rPr>
          <w:lang w:val="nl-NL"/>
        </w:rPr>
        <w:t xml:space="preserve">enmerken huidig en nieuw </w:t>
      </w:r>
      <w:r w:rsidR="00C10A62">
        <w:rPr>
          <w:lang w:val="nl-NL"/>
        </w:rPr>
        <w:t xml:space="preserve">VT </w:t>
      </w:r>
      <w:r>
        <w:rPr>
          <w:lang w:val="nl-NL"/>
        </w:rPr>
        <w:t xml:space="preserve">beleid </w:t>
      </w:r>
    </w:p>
    <w:tbl>
      <w:tblPr>
        <w:tblStyle w:val="Tabelraster"/>
        <w:tblW w:w="0" w:type="auto"/>
        <w:tblLook w:val="04A0" w:firstRow="1" w:lastRow="0" w:firstColumn="1" w:lastColumn="0" w:noHBand="0" w:noVBand="1"/>
      </w:tblPr>
      <w:tblGrid>
        <w:gridCol w:w="2231"/>
        <w:gridCol w:w="2232"/>
        <w:gridCol w:w="2231"/>
        <w:gridCol w:w="2232"/>
      </w:tblGrid>
      <w:tr w:rsidRPr="00A73E14" w:rsidR="00001078" w:rsidTr="00BD5966" w14:paraId="141B4285" w14:textId="77777777">
        <w:trPr>
          <w:trHeight w:val="301"/>
        </w:trPr>
        <w:tc>
          <w:tcPr>
            <w:tcW w:w="2231" w:type="dxa"/>
          </w:tcPr>
          <w:p w:rsidRPr="00A73E14" w:rsidR="00001078" w:rsidRDefault="00001078" w14:paraId="21A997C3" w14:textId="77777777">
            <w:pPr>
              <w:rPr>
                <w:sz w:val="16"/>
                <w:szCs w:val="16"/>
                <w:lang w:val="nl-NL"/>
              </w:rPr>
            </w:pPr>
          </w:p>
        </w:tc>
        <w:tc>
          <w:tcPr>
            <w:tcW w:w="2232" w:type="dxa"/>
          </w:tcPr>
          <w:p w:rsidRPr="00A73E14" w:rsidR="00001078" w:rsidRDefault="00001078" w14:paraId="022FE61D" w14:textId="77777777">
            <w:pPr>
              <w:rPr>
                <w:b/>
                <w:bCs/>
                <w:sz w:val="16"/>
                <w:szCs w:val="16"/>
                <w:lang w:val="nl-NL"/>
              </w:rPr>
            </w:pPr>
            <w:r w:rsidRPr="00A73E14">
              <w:rPr>
                <w:b/>
                <w:bCs/>
                <w:sz w:val="16"/>
                <w:szCs w:val="16"/>
                <w:lang w:val="nl-NL"/>
              </w:rPr>
              <w:t>Huidige beleid</w:t>
            </w:r>
          </w:p>
        </w:tc>
        <w:tc>
          <w:tcPr>
            <w:tcW w:w="2231" w:type="dxa"/>
          </w:tcPr>
          <w:p w:rsidRPr="00A73E14" w:rsidR="00001078" w:rsidRDefault="00001078" w14:paraId="029BAAF3" w14:textId="77777777">
            <w:pPr>
              <w:rPr>
                <w:b/>
                <w:bCs/>
                <w:sz w:val="16"/>
                <w:szCs w:val="16"/>
                <w:lang w:val="nl-NL"/>
              </w:rPr>
            </w:pPr>
            <w:r w:rsidRPr="00A73E14">
              <w:rPr>
                <w:b/>
                <w:bCs/>
                <w:sz w:val="16"/>
                <w:szCs w:val="16"/>
                <w:lang w:val="nl-NL"/>
              </w:rPr>
              <w:t>Toekomstig beleid</w:t>
            </w:r>
          </w:p>
        </w:tc>
        <w:tc>
          <w:tcPr>
            <w:tcW w:w="2232" w:type="dxa"/>
          </w:tcPr>
          <w:p w:rsidRPr="00A73E14" w:rsidR="00001078" w:rsidRDefault="00001078" w14:paraId="28F9D98A" w14:textId="77777777">
            <w:pPr>
              <w:rPr>
                <w:b/>
                <w:bCs/>
                <w:sz w:val="16"/>
                <w:szCs w:val="16"/>
                <w:lang w:val="nl-NL"/>
              </w:rPr>
            </w:pPr>
            <w:r w:rsidRPr="00A73E14">
              <w:rPr>
                <w:b/>
                <w:bCs/>
                <w:sz w:val="16"/>
                <w:szCs w:val="16"/>
                <w:lang w:val="nl-NL"/>
              </w:rPr>
              <w:t>Status</w:t>
            </w:r>
          </w:p>
        </w:tc>
      </w:tr>
      <w:tr w:rsidRPr="00EB7E6E" w:rsidR="00001078" w:rsidTr="00BD5966" w14:paraId="2F6407EE" w14:textId="77777777">
        <w:trPr>
          <w:trHeight w:val="350"/>
        </w:trPr>
        <w:tc>
          <w:tcPr>
            <w:tcW w:w="2231" w:type="dxa"/>
          </w:tcPr>
          <w:p w:rsidRPr="00A73E14" w:rsidR="00001078" w:rsidRDefault="00001078" w14:paraId="74D3ADC6" w14:textId="77777777">
            <w:pPr>
              <w:rPr>
                <w:b/>
                <w:bCs/>
                <w:sz w:val="16"/>
                <w:szCs w:val="16"/>
                <w:lang w:val="nl-NL"/>
              </w:rPr>
            </w:pPr>
            <w:r w:rsidRPr="00A73E14">
              <w:rPr>
                <w:b/>
                <w:bCs/>
                <w:sz w:val="16"/>
                <w:szCs w:val="16"/>
                <w:lang w:val="nl-NL"/>
              </w:rPr>
              <w:t>Doelstelling</w:t>
            </w:r>
          </w:p>
        </w:tc>
        <w:tc>
          <w:tcPr>
            <w:tcW w:w="2232" w:type="dxa"/>
          </w:tcPr>
          <w:p w:rsidRPr="00A73E14" w:rsidR="00001078" w:rsidRDefault="00001078" w14:paraId="77BE6D60" w14:textId="77777777">
            <w:pPr>
              <w:rPr>
                <w:sz w:val="16"/>
                <w:szCs w:val="16"/>
                <w:lang w:val="nl-NL"/>
              </w:rPr>
            </w:pPr>
            <w:r w:rsidRPr="00A73E14">
              <w:rPr>
                <w:sz w:val="16"/>
                <w:szCs w:val="16"/>
                <w:lang w:val="nl-NL"/>
              </w:rPr>
              <w:t>Pakketwaardigheid aantonen en toegang voor patiënten</w:t>
            </w:r>
            <w:r w:rsidRPr="00A73E14" w:rsidR="0016417C">
              <w:rPr>
                <w:sz w:val="16"/>
                <w:szCs w:val="16"/>
                <w:lang w:val="nl-NL"/>
              </w:rPr>
              <w:t>.</w:t>
            </w:r>
          </w:p>
          <w:p w:rsidRPr="00A73E14" w:rsidR="0016417C" w:rsidRDefault="0016417C" w14:paraId="5F77042B" w14:textId="77777777">
            <w:pPr>
              <w:rPr>
                <w:sz w:val="16"/>
                <w:szCs w:val="16"/>
                <w:lang w:val="nl-NL"/>
              </w:rPr>
            </w:pPr>
            <w:r w:rsidRPr="00A73E14">
              <w:rPr>
                <w:sz w:val="16"/>
                <w:szCs w:val="16"/>
                <w:lang w:val="nl-NL"/>
              </w:rPr>
              <w:t>Waar mogelijk: bevordering van doelmatige inzet van het betreffende middel</w:t>
            </w:r>
          </w:p>
        </w:tc>
        <w:tc>
          <w:tcPr>
            <w:tcW w:w="2231" w:type="dxa"/>
          </w:tcPr>
          <w:p w:rsidRPr="00A73E14" w:rsidR="00001078" w:rsidRDefault="00001078" w14:paraId="73E7CF0B" w14:textId="77777777">
            <w:pPr>
              <w:rPr>
                <w:sz w:val="16"/>
                <w:szCs w:val="16"/>
                <w:lang w:val="nl-NL"/>
              </w:rPr>
            </w:pPr>
            <w:r w:rsidRPr="00A73E14">
              <w:rPr>
                <w:sz w:val="16"/>
                <w:szCs w:val="16"/>
                <w:lang w:val="nl-NL"/>
              </w:rPr>
              <w:t>Pakketwaardigheid aantonen en toegang voor patiënten</w:t>
            </w:r>
          </w:p>
        </w:tc>
        <w:tc>
          <w:tcPr>
            <w:tcW w:w="2232" w:type="dxa"/>
          </w:tcPr>
          <w:p w:rsidRPr="00A73E14" w:rsidR="00001078" w:rsidRDefault="0016417C" w14:paraId="1EFEC8A4" w14:textId="77777777">
            <w:pPr>
              <w:rPr>
                <w:sz w:val="16"/>
                <w:szCs w:val="16"/>
                <w:lang w:val="nl-NL"/>
              </w:rPr>
            </w:pPr>
            <w:r w:rsidRPr="00A73E14">
              <w:rPr>
                <w:sz w:val="16"/>
                <w:szCs w:val="16"/>
                <w:lang w:val="nl-NL"/>
              </w:rPr>
              <w:t>Doelstelling bevordering van doelmatige inzet van het betreffende middel vervalt per direct</w:t>
            </w:r>
            <w:r w:rsidRPr="00A73E14" w:rsidR="00184387">
              <w:rPr>
                <w:sz w:val="16"/>
                <w:szCs w:val="16"/>
                <w:lang w:val="nl-NL"/>
              </w:rPr>
              <w:t xml:space="preserve"> voor nieuwe </w:t>
            </w:r>
            <w:r w:rsidR="00AC4C12">
              <w:rPr>
                <w:sz w:val="16"/>
                <w:szCs w:val="16"/>
                <w:lang w:val="nl-NL"/>
              </w:rPr>
              <w:t xml:space="preserve">VT </w:t>
            </w:r>
            <w:r w:rsidRPr="00A73E14" w:rsidR="00184387">
              <w:rPr>
                <w:sz w:val="16"/>
                <w:szCs w:val="16"/>
                <w:lang w:val="nl-NL"/>
              </w:rPr>
              <w:t>trajecten</w:t>
            </w:r>
          </w:p>
        </w:tc>
      </w:tr>
      <w:tr w:rsidRPr="00EB7E6E" w:rsidR="00001078" w:rsidTr="00BD5966" w14:paraId="71720FC4" w14:textId="77777777">
        <w:trPr>
          <w:trHeight w:val="530"/>
        </w:trPr>
        <w:tc>
          <w:tcPr>
            <w:tcW w:w="2231" w:type="dxa"/>
          </w:tcPr>
          <w:p w:rsidRPr="00A73E14" w:rsidR="00001078" w:rsidRDefault="00001078" w14:paraId="2B9112D3" w14:textId="77777777">
            <w:pPr>
              <w:rPr>
                <w:b/>
                <w:bCs/>
                <w:sz w:val="16"/>
                <w:szCs w:val="16"/>
                <w:lang w:val="nl-NL"/>
              </w:rPr>
            </w:pPr>
            <w:r w:rsidRPr="00A73E14">
              <w:rPr>
                <w:b/>
                <w:bCs/>
                <w:sz w:val="16"/>
                <w:szCs w:val="16"/>
                <w:lang w:val="nl-NL"/>
              </w:rPr>
              <w:t>Afbakening</w:t>
            </w:r>
          </w:p>
        </w:tc>
        <w:tc>
          <w:tcPr>
            <w:tcW w:w="2232" w:type="dxa"/>
          </w:tcPr>
          <w:p w:rsidRPr="00A73E14" w:rsidR="00001078" w:rsidRDefault="00001078" w14:paraId="778BE890" w14:textId="77777777">
            <w:pPr>
              <w:rPr>
                <w:sz w:val="16"/>
                <w:szCs w:val="16"/>
                <w:lang w:val="nl-NL"/>
              </w:rPr>
            </w:pPr>
            <w:r w:rsidRPr="00A73E14">
              <w:rPr>
                <w:sz w:val="16"/>
                <w:szCs w:val="16"/>
                <w:lang w:val="nl-NL"/>
              </w:rPr>
              <w:t xml:space="preserve">Weesgeneesmiddelen, </w:t>
            </w:r>
            <w:proofErr w:type="spellStart"/>
            <w:r w:rsidRPr="00A73E14">
              <w:rPr>
                <w:sz w:val="16"/>
                <w:szCs w:val="16"/>
                <w:lang w:val="nl-NL"/>
              </w:rPr>
              <w:t>conditionals</w:t>
            </w:r>
            <w:proofErr w:type="spellEnd"/>
            <w:r w:rsidRPr="00A73E14">
              <w:rPr>
                <w:sz w:val="16"/>
                <w:szCs w:val="16"/>
                <w:lang w:val="nl-NL"/>
              </w:rPr>
              <w:t xml:space="preserve">, </w:t>
            </w:r>
            <w:proofErr w:type="spellStart"/>
            <w:r w:rsidRPr="00A73E14">
              <w:rPr>
                <w:sz w:val="16"/>
                <w:szCs w:val="16"/>
                <w:lang w:val="nl-NL"/>
              </w:rPr>
              <w:t>exceptionals</w:t>
            </w:r>
            <w:proofErr w:type="spellEnd"/>
          </w:p>
        </w:tc>
        <w:tc>
          <w:tcPr>
            <w:tcW w:w="2231" w:type="dxa"/>
          </w:tcPr>
          <w:p w:rsidRPr="00A73E14" w:rsidR="00FB72EF" w:rsidP="003E0E27" w:rsidRDefault="00AD4DB1" w14:paraId="577069A2" w14:textId="783EAA81">
            <w:pPr>
              <w:rPr>
                <w:sz w:val="16"/>
                <w:szCs w:val="16"/>
                <w:lang w:val="nl-NL"/>
              </w:rPr>
            </w:pPr>
            <w:r>
              <w:rPr>
                <w:sz w:val="16"/>
                <w:szCs w:val="16"/>
                <w:lang w:val="nl-NL"/>
              </w:rPr>
              <w:t>VT:</w:t>
            </w:r>
            <w:r w:rsidR="00CF59E4">
              <w:rPr>
                <w:sz w:val="16"/>
                <w:szCs w:val="16"/>
                <w:lang w:val="nl-NL"/>
              </w:rPr>
              <w:t xml:space="preserve"> </w:t>
            </w:r>
            <w:r w:rsidRPr="00A73E14" w:rsidR="00611BF4">
              <w:rPr>
                <w:sz w:val="16"/>
                <w:szCs w:val="16"/>
                <w:lang w:val="nl-NL"/>
              </w:rPr>
              <w:t>Geneesmiddelen</w:t>
            </w:r>
            <w:r w:rsidRPr="00A73E14" w:rsidR="00B17077">
              <w:rPr>
                <w:sz w:val="16"/>
                <w:szCs w:val="16"/>
                <w:lang w:val="nl-NL"/>
              </w:rPr>
              <w:t xml:space="preserve"> </w:t>
            </w:r>
            <w:r w:rsidRPr="00A73E14" w:rsidR="00611BF4">
              <w:rPr>
                <w:sz w:val="16"/>
                <w:szCs w:val="16"/>
                <w:lang w:val="nl-NL"/>
              </w:rPr>
              <w:t>waarvoor het benodigde o</w:t>
            </w:r>
            <w:r w:rsidRPr="00A73E14" w:rsidR="00435E3C">
              <w:rPr>
                <w:sz w:val="16"/>
                <w:szCs w:val="16"/>
                <w:lang w:val="nl-NL"/>
              </w:rPr>
              <w:t xml:space="preserve">nderzoek </w:t>
            </w:r>
            <w:r w:rsidRPr="00A73E14" w:rsidR="004A18E6">
              <w:rPr>
                <w:sz w:val="16"/>
                <w:szCs w:val="16"/>
                <w:lang w:val="nl-NL"/>
              </w:rPr>
              <w:t xml:space="preserve">voor pakketwaardigheid </w:t>
            </w:r>
            <w:r w:rsidRPr="00A73E14" w:rsidR="00435E3C">
              <w:rPr>
                <w:sz w:val="16"/>
                <w:szCs w:val="16"/>
                <w:lang w:val="nl-NL"/>
              </w:rPr>
              <w:t>niet van een firma kan worden verwacht</w:t>
            </w:r>
            <w:r w:rsidRPr="00A73E14" w:rsidR="00B17077">
              <w:rPr>
                <w:sz w:val="16"/>
                <w:szCs w:val="16"/>
                <w:lang w:val="nl-NL"/>
              </w:rPr>
              <w:t xml:space="preserve"> omdat het specifiek is voor Nederland</w:t>
            </w:r>
            <w:r w:rsidRPr="00A73E14" w:rsidR="00055FB0">
              <w:rPr>
                <w:sz w:val="16"/>
                <w:szCs w:val="16"/>
                <w:lang w:val="nl-NL"/>
              </w:rPr>
              <w:t xml:space="preserve">. </w:t>
            </w:r>
          </w:p>
          <w:p w:rsidR="00B17077" w:rsidRDefault="00B17077" w14:paraId="0E9151E8" w14:textId="77777777">
            <w:pPr>
              <w:rPr>
                <w:sz w:val="16"/>
                <w:szCs w:val="16"/>
                <w:lang w:val="nl-NL"/>
              </w:rPr>
            </w:pPr>
          </w:p>
          <w:p w:rsidR="00AD4DB1" w:rsidRDefault="00AD4DB1" w14:paraId="313C5E07" w14:textId="5CFAD1B1">
            <w:pPr>
              <w:rPr>
                <w:sz w:val="16"/>
                <w:szCs w:val="16"/>
                <w:lang w:val="nl-NL"/>
              </w:rPr>
            </w:pPr>
            <w:r>
              <w:rPr>
                <w:sz w:val="16"/>
                <w:szCs w:val="16"/>
                <w:lang w:val="nl-NL"/>
              </w:rPr>
              <w:t>Nieuwe route</w:t>
            </w:r>
            <w:r w:rsidR="00CF59E4">
              <w:rPr>
                <w:sz w:val="16"/>
                <w:szCs w:val="16"/>
                <w:lang w:val="nl-NL"/>
              </w:rPr>
              <w:t xml:space="preserve"> voor beoordeling van </w:t>
            </w:r>
            <w:r w:rsidRPr="00A73E14" w:rsidR="00CB107C">
              <w:rPr>
                <w:sz w:val="16"/>
                <w:szCs w:val="16"/>
                <w:lang w:val="nl-NL"/>
              </w:rPr>
              <w:t>u</w:t>
            </w:r>
            <w:r w:rsidR="00CF59E4">
              <w:rPr>
                <w:sz w:val="16"/>
                <w:szCs w:val="16"/>
                <w:lang w:val="nl-NL"/>
              </w:rPr>
              <w:t>l</w:t>
            </w:r>
            <w:r w:rsidRPr="00A73E14" w:rsidR="00CB107C">
              <w:rPr>
                <w:sz w:val="16"/>
                <w:szCs w:val="16"/>
                <w:lang w:val="nl-NL"/>
              </w:rPr>
              <w:t>tra</w:t>
            </w:r>
            <w:r w:rsidR="00CF59E4">
              <w:rPr>
                <w:sz w:val="16"/>
                <w:szCs w:val="16"/>
                <w:lang w:val="nl-NL"/>
              </w:rPr>
              <w:t>-</w:t>
            </w:r>
            <w:r w:rsidRPr="00A73E14" w:rsidR="00CB107C">
              <w:rPr>
                <w:sz w:val="16"/>
                <w:szCs w:val="16"/>
                <w:lang w:val="nl-NL"/>
              </w:rPr>
              <w:t>wees</w:t>
            </w:r>
            <w:r w:rsidRPr="00A73E14" w:rsidR="00055FB0">
              <w:rPr>
                <w:sz w:val="16"/>
                <w:szCs w:val="16"/>
                <w:lang w:val="nl-NL"/>
              </w:rPr>
              <w:t>geneesmiddelen</w:t>
            </w:r>
          </w:p>
          <w:p w:rsidRPr="00A73E14" w:rsidR="00AD4DB1" w:rsidRDefault="00AD4DB1" w14:paraId="73EFF11B" w14:textId="77777777">
            <w:pPr>
              <w:rPr>
                <w:sz w:val="16"/>
                <w:szCs w:val="16"/>
                <w:lang w:val="nl-NL"/>
              </w:rPr>
            </w:pPr>
          </w:p>
        </w:tc>
        <w:tc>
          <w:tcPr>
            <w:tcW w:w="2232" w:type="dxa"/>
          </w:tcPr>
          <w:p w:rsidR="00001078" w:rsidRDefault="00055FB0" w14:paraId="740E2B3D" w14:textId="77777777">
            <w:pPr>
              <w:rPr>
                <w:sz w:val="16"/>
                <w:szCs w:val="16"/>
                <w:lang w:val="nl-NL"/>
              </w:rPr>
            </w:pPr>
            <w:r w:rsidRPr="00A73E14">
              <w:rPr>
                <w:sz w:val="16"/>
                <w:szCs w:val="16"/>
                <w:lang w:val="nl-NL"/>
              </w:rPr>
              <w:t>Nader</w:t>
            </w:r>
            <w:r w:rsidR="00AD4DB1">
              <w:rPr>
                <w:sz w:val="16"/>
                <w:szCs w:val="16"/>
                <w:lang w:val="nl-NL"/>
              </w:rPr>
              <w:t xml:space="preserve">e discussie </w:t>
            </w:r>
            <w:r w:rsidRPr="00A73E14">
              <w:rPr>
                <w:sz w:val="16"/>
                <w:szCs w:val="16"/>
                <w:lang w:val="nl-NL"/>
              </w:rPr>
              <w:t>en afstemming gaande</w:t>
            </w:r>
          </w:p>
          <w:p w:rsidR="00CF59E4" w:rsidRDefault="00CF59E4" w14:paraId="62DB954B" w14:textId="77777777">
            <w:pPr>
              <w:rPr>
                <w:sz w:val="16"/>
                <w:szCs w:val="16"/>
                <w:lang w:val="nl-NL"/>
              </w:rPr>
            </w:pPr>
          </w:p>
          <w:p w:rsidR="00CF59E4" w:rsidRDefault="00CF59E4" w14:paraId="720FD732" w14:textId="77777777">
            <w:pPr>
              <w:rPr>
                <w:sz w:val="16"/>
                <w:szCs w:val="16"/>
                <w:lang w:val="nl-NL"/>
              </w:rPr>
            </w:pPr>
          </w:p>
          <w:p w:rsidR="00CF59E4" w:rsidRDefault="00CF59E4" w14:paraId="2603D5F8" w14:textId="77777777">
            <w:pPr>
              <w:rPr>
                <w:sz w:val="16"/>
                <w:szCs w:val="16"/>
                <w:lang w:val="nl-NL"/>
              </w:rPr>
            </w:pPr>
          </w:p>
          <w:p w:rsidR="00CF59E4" w:rsidRDefault="00CF59E4" w14:paraId="7D03452E" w14:textId="77777777">
            <w:pPr>
              <w:rPr>
                <w:sz w:val="16"/>
                <w:szCs w:val="16"/>
                <w:lang w:val="nl-NL"/>
              </w:rPr>
            </w:pPr>
          </w:p>
          <w:p w:rsidR="00CF59E4" w:rsidRDefault="00CF59E4" w14:paraId="7070B303" w14:textId="77777777">
            <w:pPr>
              <w:rPr>
                <w:sz w:val="16"/>
                <w:szCs w:val="16"/>
                <w:lang w:val="nl-NL"/>
              </w:rPr>
            </w:pPr>
          </w:p>
          <w:p w:rsidR="00CF59E4" w:rsidRDefault="00CF59E4" w14:paraId="76CD56AC" w14:textId="77777777">
            <w:pPr>
              <w:rPr>
                <w:sz w:val="16"/>
                <w:szCs w:val="16"/>
                <w:lang w:val="nl-NL"/>
              </w:rPr>
            </w:pPr>
          </w:p>
          <w:p w:rsidR="00CF59E4" w:rsidRDefault="00CF59E4" w14:paraId="402A2A35" w14:textId="77777777">
            <w:pPr>
              <w:rPr>
                <w:sz w:val="16"/>
                <w:szCs w:val="16"/>
                <w:lang w:val="nl-NL"/>
              </w:rPr>
            </w:pPr>
          </w:p>
          <w:p w:rsidRPr="00A73E14" w:rsidR="00CF59E4" w:rsidRDefault="00CF59E4" w14:paraId="57018C59" w14:textId="7820BA3F">
            <w:pPr>
              <w:rPr>
                <w:sz w:val="16"/>
                <w:szCs w:val="16"/>
                <w:lang w:val="nl-NL"/>
              </w:rPr>
            </w:pPr>
            <w:r w:rsidRPr="00CF59E4">
              <w:rPr>
                <w:sz w:val="16"/>
                <w:szCs w:val="16"/>
                <w:lang w:val="nl-NL"/>
              </w:rPr>
              <w:t>Nadere discussie en afstemming gaande</w:t>
            </w:r>
          </w:p>
        </w:tc>
      </w:tr>
      <w:tr w:rsidRPr="00EB7E6E" w:rsidR="00001078" w:rsidTr="00BD5966" w14:paraId="6DDBAEB1" w14:textId="77777777">
        <w:tc>
          <w:tcPr>
            <w:tcW w:w="2231" w:type="dxa"/>
          </w:tcPr>
          <w:p w:rsidRPr="00A73E14" w:rsidR="00001078" w:rsidRDefault="00001078" w14:paraId="3FD3BF73" w14:textId="77777777">
            <w:pPr>
              <w:rPr>
                <w:b/>
                <w:bCs/>
                <w:sz w:val="16"/>
                <w:szCs w:val="16"/>
                <w:lang w:val="nl-NL"/>
              </w:rPr>
            </w:pPr>
            <w:r w:rsidRPr="00A73E14">
              <w:rPr>
                <w:b/>
                <w:bCs/>
                <w:sz w:val="16"/>
                <w:szCs w:val="16"/>
                <w:lang w:val="nl-NL"/>
              </w:rPr>
              <w:t>Duur VT</w:t>
            </w:r>
          </w:p>
        </w:tc>
        <w:tc>
          <w:tcPr>
            <w:tcW w:w="2232" w:type="dxa"/>
          </w:tcPr>
          <w:p w:rsidRPr="00A73E14" w:rsidR="00001078" w:rsidRDefault="00001078" w14:paraId="39647253" w14:textId="77777777">
            <w:pPr>
              <w:rPr>
                <w:sz w:val="16"/>
                <w:szCs w:val="16"/>
                <w:lang w:val="nl-NL"/>
              </w:rPr>
            </w:pPr>
            <w:r w:rsidRPr="00A73E14">
              <w:rPr>
                <w:sz w:val="16"/>
                <w:szCs w:val="16"/>
                <w:lang w:val="nl-NL"/>
              </w:rPr>
              <w:t>Maximaal 14 jaar</w:t>
            </w:r>
          </w:p>
        </w:tc>
        <w:tc>
          <w:tcPr>
            <w:tcW w:w="2231" w:type="dxa"/>
          </w:tcPr>
          <w:p w:rsidR="00001078" w:rsidRDefault="00001078" w14:paraId="5D82A1EF" w14:textId="77777777">
            <w:pPr>
              <w:rPr>
                <w:sz w:val="16"/>
                <w:szCs w:val="16"/>
                <w:lang w:val="nl-NL"/>
              </w:rPr>
            </w:pPr>
            <w:r w:rsidRPr="00A73E14">
              <w:rPr>
                <w:sz w:val="16"/>
                <w:szCs w:val="16"/>
                <w:lang w:val="nl-NL"/>
              </w:rPr>
              <w:t>Maximaal 5 jaar, met eenmalige mogelijkheid tot verlenging</w:t>
            </w:r>
          </w:p>
          <w:p w:rsidRPr="00A73E14" w:rsidR="00424C21" w:rsidRDefault="00424C21" w14:paraId="778B281C" w14:textId="77777777">
            <w:pPr>
              <w:rPr>
                <w:sz w:val="16"/>
                <w:szCs w:val="16"/>
                <w:lang w:val="nl-NL"/>
              </w:rPr>
            </w:pPr>
          </w:p>
        </w:tc>
        <w:tc>
          <w:tcPr>
            <w:tcW w:w="2232" w:type="dxa"/>
          </w:tcPr>
          <w:p w:rsidRPr="00A73E14" w:rsidR="00001078" w:rsidRDefault="00B17077" w14:paraId="308EB5A8" w14:textId="77777777">
            <w:pPr>
              <w:rPr>
                <w:sz w:val="16"/>
                <w:szCs w:val="16"/>
                <w:lang w:val="nl-NL"/>
              </w:rPr>
            </w:pPr>
            <w:r w:rsidRPr="00A73E14">
              <w:rPr>
                <w:sz w:val="16"/>
                <w:szCs w:val="16"/>
                <w:lang w:val="nl-NL"/>
              </w:rPr>
              <w:t>Per direct</w:t>
            </w:r>
            <w:r w:rsidR="00AC4C12">
              <w:rPr>
                <w:sz w:val="16"/>
                <w:szCs w:val="16"/>
                <w:lang w:val="nl-NL"/>
              </w:rPr>
              <w:t xml:space="preserve"> voor nieuwe VT trajecten</w:t>
            </w:r>
          </w:p>
        </w:tc>
      </w:tr>
      <w:tr w:rsidRPr="00EB7E6E" w:rsidR="00DF48A5" w:rsidTr="00BD5966" w14:paraId="058F37DE" w14:textId="77777777">
        <w:tc>
          <w:tcPr>
            <w:tcW w:w="2231" w:type="dxa"/>
            <w:vMerge w:val="restart"/>
          </w:tcPr>
          <w:p w:rsidRPr="00A73E14" w:rsidR="00DF48A5" w:rsidRDefault="00DF48A5" w14:paraId="1FC9B324" w14:textId="77777777">
            <w:pPr>
              <w:rPr>
                <w:b/>
                <w:bCs/>
                <w:sz w:val="16"/>
                <w:szCs w:val="16"/>
                <w:lang w:val="nl-NL"/>
              </w:rPr>
            </w:pPr>
            <w:r w:rsidRPr="00A73E14">
              <w:rPr>
                <w:b/>
                <w:bCs/>
                <w:sz w:val="16"/>
                <w:szCs w:val="16"/>
                <w:lang w:val="nl-NL"/>
              </w:rPr>
              <w:t xml:space="preserve">Voorwaarden </w:t>
            </w:r>
          </w:p>
        </w:tc>
        <w:tc>
          <w:tcPr>
            <w:tcW w:w="2232" w:type="dxa"/>
          </w:tcPr>
          <w:p w:rsidR="00DF48A5" w:rsidRDefault="00DF48A5" w14:paraId="17EA22DA" w14:textId="77777777">
            <w:pPr>
              <w:rPr>
                <w:sz w:val="16"/>
                <w:szCs w:val="16"/>
                <w:lang w:val="nl-NL"/>
              </w:rPr>
            </w:pPr>
            <w:r w:rsidRPr="00A73E14">
              <w:rPr>
                <w:sz w:val="16"/>
                <w:szCs w:val="16"/>
                <w:lang w:val="nl-NL"/>
              </w:rPr>
              <w:t>De hoofdindiener van het dossier en trekker van het onderzoek is de registratiehouder</w:t>
            </w:r>
          </w:p>
          <w:p w:rsidRPr="00A73E14" w:rsidR="00424C21" w:rsidRDefault="00424C21" w14:paraId="0C47D692" w14:textId="77777777">
            <w:pPr>
              <w:rPr>
                <w:sz w:val="16"/>
                <w:szCs w:val="16"/>
                <w:lang w:val="nl-NL"/>
              </w:rPr>
            </w:pPr>
          </w:p>
        </w:tc>
        <w:tc>
          <w:tcPr>
            <w:tcW w:w="2231" w:type="dxa"/>
          </w:tcPr>
          <w:p w:rsidRPr="00A73E14" w:rsidR="00DF48A5" w:rsidRDefault="00DF48A5" w14:paraId="3AFF5C8E" w14:textId="77777777">
            <w:pPr>
              <w:rPr>
                <w:sz w:val="16"/>
                <w:szCs w:val="16"/>
                <w:lang w:val="nl-NL"/>
              </w:rPr>
            </w:pPr>
            <w:r w:rsidRPr="00A73E14">
              <w:rPr>
                <w:sz w:val="16"/>
                <w:szCs w:val="16"/>
                <w:lang w:val="nl-NL"/>
              </w:rPr>
              <w:t>De hoofdindiener van het dossier en trekker van het onderzoek is de registratiehouder</w:t>
            </w:r>
          </w:p>
        </w:tc>
        <w:tc>
          <w:tcPr>
            <w:tcW w:w="2232" w:type="dxa"/>
          </w:tcPr>
          <w:p w:rsidRPr="00A73E14" w:rsidR="00DF48A5" w:rsidRDefault="00DF48A5" w14:paraId="718E924B" w14:textId="77777777">
            <w:pPr>
              <w:rPr>
                <w:sz w:val="16"/>
                <w:szCs w:val="16"/>
                <w:lang w:val="nl-NL"/>
              </w:rPr>
            </w:pPr>
          </w:p>
        </w:tc>
      </w:tr>
      <w:tr w:rsidRPr="00A73E14" w:rsidR="00DF48A5" w:rsidTr="00BD5966" w14:paraId="196DFF26" w14:textId="77777777">
        <w:tc>
          <w:tcPr>
            <w:tcW w:w="2231" w:type="dxa"/>
            <w:vMerge/>
          </w:tcPr>
          <w:p w:rsidRPr="00A73E14" w:rsidR="00DF48A5" w:rsidRDefault="00DF48A5" w14:paraId="625EF36C" w14:textId="77777777">
            <w:pPr>
              <w:rPr>
                <w:b/>
                <w:bCs/>
                <w:sz w:val="16"/>
                <w:szCs w:val="16"/>
                <w:lang w:val="nl-NL"/>
              </w:rPr>
            </w:pPr>
          </w:p>
        </w:tc>
        <w:tc>
          <w:tcPr>
            <w:tcW w:w="2232" w:type="dxa"/>
          </w:tcPr>
          <w:p w:rsidR="00DF48A5" w:rsidRDefault="00DF48A5" w14:paraId="6FAD63C7" w14:textId="77777777">
            <w:pPr>
              <w:rPr>
                <w:sz w:val="16"/>
                <w:szCs w:val="16"/>
                <w:lang w:val="nl-NL"/>
              </w:rPr>
            </w:pPr>
            <w:r w:rsidRPr="00A73E14">
              <w:rPr>
                <w:sz w:val="16"/>
                <w:szCs w:val="16"/>
                <w:lang w:val="nl-NL"/>
              </w:rPr>
              <w:t>EMA registratie</w:t>
            </w:r>
          </w:p>
          <w:p w:rsidRPr="00A73E14" w:rsidR="00424C21" w:rsidRDefault="00424C21" w14:paraId="69D9B88F" w14:textId="77777777">
            <w:pPr>
              <w:rPr>
                <w:sz w:val="16"/>
                <w:szCs w:val="16"/>
                <w:lang w:val="nl-NL"/>
              </w:rPr>
            </w:pPr>
          </w:p>
        </w:tc>
        <w:tc>
          <w:tcPr>
            <w:tcW w:w="2231" w:type="dxa"/>
          </w:tcPr>
          <w:p w:rsidRPr="00A73E14" w:rsidR="00DF48A5" w:rsidRDefault="00DF48A5" w14:paraId="608A3C1C" w14:textId="77777777">
            <w:pPr>
              <w:rPr>
                <w:sz w:val="16"/>
                <w:szCs w:val="16"/>
                <w:lang w:val="nl-NL"/>
              </w:rPr>
            </w:pPr>
            <w:r w:rsidRPr="00A73E14">
              <w:rPr>
                <w:sz w:val="16"/>
                <w:szCs w:val="16"/>
                <w:lang w:val="nl-NL"/>
              </w:rPr>
              <w:t>EMA registratie</w:t>
            </w:r>
          </w:p>
        </w:tc>
        <w:tc>
          <w:tcPr>
            <w:tcW w:w="2232" w:type="dxa"/>
          </w:tcPr>
          <w:p w:rsidRPr="00A73E14" w:rsidR="00DF48A5" w:rsidRDefault="00DF48A5" w14:paraId="3230E92C" w14:textId="77777777">
            <w:pPr>
              <w:rPr>
                <w:sz w:val="16"/>
                <w:szCs w:val="16"/>
                <w:lang w:val="nl-NL"/>
              </w:rPr>
            </w:pPr>
          </w:p>
        </w:tc>
      </w:tr>
      <w:tr w:rsidRPr="00EB7E6E" w:rsidR="00DF48A5" w:rsidTr="00BD5966" w14:paraId="2C2361EA" w14:textId="77777777">
        <w:tc>
          <w:tcPr>
            <w:tcW w:w="2231" w:type="dxa"/>
            <w:vMerge/>
          </w:tcPr>
          <w:p w:rsidRPr="00A73E14" w:rsidR="00DF48A5" w:rsidRDefault="00DF48A5" w14:paraId="2BE21731" w14:textId="77777777">
            <w:pPr>
              <w:rPr>
                <w:b/>
                <w:bCs/>
                <w:sz w:val="16"/>
                <w:szCs w:val="16"/>
                <w:lang w:val="nl-NL"/>
              </w:rPr>
            </w:pPr>
          </w:p>
        </w:tc>
        <w:tc>
          <w:tcPr>
            <w:tcW w:w="2232" w:type="dxa"/>
          </w:tcPr>
          <w:p w:rsidRPr="00A73E14" w:rsidR="00DF48A5" w:rsidRDefault="00DF48A5" w14:paraId="1BA08A18" w14:textId="77777777">
            <w:pPr>
              <w:rPr>
                <w:sz w:val="16"/>
                <w:szCs w:val="16"/>
                <w:lang w:val="nl-NL"/>
              </w:rPr>
            </w:pPr>
            <w:proofErr w:type="spellStart"/>
            <w:r w:rsidRPr="00A73E14">
              <w:rPr>
                <w:sz w:val="16"/>
                <w:szCs w:val="16"/>
                <w:lang w:val="nl-NL"/>
              </w:rPr>
              <w:t>Unmet</w:t>
            </w:r>
            <w:proofErr w:type="spellEnd"/>
            <w:r w:rsidRPr="00A73E14">
              <w:rPr>
                <w:sz w:val="16"/>
                <w:szCs w:val="16"/>
                <w:lang w:val="nl-NL"/>
              </w:rPr>
              <w:t xml:space="preserve"> </w:t>
            </w:r>
            <w:proofErr w:type="spellStart"/>
            <w:r w:rsidRPr="00A73E14">
              <w:rPr>
                <w:sz w:val="16"/>
                <w:szCs w:val="16"/>
                <w:lang w:val="nl-NL"/>
              </w:rPr>
              <w:t>medical</w:t>
            </w:r>
            <w:proofErr w:type="spellEnd"/>
            <w:r w:rsidRPr="00A73E14">
              <w:rPr>
                <w:sz w:val="16"/>
                <w:szCs w:val="16"/>
                <w:lang w:val="nl-NL"/>
              </w:rPr>
              <w:t xml:space="preserve"> </w:t>
            </w:r>
            <w:proofErr w:type="spellStart"/>
            <w:r w:rsidRPr="00A73E14">
              <w:rPr>
                <w:sz w:val="16"/>
                <w:szCs w:val="16"/>
                <w:lang w:val="nl-NL"/>
              </w:rPr>
              <w:t>need</w:t>
            </w:r>
            <w:proofErr w:type="spellEnd"/>
          </w:p>
        </w:tc>
        <w:tc>
          <w:tcPr>
            <w:tcW w:w="2231" w:type="dxa"/>
          </w:tcPr>
          <w:p w:rsidRPr="00A73E14" w:rsidR="00DF48A5" w:rsidRDefault="00DF48A5" w14:paraId="78DE85A5" w14:textId="77777777">
            <w:pPr>
              <w:rPr>
                <w:sz w:val="16"/>
                <w:szCs w:val="16"/>
                <w:lang w:val="nl-NL"/>
              </w:rPr>
            </w:pPr>
            <w:proofErr w:type="spellStart"/>
            <w:r w:rsidRPr="00A73E14">
              <w:rPr>
                <w:sz w:val="16"/>
                <w:szCs w:val="16"/>
                <w:lang w:val="nl-NL"/>
              </w:rPr>
              <w:t>Unmet</w:t>
            </w:r>
            <w:proofErr w:type="spellEnd"/>
            <w:r w:rsidRPr="00A73E14">
              <w:rPr>
                <w:sz w:val="16"/>
                <w:szCs w:val="16"/>
                <w:lang w:val="nl-NL"/>
              </w:rPr>
              <w:t xml:space="preserve"> </w:t>
            </w:r>
            <w:proofErr w:type="spellStart"/>
            <w:r w:rsidRPr="00A73E14">
              <w:rPr>
                <w:sz w:val="16"/>
                <w:szCs w:val="16"/>
                <w:lang w:val="nl-NL"/>
              </w:rPr>
              <w:t>medical</w:t>
            </w:r>
            <w:proofErr w:type="spellEnd"/>
            <w:r w:rsidRPr="00A73E14">
              <w:rPr>
                <w:sz w:val="16"/>
                <w:szCs w:val="16"/>
                <w:lang w:val="nl-NL"/>
              </w:rPr>
              <w:t xml:space="preserve"> </w:t>
            </w:r>
            <w:proofErr w:type="spellStart"/>
            <w:r w:rsidRPr="00A73E14">
              <w:rPr>
                <w:sz w:val="16"/>
                <w:szCs w:val="16"/>
                <w:lang w:val="nl-NL"/>
              </w:rPr>
              <w:t>need</w:t>
            </w:r>
            <w:proofErr w:type="spellEnd"/>
            <w:r w:rsidRPr="00A73E14">
              <w:rPr>
                <w:sz w:val="16"/>
                <w:szCs w:val="16"/>
                <w:lang w:val="nl-NL"/>
              </w:rPr>
              <w:t xml:space="preserve"> en veelbelovend</w:t>
            </w:r>
          </w:p>
        </w:tc>
        <w:tc>
          <w:tcPr>
            <w:tcW w:w="2232" w:type="dxa"/>
          </w:tcPr>
          <w:p w:rsidR="00DF48A5" w:rsidRDefault="0005744B" w14:paraId="0BB9FD5C" w14:textId="77777777">
            <w:pPr>
              <w:rPr>
                <w:sz w:val="16"/>
                <w:szCs w:val="16"/>
                <w:lang w:val="nl-NL"/>
              </w:rPr>
            </w:pPr>
            <w:r>
              <w:rPr>
                <w:sz w:val="16"/>
                <w:szCs w:val="16"/>
                <w:lang w:val="nl-NL"/>
              </w:rPr>
              <w:t xml:space="preserve">De wijze waarop </w:t>
            </w:r>
            <w:r w:rsidRPr="00A73E14" w:rsidR="00617933">
              <w:rPr>
                <w:sz w:val="16"/>
                <w:szCs w:val="16"/>
                <w:lang w:val="nl-NL"/>
              </w:rPr>
              <w:t xml:space="preserve">‘veelbelovendheid’ wordt </w:t>
            </w:r>
            <w:r>
              <w:rPr>
                <w:sz w:val="16"/>
                <w:szCs w:val="16"/>
                <w:lang w:val="nl-NL"/>
              </w:rPr>
              <w:t xml:space="preserve">vastgesteld wordt onderzocht en gaat </w:t>
            </w:r>
            <w:r w:rsidR="00CD781A">
              <w:rPr>
                <w:sz w:val="16"/>
                <w:szCs w:val="16"/>
                <w:lang w:val="nl-NL"/>
              </w:rPr>
              <w:t xml:space="preserve">na een besluit daarover </w:t>
            </w:r>
            <w:r>
              <w:rPr>
                <w:sz w:val="16"/>
                <w:szCs w:val="16"/>
                <w:lang w:val="nl-NL"/>
              </w:rPr>
              <w:t>direct in</w:t>
            </w:r>
            <w:r w:rsidRPr="00A73E14" w:rsidR="00617933">
              <w:rPr>
                <w:sz w:val="16"/>
                <w:szCs w:val="16"/>
                <w:lang w:val="nl-NL"/>
              </w:rPr>
              <w:t xml:space="preserve">. </w:t>
            </w:r>
          </w:p>
          <w:p w:rsidRPr="00A73E14" w:rsidR="00424C21" w:rsidRDefault="00424C21" w14:paraId="793973FB" w14:textId="77777777">
            <w:pPr>
              <w:rPr>
                <w:sz w:val="16"/>
                <w:szCs w:val="16"/>
                <w:lang w:val="nl-NL"/>
              </w:rPr>
            </w:pPr>
          </w:p>
        </w:tc>
      </w:tr>
      <w:tr w:rsidRPr="00EB7E6E" w:rsidR="00DF48A5" w:rsidTr="00BD5966" w14:paraId="3A762C60" w14:textId="77777777">
        <w:tc>
          <w:tcPr>
            <w:tcW w:w="2231" w:type="dxa"/>
            <w:vMerge/>
          </w:tcPr>
          <w:p w:rsidRPr="00A73E14" w:rsidR="00DF48A5" w:rsidRDefault="00DF48A5" w14:paraId="6470200D" w14:textId="77777777">
            <w:pPr>
              <w:rPr>
                <w:sz w:val="16"/>
                <w:szCs w:val="16"/>
                <w:lang w:val="nl-NL"/>
              </w:rPr>
            </w:pPr>
          </w:p>
        </w:tc>
        <w:tc>
          <w:tcPr>
            <w:tcW w:w="2232" w:type="dxa"/>
          </w:tcPr>
          <w:p w:rsidRPr="00A73E14" w:rsidR="00DF48A5" w:rsidRDefault="00DF48A5" w14:paraId="3C8A8EF4" w14:textId="77777777">
            <w:pPr>
              <w:rPr>
                <w:sz w:val="16"/>
                <w:szCs w:val="16"/>
                <w:lang w:val="nl-NL"/>
              </w:rPr>
            </w:pPr>
            <w:r w:rsidRPr="00A73E14">
              <w:rPr>
                <w:sz w:val="16"/>
                <w:szCs w:val="16"/>
                <w:lang w:val="nl-NL"/>
              </w:rPr>
              <w:t>Sterk verlaagde prijs</w:t>
            </w:r>
          </w:p>
        </w:tc>
        <w:tc>
          <w:tcPr>
            <w:tcW w:w="2231" w:type="dxa"/>
          </w:tcPr>
          <w:p w:rsidRPr="00A73E14" w:rsidR="00DF48A5" w:rsidRDefault="00DF48A5" w14:paraId="2A9B06A0" w14:textId="77777777">
            <w:pPr>
              <w:rPr>
                <w:sz w:val="16"/>
                <w:szCs w:val="16"/>
                <w:lang w:val="nl-NL"/>
              </w:rPr>
            </w:pPr>
            <w:r w:rsidRPr="00A73E14">
              <w:rPr>
                <w:sz w:val="16"/>
                <w:szCs w:val="16"/>
                <w:lang w:val="nl-NL"/>
              </w:rPr>
              <w:t>Sterk verlaagde prijs</w:t>
            </w:r>
          </w:p>
        </w:tc>
        <w:tc>
          <w:tcPr>
            <w:tcW w:w="2232" w:type="dxa"/>
          </w:tcPr>
          <w:p w:rsidRPr="00A73E14" w:rsidR="00DF48A5" w:rsidRDefault="005240BC" w14:paraId="1859F5C1" w14:textId="77777777">
            <w:pPr>
              <w:rPr>
                <w:sz w:val="16"/>
                <w:szCs w:val="16"/>
                <w:lang w:val="nl-NL"/>
              </w:rPr>
            </w:pPr>
            <w:r w:rsidRPr="00A73E14">
              <w:rPr>
                <w:sz w:val="16"/>
                <w:szCs w:val="16"/>
                <w:lang w:val="nl-NL"/>
              </w:rPr>
              <w:t>In overleg met het Zorginstituut over de c</w:t>
            </w:r>
            <w:r w:rsidRPr="00A73E14" w:rsidR="00DF48A5">
              <w:rPr>
                <w:sz w:val="16"/>
                <w:szCs w:val="16"/>
                <w:lang w:val="nl-NL"/>
              </w:rPr>
              <w:t>oncretisering sterk verlaagde prijs</w:t>
            </w:r>
            <w:r w:rsidRPr="00A73E14" w:rsidR="008B4B42">
              <w:rPr>
                <w:sz w:val="16"/>
                <w:szCs w:val="16"/>
                <w:lang w:val="nl-NL"/>
              </w:rPr>
              <w:t xml:space="preserve"> bij onzekerheid</w:t>
            </w:r>
            <w:r w:rsidRPr="00A73E14" w:rsidR="000B2438">
              <w:rPr>
                <w:sz w:val="16"/>
                <w:szCs w:val="16"/>
                <w:lang w:val="nl-NL"/>
              </w:rPr>
              <w:t>.</w:t>
            </w:r>
          </w:p>
          <w:p w:rsidR="000B2438" w:rsidRDefault="000B2438" w14:paraId="4E35A77B" w14:textId="77777777">
            <w:pPr>
              <w:rPr>
                <w:sz w:val="16"/>
                <w:szCs w:val="16"/>
                <w:lang w:val="nl-NL"/>
              </w:rPr>
            </w:pPr>
            <w:r w:rsidRPr="00A73E14">
              <w:rPr>
                <w:sz w:val="16"/>
                <w:szCs w:val="16"/>
                <w:lang w:val="nl-NL"/>
              </w:rPr>
              <w:t xml:space="preserve">De optie van een budget cap wordt ook onderzocht. </w:t>
            </w:r>
          </w:p>
          <w:p w:rsidRPr="00A73E14" w:rsidR="00424C21" w:rsidRDefault="00424C21" w14:paraId="7B6706A0" w14:textId="77777777">
            <w:pPr>
              <w:rPr>
                <w:sz w:val="16"/>
                <w:szCs w:val="16"/>
                <w:lang w:val="nl-NL"/>
              </w:rPr>
            </w:pPr>
          </w:p>
        </w:tc>
      </w:tr>
      <w:tr w:rsidRPr="00EB7E6E" w:rsidR="00DF48A5" w:rsidTr="00BD5966" w14:paraId="72D26D95" w14:textId="77777777">
        <w:tc>
          <w:tcPr>
            <w:tcW w:w="2231" w:type="dxa"/>
            <w:vMerge/>
          </w:tcPr>
          <w:p w:rsidRPr="00A73E14" w:rsidR="00DF48A5" w:rsidRDefault="00DF48A5" w14:paraId="62912947" w14:textId="77777777">
            <w:pPr>
              <w:rPr>
                <w:sz w:val="16"/>
                <w:szCs w:val="16"/>
                <w:lang w:val="nl-NL"/>
              </w:rPr>
            </w:pPr>
          </w:p>
        </w:tc>
        <w:tc>
          <w:tcPr>
            <w:tcW w:w="2232" w:type="dxa"/>
          </w:tcPr>
          <w:p w:rsidR="00DF48A5" w:rsidRDefault="00DF48A5" w14:paraId="75E970CA" w14:textId="77777777">
            <w:pPr>
              <w:rPr>
                <w:sz w:val="16"/>
                <w:szCs w:val="16"/>
                <w:lang w:val="nl-NL"/>
              </w:rPr>
            </w:pPr>
            <w:r w:rsidRPr="00A73E14">
              <w:rPr>
                <w:sz w:val="16"/>
                <w:szCs w:val="16"/>
                <w:lang w:val="nl-NL"/>
              </w:rPr>
              <w:t>Totale uitgaven aan een geneesmiddel in VT worden openbaar gemaakt in begroting VWS</w:t>
            </w:r>
          </w:p>
          <w:p w:rsidRPr="00A73E14" w:rsidR="00424C21" w:rsidRDefault="00424C21" w14:paraId="1798FA15" w14:textId="77777777">
            <w:pPr>
              <w:rPr>
                <w:sz w:val="16"/>
                <w:szCs w:val="16"/>
                <w:lang w:val="nl-NL"/>
              </w:rPr>
            </w:pPr>
          </w:p>
        </w:tc>
        <w:tc>
          <w:tcPr>
            <w:tcW w:w="2231" w:type="dxa"/>
          </w:tcPr>
          <w:p w:rsidRPr="00A73E14" w:rsidR="00DF48A5" w:rsidRDefault="00DF48A5" w14:paraId="62BEC57A" w14:textId="77777777">
            <w:pPr>
              <w:rPr>
                <w:sz w:val="16"/>
                <w:szCs w:val="16"/>
                <w:lang w:val="nl-NL"/>
              </w:rPr>
            </w:pPr>
            <w:r w:rsidRPr="00A73E14">
              <w:rPr>
                <w:sz w:val="16"/>
                <w:szCs w:val="16"/>
                <w:lang w:val="nl-NL"/>
              </w:rPr>
              <w:t>Voorwaarde vervalt</w:t>
            </w:r>
          </w:p>
        </w:tc>
        <w:tc>
          <w:tcPr>
            <w:tcW w:w="2232" w:type="dxa"/>
          </w:tcPr>
          <w:p w:rsidRPr="00A73E14" w:rsidR="00DF48A5" w:rsidRDefault="00617933" w14:paraId="4BAACEF5" w14:textId="77777777">
            <w:pPr>
              <w:rPr>
                <w:sz w:val="16"/>
                <w:szCs w:val="16"/>
                <w:lang w:val="nl-NL"/>
              </w:rPr>
            </w:pPr>
            <w:r w:rsidRPr="00A73E14">
              <w:rPr>
                <w:sz w:val="16"/>
                <w:szCs w:val="16"/>
                <w:lang w:val="nl-NL"/>
              </w:rPr>
              <w:t xml:space="preserve">Gaat in </w:t>
            </w:r>
            <w:r w:rsidRPr="00A73E14" w:rsidR="003969B3">
              <w:rPr>
                <w:sz w:val="16"/>
                <w:szCs w:val="16"/>
                <w:lang w:val="nl-NL"/>
              </w:rPr>
              <w:t xml:space="preserve">gelijk met concretisering sterk verlaagde prijs </w:t>
            </w:r>
          </w:p>
        </w:tc>
      </w:tr>
      <w:tr w:rsidRPr="00EB7E6E" w:rsidR="00CE3650" w:rsidTr="00BD5966" w14:paraId="29722CB5" w14:textId="77777777">
        <w:tc>
          <w:tcPr>
            <w:tcW w:w="2231" w:type="dxa"/>
          </w:tcPr>
          <w:p w:rsidRPr="00A73E14" w:rsidR="00CE3650" w:rsidRDefault="00CE3650" w14:paraId="0DC2F281" w14:textId="77777777">
            <w:pPr>
              <w:rPr>
                <w:sz w:val="16"/>
                <w:szCs w:val="16"/>
                <w:lang w:val="nl-NL"/>
              </w:rPr>
            </w:pPr>
            <w:r>
              <w:rPr>
                <w:sz w:val="16"/>
                <w:szCs w:val="16"/>
                <w:lang w:val="nl-NL"/>
              </w:rPr>
              <w:t xml:space="preserve">Gezamenlijke VT </w:t>
            </w:r>
          </w:p>
        </w:tc>
        <w:tc>
          <w:tcPr>
            <w:tcW w:w="2232" w:type="dxa"/>
          </w:tcPr>
          <w:p w:rsidR="00CE3650" w:rsidRDefault="00424C21" w14:paraId="0ADDFEA1" w14:textId="77777777">
            <w:pPr>
              <w:rPr>
                <w:sz w:val="16"/>
                <w:szCs w:val="16"/>
                <w:lang w:val="nl-NL"/>
              </w:rPr>
            </w:pPr>
            <w:r>
              <w:rPr>
                <w:sz w:val="16"/>
                <w:szCs w:val="16"/>
                <w:lang w:val="nl-NL"/>
              </w:rPr>
              <w:t>Convenant: t</w:t>
            </w:r>
            <w:r w:rsidRPr="00CE3650" w:rsidR="00CE3650">
              <w:rPr>
                <w:sz w:val="16"/>
                <w:szCs w:val="16"/>
                <w:lang w:val="nl-NL"/>
              </w:rPr>
              <w:t xml:space="preserve">wee concurrerende middelen </w:t>
            </w:r>
            <w:r w:rsidR="00CE3650">
              <w:rPr>
                <w:sz w:val="16"/>
                <w:szCs w:val="16"/>
                <w:lang w:val="nl-NL"/>
              </w:rPr>
              <w:t xml:space="preserve">kunnen </w:t>
            </w:r>
            <w:r w:rsidRPr="00CE3650" w:rsidR="00CE3650">
              <w:rPr>
                <w:sz w:val="16"/>
                <w:szCs w:val="16"/>
                <w:lang w:val="nl-NL"/>
              </w:rPr>
              <w:t>gezamenlijk een VT-traject doorlopen</w:t>
            </w:r>
          </w:p>
          <w:p w:rsidRPr="00A73E14" w:rsidR="00424C21" w:rsidRDefault="00424C21" w14:paraId="017E3012" w14:textId="77777777">
            <w:pPr>
              <w:rPr>
                <w:sz w:val="16"/>
                <w:szCs w:val="16"/>
                <w:lang w:val="nl-NL"/>
              </w:rPr>
            </w:pPr>
          </w:p>
        </w:tc>
        <w:tc>
          <w:tcPr>
            <w:tcW w:w="2231" w:type="dxa"/>
          </w:tcPr>
          <w:p w:rsidRPr="00A73E14" w:rsidR="00CE3650" w:rsidRDefault="00CE3650" w14:paraId="6106E440" w14:textId="77777777">
            <w:pPr>
              <w:rPr>
                <w:sz w:val="16"/>
                <w:szCs w:val="16"/>
                <w:lang w:val="nl-NL"/>
              </w:rPr>
            </w:pPr>
            <w:r>
              <w:rPr>
                <w:sz w:val="16"/>
                <w:szCs w:val="16"/>
                <w:lang w:val="nl-NL"/>
              </w:rPr>
              <w:t>Deze verplichting vervalt</w:t>
            </w:r>
          </w:p>
        </w:tc>
        <w:tc>
          <w:tcPr>
            <w:tcW w:w="2232" w:type="dxa"/>
          </w:tcPr>
          <w:p w:rsidRPr="00A73E14" w:rsidR="00CE3650" w:rsidRDefault="00CE3650" w14:paraId="606F508D" w14:textId="77777777">
            <w:pPr>
              <w:rPr>
                <w:sz w:val="16"/>
                <w:szCs w:val="16"/>
                <w:lang w:val="nl-NL"/>
              </w:rPr>
            </w:pPr>
            <w:r w:rsidRPr="00CE3650">
              <w:rPr>
                <w:sz w:val="16"/>
                <w:szCs w:val="16"/>
                <w:lang w:val="nl-NL"/>
              </w:rPr>
              <w:t>Per direct voor nieuwe VT trajecten</w:t>
            </w:r>
          </w:p>
        </w:tc>
      </w:tr>
    </w:tbl>
    <w:p w:rsidRPr="0014772B" w:rsidR="00B44BDC" w:rsidRDefault="00B44BDC" w14:paraId="1C29DC6B" w14:textId="77777777">
      <w:pPr>
        <w:rPr>
          <w:szCs w:val="18"/>
          <w:lang w:val="nl-NL"/>
        </w:rPr>
      </w:pPr>
    </w:p>
    <w:sectPr w:rsidRPr="0014772B" w:rsidR="00B44BDC"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CA59" w14:textId="77777777" w:rsidR="00D4712A" w:rsidRDefault="00D4712A" w:rsidP="009E5535">
      <w:pPr>
        <w:spacing w:after="0" w:line="240" w:lineRule="auto"/>
      </w:pPr>
      <w:r>
        <w:separator/>
      </w:r>
    </w:p>
  </w:endnote>
  <w:endnote w:type="continuationSeparator" w:id="0">
    <w:p w14:paraId="741F397D" w14:textId="77777777" w:rsidR="00D4712A" w:rsidRDefault="00D4712A" w:rsidP="009E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865621"/>
      <w:docPartObj>
        <w:docPartGallery w:val="Page Numbers (Bottom of Page)"/>
        <w:docPartUnique/>
      </w:docPartObj>
    </w:sdtPr>
    <w:sdtEndPr>
      <w:rPr>
        <w:sz w:val="14"/>
        <w:szCs w:val="18"/>
      </w:rPr>
    </w:sdtEndPr>
    <w:sdtContent>
      <w:p w14:paraId="13E29DF8" w14:textId="77777777" w:rsidR="002F1E73" w:rsidRDefault="002F1E73">
        <w:pPr>
          <w:pStyle w:val="Voettekst"/>
          <w:jc w:val="right"/>
        </w:pPr>
        <w:r w:rsidRPr="005A014A">
          <w:rPr>
            <w:sz w:val="14"/>
            <w:szCs w:val="18"/>
          </w:rPr>
          <w:fldChar w:fldCharType="begin"/>
        </w:r>
        <w:r w:rsidRPr="005A014A">
          <w:rPr>
            <w:sz w:val="14"/>
            <w:szCs w:val="18"/>
          </w:rPr>
          <w:instrText>PAGE   \* MERGEFORMAT</w:instrText>
        </w:r>
        <w:r w:rsidRPr="005A014A">
          <w:rPr>
            <w:sz w:val="14"/>
            <w:szCs w:val="18"/>
          </w:rPr>
          <w:fldChar w:fldCharType="separate"/>
        </w:r>
        <w:r w:rsidRPr="005A014A">
          <w:rPr>
            <w:sz w:val="14"/>
            <w:szCs w:val="18"/>
            <w:lang w:val="nl-NL"/>
          </w:rPr>
          <w:t>2</w:t>
        </w:r>
        <w:r w:rsidRPr="005A014A">
          <w:rPr>
            <w:sz w:val="14"/>
            <w:szCs w:val="18"/>
          </w:rPr>
          <w:fldChar w:fldCharType="end"/>
        </w:r>
      </w:p>
    </w:sdtContent>
  </w:sdt>
  <w:p w14:paraId="77D301FD" w14:textId="77777777" w:rsidR="002F1E73" w:rsidRDefault="002F1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63FB" w14:textId="77777777" w:rsidR="00D4712A" w:rsidRDefault="00D4712A" w:rsidP="009E5535">
      <w:pPr>
        <w:spacing w:after="0" w:line="240" w:lineRule="auto"/>
      </w:pPr>
      <w:r>
        <w:separator/>
      </w:r>
    </w:p>
  </w:footnote>
  <w:footnote w:type="continuationSeparator" w:id="0">
    <w:p w14:paraId="595EDB5F" w14:textId="77777777" w:rsidR="00D4712A" w:rsidRDefault="00D4712A" w:rsidP="009E5535">
      <w:pPr>
        <w:spacing w:after="0" w:line="240" w:lineRule="auto"/>
      </w:pPr>
      <w:r>
        <w:continuationSeparator/>
      </w:r>
    </w:p>
  </w:footnote>
  <w:footnote w:id="1">
    <w:p w14:paraId="62FC8370" w14:textId="77777777" w:rsidR="00D700D3" w:rsidRPr="00431807" w:rsidRDefault="00D700D3">
      <w:pPr>
        <w:pStyle w:val="Voetnoottekst"/>
        <w:rPr>
          <w:sz w:val="13"/>
          <w:szCs w:val="13"/>
          <w:lang w:val="nl-NL"/>
        </w:rPr>
      </w:pPr>
      <w:r w:rsidRPr="00431807">
        <w:rPr>
          <w:rStyle w:val="Voetnootmarkering"/>
          <w:sz w:val="13"/>
          <w:szCs w:val="13"/>
        </w:rPr>
        <w:footnoteRef/>
      </w:r>
      <w:r w:rsidRPr="00431807">
        <w:rPr>
          <w:sz w:val="13"/>
          <w:szCs w:val="13"/>
          <w:lang w:val="nl-NL"/>
        </w:rPr>
        <w:t xml:space="preserve"> Gedurende de evaluatie is daarnaast een VT traject voor </w:t>
      </w:r>
      <w:proofErr w:type="spellStart"/>
      <w:r w:rsidRPr="00431807">
        <w:rPr>
          <w:sz w:val="13"/>
          <w:szCs w:val="13"/>
          <w:lang w:val="nl-NL"/>
        </w:rPr>
        <w:t>Revestive</w:t>
      </w:r>
      <w:proofErr w:type="spellEnd"/>
      <w:r w:rsidRPr="00431807">
        <w:rPr>
          <w:sz w:val="13"/>
          <w:szCs w:val="13"/>
          <w:lang w:val="nl-NL"/>
        </w:rPr>
        <w:t xml:space="preserve"> gestart.</w:t>
      </w:r>
    </w:p>
  </w:footnote>
  <w:footnote w:id="2">
    <w:p w14:paraId="0C4B4BD0" w14:textId="77777777" w:rsidR="007922B7" w:rsidRPr="00431807" w:rsidRDefault="007922B7">
      <w:pPr>
        <w:pStyle w:val="Voetnoottekst"/>
        <w:rPr>
          <w:sz w:val="13"/>
          <w:szCs w:val="13"/>
          <w:lang w:val="nl-NL"/>
        </w:rPr>
      </w:pPr>
      <w:r w:rsidRPr="00431807">
        <w:rPr>
          <w:rStyle w:val="Voetnootmarkering"/>
          <w:sz w:val="13"/>
          <w:szCs w:val="13"/>
        </w:rPr>
        <w:footnoteRef/>
      </w:r>
      <w:r w:rsidRPr="00431807">
        <w:rPr>
          <w:sz w:val="13"/>
          <w:szCs w:val="13"/>
          <w:lang w:val="nl-NL"/>
        </w:rPr>
        <w:t xml:space="preserve"> Een weesgeneesmiddel is een geneesmiddel voor een zeldzame ziekte</w:t>
      </w:r>
      <w:r w:rsidR="00EB2DED" w:rsidRPr="00431807">
        <w:rPr>
          <w:sz w:val="13"/>
          <w:szCs w:val="13"/>
          <w:lang w:val="nl-NL"/>
        </w:rPr>
        <w:t>. In Europa wordt een ziekte als zeldzaam beschouwd als deze minder dan 1 op de 2000 mensen treft.</w:t>
      </w:r>
    </w:p>
  </w:footnote>
  <w:footnote w:id="3">
    <w:p w14:paraId="3FA82229" w14:textId="77777777" w:rsidR="007922B7" w:rsidRPr="00431807" w:rsidRDefault="007922B7">
      <w:pPr>
        <w:pStyle w:val="Voetnoottekst"/>
        <w:rPr>
          <w:sz w:val="13"/>
          <w:szCs w:val="13"/>
          <w:lang w:val="nl-NL"/>
        </w:rPr>
      </w:pPr>
      <w:r w:rsidRPr="00431807">
        <w:rPr>
          <w:rStyle w:val="Voetnootmarkering"/>
          <w:sz w:val="13"/>
          <w:szCs w:val="13"/>
        </w:rPr>
        <w:footnoteRef/>
      </w:r>
      <w:r w:rsidRPr="00431807">
        <w:rPr>
          <w:sz w:val="13"/>
          <w:szCs w:val="13"/>
          <w:lang w:val="nl-NL"/>
        </w:rPr>
        <w:t xml:space="preserve"> Een </w:t>
      </w:r>
      <w:proofErr w:type="spellStart"/>
      <w:r w:rsidRPr="00431807">
        <w:rPr>
          <w:sz w:val="13"/>
          <w:szCs w:val="13"/>
          <w:lang w:val="nl-NL"/>
        </w:rPr>
        <w:t>conditional</w:t>
      </w:r>
      <w:proofErr w:type="spellEnd"/>
      <w:r w:rsidRPr="00431807">
        <w:rPr>
          <w:sz w:val="13"/>
          <w:szCs w:val="13"/>
          <w:lang w:val="nl-NL"/>
        </w:rPr>
        <w:t xml:space="preserve"> is een geneesmiddel dat een voorwaardelijke handelsvergunning heeft ontvangen van het EMA. De firma moet ondertussen meer onderzoek doen en zo meer data genereren, zodat de</w:t>
      </w:r>
      <w:r w:rsidR="00D02181" w:rsidRPr="00431807">
        <w:rPr>
          <w:sz w:val="13"/>
          <w:szCs w:val="13"/>
          <w:lang w:val="nl-NL"/>
        </w:rPr>
        <w:t xml:space="preserve"> tijdelijke</w:t>
      </w:r>
      <w:r w:rsidRPr="00431807">
        <w:rPr>
          <w:sz w:val="13"/>
          <w:szCs w:val="13"/>
          <w:lang w:val="nl-NL"/>
        </w:rPr>
        <w:t xml:space="preserve"> handelsvergunning kan worden omgezet in een definitieve handelsvergunning.</w:t>
      </w:r>
    </w:p>
  </w:footnote>
  <w:footnote w:id="4">
    <w:p w14:paraId="30335031" w14:textId="77777777" w:rsidR="00321A3F" w:rsidRPr="00431807" w:rsidRDefault="00321A3F">
      <w:pPr>
        <w:pStyle w:val="Voetnoottekst"/>
        <w:rPr>
          <w:sz w:val="13"/>
          <w:szCs w:val="13"/>
          <w:lang w:val="nl-NL"/>
        </w:rPr>
      </w:pPr>
      <w:r w:rsidRPr="00431807">
        <w:rPr>
          <w:rStyle w:val="Voetnootmarkering"/>
          <w:sz w:val="13"/>
          <w:szCs w:val="13"/>
        </w:rPr>
        <w:footnoteRef/>
      </w:r>
      <w:r w:rsidR="00DA0197" w:rsidRPr="00431807">
        <w:rPr>
          <w:sz w:val="13"/>
          <w:szCs w:val="13"/>
          <w:lang w:val="nl-NL"/>
        </w:rPr>
        <w:t xml:space="preserve"> </w:t>
      </w:r>
      <w:r w:rsidRPr="00431807">
        <w:rPr>
          <w:sz w:val="13"/>
          <w:szCs w:val="13"/>
          <w:lang w:val="nl-NL"/>
        </w:rPr>
        <w:t xml:space="preserve">Een </w:t>
      </w:r>
      <w:proofErr w:type="spellStart"/>
      <w:r w:rsidRPr="00431807">
        <w:rPr>
          <w:sz w:val="13"/>
          <w:szCs w:val="13"/>
          <w:lang w:val="nl-NL"/>
        </w:rPr>
        <w:t>exceptional</w:t>
      </w:r>
      <w:proofErr w:type="spellEnd"/>
      <w:r w:rsidRPr="00431807">
        <w:rPr>
          <w:sz w:val="13"/>
          <w:szCs w:val="13"/>
          <w:lang w:val="nl-NL"/>
        </w:rPr>
        <w:t xml:space="preserve"> is een </w:t>
      </w:r>
      <w:r w:rsidR="001512C2" w:rsidRPr="00431807">
        <w:rPr>
          <w:sz w:val="13"/>
          <w:szCs w:val="13"/>
          <w:lang w:val="nl-NL"/>
        </w:rPr>
        <w:t xml:space="preserve">geneesmiddel met een </w:t>
      </w:r>
      <w:r w:rsidRPr="00431807">
        <w:rPr>
          <w:sz w:val="13"/>
          <w:szCs w:val="13"/>
          <w:lang w:val="nl-NL"/>
        </w:rPr>
        <w:t>handelsvergunning onder uitzonderlijke voorwaarden. Voor een dergelijk geneesmiddel is het niet mogelijk om nog meer onderzoek te doen en meer data te genereren. Het EMA accepteert dat voor deze geneesmiddelen er altijd enige sprake van onzekerheid zal blijven bestaan.</w:t>
      </w:r>
    </w:p>
  </w:footnote>
  <w:footnote w:id="5">
    <w:p w14:paraId="3B9844B6" w14:textId="77777777" w:rsidR="00321A3F" w:rsidRPr="00431807" w:rsidRDefault="00321A3F">
      <w:pPr>
        <w:pStyle w:val="Voetnoottekst"/>
        <w:rPr>
          <w:sz w:val="13"/>
          <w:szCs w:val="13"/>
          <w:lang w:val="nl-NL"/>
        </w:rPr>
      </w:pPr>
      <w:r w:rsidRPr="00431807">
        <w:rPr>
          <w:rStyle w:val="Voetnootmarkering"/>
          <w:sz w:val="13"/>
          <w:szCs w:val="13"/>
        </w:rPr>
        <w:footnoteRef/>
      </w:r>
      <w:r w:rsidRPr="00431807">
        <w:rPr>
          <w:sz w:val="13"/>
          <w:szCs w:val="13"/>
          <w:lang w:val="nl-NL"/>
        </w:rPr>
        <w:t xml:space="preserve"> Een heterogene populatie is een groep waarin individuen verschillen op belangrijke kenmerken</w:t>
      </w:r>
    </w:p>
  </w:footnote>
  <w:footnote w:id="6">
    <w:p w14:paraId="5B90DCF2" w14:textId="77777777" w:rsidR="00B2657D" w:rsidRPr="00431807" w:rsidRDefault="00B2657D" w:rsidP="00B2657D">
      <w:pPr>
        <w:pStyle w:val="Voetnoottekst"/>
        <w:rPr>
          <w:sz w:val="13"/>
          <w:szCs w:val="13"/>
          <w:lang w:val="nl-NL"/>
        </w:rPr>
      </w:pPr>
      <w:r w:rsidRPr="00431807">
        <w:rPr>
          <w:rStyle w:val="Voetnootmarkering"/>
          <w:sz w:val="13"/>
          <w:szCs w:val="13"/>
        </w:rPr>
        <w:footnoteRef/>
      </w:r>
      <w:r w:rsidRPr="00431807">
        <w:rPr>
          <w:sz w:val="13"/>
          <w:szCs w:val="13"/>
          <w:lang w:val="nl-NL"/>
        </w:rPr>
        <w:t xml:space="preserve"> Vergaderjaar 2019-2020, Kamerstuk 29477 nr. 621</w:t>
      </w:r>
    </w:p>
  </w:footnote>
  <w:footnote w:id="7">
    <w:p w14:paraId="5F792028" w14:textId="76D27D64" w:rsidR="00E6666E" w:rsidRPr="00E6666E" w:rsidRDefault="00E6666E" w:rsidP="00E6666E">
      <w:pPr>
        <w:pStyle w:val="Voetnoottekst"/>
        <w:rPr>
          <w:sz w:val="13"/>
          <w:szCs w:val="13"/>
          <w:lang w:val="nl-NL"/>
        </w:rPr>
      </w:pPr>
      <w:r w:rsidRPr="00FC4E0C">
        <w:rPr>
          <w:rStyle w:val="Voetnootmarkering"/>
          <w:sz w:val="13"/>
          <w:szCs w:val="13"/>
        </w:rPr>
        <w:footnoteRef/>
      </w:r>
      <w:r w:rsidRPr="00E6666E">
        <w:rPr>
          <w:sz w:val="13"/>
          <w:szCs w:val="13"/>
          <w:lang w:val="nl-NL"/>
        </w:rPr>
        <w:t xml:space="preserve"> </w:t>
      </w:r>
      <w:r w:rsidR="00E3371D">
        <w:fldChar w:fldCharType="begin"/>
      </w:r>
      <w:r w:rsidR="00E3371D" w:rsidRPr="00EB7E6E">
        <w:rPr>
          <w:lang w:val="nl-NL"/>
        </w:rPr>
        <w:instrText>HYPERLINK "https://www.uu.nl/nieuws/veel-nieuwe-kankermedicijnen-in-de-eu-hebben-geen-bewezen-toegevoegde-waarde"</w:instrText>
      </w:r>
      <w:r w:rsidR="00E3371D">
        <w:fldChar w:fldCharType="separate"/>
      </w:r>
      <w:r w:rsidR="00E3371D" w:rsidRPr="00CA1B5C">
        <w:rPr>
          <w:rStyle w:val="Hyperlink"/>
          <w:sz w:val="13"/>
          <w:szCs w:val="13"/>
          <w:lang w:val="nl-NL"/>
        </w:rPr>
        <w:t>https://www.uu.nl/nieuws/veel-nieuwe-kankermedicijnen-in-de-eu-hebben-geen-bewezen-toegevoegde-waarde</w:t>
      </w:r>
      <w:r w:rsidR="00E3371D">
        <w:fldChar w:fldCharType="end"/>
      </w:r>
      <w:r w:rsidR="00E3371D">
        <w:rPr>
          <w:sz w:val="13"/>
          <w:szCs w:val="13"/>
          <w:lang w:val="nl-NL"/>
        </w:rPr>
        <w:t xml:space="preserve"> </w:t>
      </w:r>
    </w:p>
  </w:footnote>
  <w:footnote w:id="8">
    <w:p w14:paraId="44D37C1E" w14:textId="77777777" w:rsidR="006127CD" w:rsidRPr="00431807" w:rsidRDefault="006127CD">
      <w:pPr>
        <w:pStyle w:val="Voetnoottekst"/>
        <w:rPr>
          <w:sz w:val="13"/>
          <w:szCs w:val="13"/>
          <w:lang w:val="nl-NL"/>
        </w:rPr>
      </w:pPr>
      <w:r w:rsidRPr="00431807">
        <w:rPr>
          <w:rStyle w:val="Voetnootmarkering"/>
          <w:sz w:val="13"/>
          <w:szCs w:val="13"/>
        </w:rPr>
        <w:footnoteRef/>
      </w:r>
      <w:r w:rsidRPr="00431807">
        <w:rPr>
          <w:sz w:val="13"/>
          <w:szCs w:val="13"/>
          <w:lang w:val="nl-NL"/>
        </w:rPr>
        <w:t xml:space="preserve"> weesgeneesmiddelen, </w:t>
      </w:r>
      <w:proofErr w:type="spellStart"/>
      <w:r w:rsidRPr="00431807">
        <w:rPr>
          <w:sz w:val="13"/>
          <w:szCs w:val="13"/>
          <w:lang w:val="nl-NL"/>
        </w:rPr>
        <w:t>conditionals</w:t>
      </w:r>
      <w:proofErr w:type="spellEnd"/>
      <w:r w:rsidRPr="00431807">
        <w:rPr>
          <w:sz w:val="13"/>
          <w:szCs w:val="13"/>
          <w:lang w:val="nl-NL"/>
        </w:rPr>
        <w:t xml:space="preserve"> en </w:t>
      </w:r>
      <w:proofErr w:type="spellStart"/>
      <w:r w:rsidRPr="00431807">
        <w:rPr>
          <w:sz w:val="13"/>
          <w:szCs w:val="13"/>
          <w:lang w:val="nl-NL"/>
        </w:rPr>
        <w:t>exceptionals</w:t>
      </w:r>
      <w:proofErr w:type="spellEnd"/>
      <w:r w:rsidRPr="00431807">
        <w:rPr>
          <w:sz w:val="13"/>
          <w:szCs w:val="13"/>
          <w:lang w:val="nl-NL"/>
        </w:rPr>
        <w:t xml:space="preserve">  </w:t>
      </w:r>
    </w:p>
  </w:footnote>
  <w:footnote w:id="9">
    <w:p w14:paraId="335DE0FF" w14:textId="77777777" w:rsidR="00E6666E" w:rsidRPr="00E6666E" w:rsidRDefault="00E6666E" w:rsidP="00E6666E">
      <w:pPr>
        <w:pStyle w:val="Voetnoottekst"/>
        <w:rPr>
          <w:sz w:val="13"/>
          <w:szCs w:val="13"/>
          <w:lang w:val="nl-NL"/>
        </w:rPr>
      </w:pPr>
      <w:r w:rsidRPr="000102A9">
        <w:rPr>
          <w:rStyle w:val="Voetnootmarkering"/>
          <w:sz w:val="13"/>
          <w:szCs w:val="13"/>
        </w:rPr>
        <w:footnoteRef/>
      </w:r>
      <w:r w:rsidRPr="00E6666E">
        <w:rPr>
          <w:sz w:val="13"/>
          <w:szCs w:val="13"/>
          <w:lang w:val="nl-NL"/>
        </w:rPr>
        <w:t xml:space="preserve"> Dat kan via een gezamenlijk Europees wetenschappelijk advies (de Joint </w:t>
      </w:r>
      <w:proofErr w:type="spellStart"/>
      <w:r w:rsidRPr="00E6666E">
        <w:rPr>
          <w:sz w:val="13"/>
          <w:szCs w:val="13"/>
          <w:lang w:val="nl-NL"/>
        </w:rPr>
        <w:t>Scientific</w:t>
      </w:r>
      <w:proofErr w:type="spellEnd"/>
      <w:r w:rsidRPr="00E6666E">
        <w:rPr>
          <w:sz w:val="13"/>
          <w:szCs w:val="13"/>
          <w:lang w:val="nl-NL"/>
        </w:rPr>
        <w:t xml:space="preserve"> </w:t>
      </w:r>
      <w:proofErr w:type="spellStart"/>
      <w:r w:rsidRPr="00E6666E">
        <w:rPr>
          <w:sz w:val="13"/>
          <w:szCs w:val="13"/>
          <w:lang w:val="nl-NL"/>
        </w:rPr>
        <w:t>Consultation</w:t>
      </w:r>
      <w:proofErr w:type="spellEnd"/>
      <w:r w:rsidRPr="00E6666E">
        <w:rPr>
          <w:sz w:val="13"/>
          <w:szCs w:val="13"/>
          <w:lang w:val="nl-NL"/>
        </w:rPr>
        <w:t>), zoals is geregeld in de Europese Health Technology Assessment verordening (</w:t>
      </w:r>
      <w:proofErr w:type="spellStart"/>
      <w:r w:rsidRPr="00E6666E">
        <w:rPr>
          <w:sz w:val="13"/>
          <w:szCs w:val="13"/>
          <w:lang w:val="nl-NL"/>
        </w:rPr>
        <w:t>EUHTAr</w:t>
      </w:r>
      <w:proofErr w:type="spellEnd"/>
      <w:r w:rsidRPr="00E6666E">
        <w:rPr>
          <w:sz w:val="13"/>
          <w:szCs w:val="13"/>
          <w:lang w:val="nl-NL"/>
        </w:rPr>
        <w:t>), of door indiening van een proefdossier bij het Zorginstituut.</w:t>
      </w:r>
    </w:p>
  </w:footnote>
  <w:footnote w:id="10">
    <w:p w14:paraId="338D7799" w14:textId="77777777" w:rsidR="003A5B1F" w:rsidRPr="003A5B1F" w:rsidRDefault="003A5B1F">
      <w:pPr>
        <w:pStyle w:val="Voetnoottekst"/>
        <w:rPr>
          <w:sz w:val="13"/>
          <w:szCs w:val="13"/>
          <w:lang w:val="nl-NL"/>
        </w:rPr>
      </w:pPr>
      <w:r w:rsidRPr="003A5B1F">
        <w:rPr>
          <w:rStyle w:val="Voetnootmarkering"/>
          <w:sz w:val="13"/>
          <w:szCs w:val="13"/>
        </w:rPr>
        <w:footnoteRef/>
      </w:r>
      <w:r w:rsidRPr="003A5B1F">
        <w:rPr>
          <w:sz w:val="13"/>
          <w:szCs w:val="13"/>
          <w:lang w:val="nl-NL"/>
        </w:rPr>
        <w:t xml:space="preserve"> Off label  gebruik of (ander) onderzoek dat kan leiden tot volumereductie van het geneesmiddel</w:t>
      </w:r>
    </w:p>
  </w:footnote>
  <w:footnote w:id="11">
    <w:p w14:paraId="5531EC17" w14:textId="77777777" w:rsidR="00FD24C9" w:rsidRPr="00431807" w:rsidRDefault="00FD24C9" w:rsidP="00FD24C9">
      <w:pPr>
        <w:pStyle w:val="Voetnoottekst"/>
        <w:rPr>
          <w:sz w:val="13"/>
          <w:szCs w:val="13"/>
          <w:lang w:val="nl-NL"/>
        </w:rPr>
      </w:pPr>
      <w:r w:rsidRPr="003A5B1F">
        <w:rPr>
          <w:rStyle w:val="Voetnootmarkering"/>
          <w:sz w:val="13"/>
          <w:szCs w:val="13"/>
        </w:rPr>
        <w:footnoteRef/>
      </w:r>
      <w:r w:rsidRPr="003A5B1F">
        <w:rPr>
          <w:sz w:val="13"/>
          <w:szCs w:val="13"/>
          <w:lang w:val="nl-NL"/>
        </w:rPr>
        <w:t xml:space="preserve"> Vergaderjaar 2023-2024, 29477 nr. 883</w:t>
      </w:r>
      <w:r w:rsidRPr="00431807">
        <w:rPr>
          <w:sz w:val="13"/>
          <w:szCs w:val="13"/>
          <w:lang w:val="nl-NL"/>
        </w:rPr>
        <w:t xml:space="preserve"> </w:t>
      </w:r>
    </w:p>
  </w:footnote>
  <w:footnote w:id="12">
    <w:p w14:paraId="7BC36EC4" w14:textId="77777777" w:rsidR="00F01AED" w:rsidRPr="001E3DC4" w:rsidRDefault="00F01AED" w:rsidP="00F01AED">
      <w:pPr>
        <w:pStyle w:val="Voetnoottekst"/>
        <w:rPr>
          <w:sz w:val="13"/>
          <w:szCs w:val="13"/>
          <w:lang w:val="nl-NL"/>
        </w:rPr>
      </w:pPr>
      <w:r w:rsidRPr="007A0832">
        <w:rPr>
          <w:rStyle w:val="Voetnootmarkering"/>
          <w:sz w:val="13"/>
          <w:szCs w:val="13"/>
        </w:rPr>
        <w:footnoteRef/>
      </w:r>
      <w:r w:rsidRPr="001E3DC4">
        <w:rPr>
          <w:sz w:val="13"/>
          <w:szCs w:val="13"/>
          <w:lang w:val="nl-NL"/>
        </w:rPr>
        <w:t xml:space="preserve"> Het kabinet zal de Kamer over de voortgang van TSG nog voor de zomer informeren.</w:t>
      </w:r>
    </w:p>
  </w:footnote>
  <w:footnote w:id="13">
    <w:p w14:paraId="773B2171" w14:textId="77777777" w:rsidR="00DD6BE2" w:rsidRPr="00702A1B" w:rsidRDefault="00DD6BE2" w:rsidP="00DD6BE2">
      <w:pPr>
        <w:pStyle w:val="Voetnoottekst"/>
        <w:rPr>
          <w:sz w:val="13"/>
          <w:szCs w:val="13"/>
          <w:lang w:val="nl-NL"/>
        </w:rPr>
      </w:pPr>
      <w:r w:rsidRPr="00431807">
        <w:rPr>
          <w:rStyle w:val="Voetnootmarkering"/>
          <w:sz w:val="13"/>
          <w:szCs w:val="13"/>
        </w:rPr>
        <w:footnoteRef/>
      </w:r>
      <w:r w:rsidRPr="00431807">
        <w:rPr>
          <w:sz w:val="13"/>
          <w:szCs w:val="13"/>
          <w:lang w:val="nl-NL"/>
        </w:rPr>
        <w:t xml:space="preserve"> Tabel 4 van het VT evaluatie rapport geeft een meer gedetailleerd overzicht van (de verschillen tussen de VT,) de DAP en ODAP (</w:t>
      </w:r>
      <w:r w:rsidR="00F6098F">
        <w:fldChar w:fldCharType="begin"/>
      </w:r>
      <w:r w:rsidR="00F6098F" w:rsidRPr="00EB7E6E">
        <w:rPr>
          <w:lang w:val="nl-NL"/>
        </w:rPr>
        <w:instrText>HYPERLINK "https://open.overheid.nl/documenten/7d562716-040b-47d3-a097-2318f23751a1/file"</w:instrText>
      </w:r>
      <w:r w:rsidR="00F6098F">
        <w:fldChar w:fldCharType="separate"/>
      </w:r>
      <w:r w:rsidR="00F6098F" w:rsidRPr="00702A1B">
        <w:rPr>
          <w:color w:val="0000FF"/>
          <w:sz w:val="13"/>
          <w:szCs w:val="13"/>
          <w:u w:val="single"/>
          <w:lang w:val="nl-NL"/>
        </w:rPr>
        <w:t>file</w:t>
      </w:r>
      <w:r w:rsidR="00F6098F">
        <w:fldChar w:fldCharType="end"/>
      </w:r>
      <w:r w:rsidRPr="00431807">
        <w:rPr>
          <w:sz w:val="13"/>
          <w:szCs w:val="13"/>
          <w:lang w:val="nl-NL"/>
        </w:rPr>
        <w:t>).</w:t>
      </w:r>
    </w:p>
  </w:footnote>
  <w:footnote w:id="14">
    <w:p w14:paraId="327EEC41" w14:textId="77777777" w:rsidR="00A04B69" w:rsidRPr="00431807" w:rsidRDefault="00A04B69">
      <w:pPr>
        <w:pStyle w:val="Voetnoottekst"/>
        <w:rPr>
          <w:sz w:val="13"/>
          <w:szCs w:val="13"/>
          <w:lang w:val="nl-NL"/>
        </w:rPr>
      </w:pPr>
      <w:r w:rsidRPr="00431807">
        <w:rPr>
          <w:rStyle w:val="Voetnootmarkering"/>
          <w:sz w:val="13"/>
          <w:szCs w:val="13"/>
        </w:rPr>
        <w:footnoteRef/>
      </w:r>
      <w:r w:rsidRPr="00431807">
        <w:rPr>
          <w:sz w:val="13"/>
          <w:szCs w:val="13"/>
          <w:lang w:val="nl-NL"/>
        </w:rPr>
        <w:t xml:space="preserve"> Ultra weesgeneesmiddelen zijn geneesmiddelen die bestemd zijn voor de behandeling van zeer zeldzame ziekten. </w:t>
      </w:r>
      <w:r w:rsidR="0067743C" w:rsidRPr="0067743C">
        <w:rPr>
          <w:sz w:val="13"/>
          <w:szCs w:val="13"/>
          <w:lang w:val="nl-NL"/>
        </w:rPr>
        <w:t>Voor ultra-weesgeneesmiddelen is geen duidelijke definitie, maar soms wordt een aantal van 1 op de 50.000 mensen gehanteerd. Soms gaat het hierbij om slechts enkele patiënten.</w:t>
      </w:r>
      <w:r w:rsidR="00EB2DED" w:rsidRPr="00431807">
        <w:rPr>
          <w:sz w:val="13"/>
          <w:szCs w:val="13"/>
          <w:lang w:val="nl-NL"/>
        </w:rPr>
        <w:t xml:space="preserve"> </w:t>
      </w:r>
    </w:p>
  </w:footnote>
  <w:footnote w:id="15">
    <w:p w14:paraId="4A3A4B5C" w14:textId="77777777" w:rsidR="001E3DC4" w:rsidRPr="001E3DC4" w:rsidRDefault="001E3DC4" w:rsidP="001E3DC4">
      <w:pPr>
        <w:pStyle w:val="Voetnoottekst"/>
        <w:rPr>
          <w:sz w:val="13"/>
          <w:szCs w:val="13"/>
          <w:lang w:val="nl-NL"/>
        </w:rPr>
      </w:pPr>
      <w:r w:rsidRPr="007A0832">
        <w:rPr>
          <w:rStyle w:val="Voetnootmarkering"/>
          <w:sz w:val="13"/>
          <w:szCs w:val="13"/>
        </w:rPr>
        <w:footnoteRef/>
      </w:r>
      <w:r w:rsidRPr="001E3DC4">
        <w:rPr>
          <w:sz w:val="13"/>
          <w:szCs w:val="13"/>
          <w:lang w:val="nl-NL"/>
        </w:rPr>
        <w:t xml:space="preserve"> Zie bijvoorbeeld: </w:t>
      </w:r>
      <w:r>
        <w:fldChar w:fldCharType="begin"/>
      </w:r>
      <w:r w:rsidRPr="00EB7E6E">
        <w:rPr>
          <w:lang w:val="nl-NL"/>
        </w:rPr>
        <w:instrText>HYPERLINK "https://www.nrc.nl/nieuws/2025/05/16/op-maat-gemaakte-therapie-repareert-kapot-gen-van-zieke-baby-in-vs-a4893577"</w:instrText>
      </w:r>
      <w:r>
        <w:fldChar w:fldCharType="separate"/>
      </w:r>
      <w:r w:rsidRPr="001E3DC4">
        <w:rPr>
          <w:color w:val="0000FF"/>
          <w:sz w:val="13"/>
          <w:szCs w:val="13"/>
          <w:u w:val="single"/>
          <w:lang w:val="nl-NL"/>
        </w:rPr>
        <w:t>Op maat gemaakte therapie repareert kapot gen van zieke baby in VS - NRC</w:t>
      </w:r>
      <w:r>
        <w:fldChar w:fldCharType="end"/>
      </w:r>
      <w:r w:rsidRPr="001E3DC4">
        <w:rPr>
          <w:sz w:val="13"/>
          <w:szCs w:val="13"/>
          <w:lang w:val="nl-NL"/>
        </w:rPr>
        <w:t xml:space="preserve"> en ‘</w:t>
      </w:r>
      <w:proofErr w:type="spellStart"/>
      <w:r w:rsidRPr="001E3DC4">
        <w:rPr>
          <w:sz w:val="13"/>
          <w:szCs w:val="13"/>
          <w:lang w:val="nl-NL"/>
        </w:rPr>
        <w:t>From</w:t>
      </w:r>
      <w:proofErr w:type="spellEnd"/>
      <w:r w:rsidRPr="001E3DC4">
        <w:rPr>
          <w:sz w:val="13"/>
          <w:szCs w:val="13"/>
          <w:lang w:val="nl-NL"/>
        </w:rPr>
        <w:t xml:space="preserve"> </w:t>
      </w:r>
      <w:proofErr w:type="spellStart"/>
      <w:r w:rsidRPr="001E3DC4">
        <w:rPr>
          <w:sz w:val="13"/>
          <w:szCs w:val="13"/>
          <w:lang w:val="nl-NL"/>
        </w:rPr>
        <w:t>roadmap</w:t>
      </w:r>
      <w:proofErr w:type="spellEnd"/>
      <w:r w:rsidRPr="001E3DC4">
        <w:rPr>
          <w:sz w:val="13"/>
          <w:szCs w:val="13"/>
          <w:lang w:val="nl-NL"/>
        </w:rPr>
        <w:t xml:space="preserve"> </w:t>
      </w:r>
      <w:proofErr w:type="spellStart"/>
      <w:r w:rsidRPr="001E3DC4">
        <w:rPr>
          <w:sz w:val="13"/>
          <w:szCs w:val="13"/>
          <w:lang w:val="nl-NL"/>
        </w:rPr>
        <w:t>to</w:t>
      </w:r>
      <w:proofErr w:type="spellEnd"/>
      <w:r w:rsidRPr="001E3DC4">
        <w:rPr>
          <w:sz w:val="13"/>
          <w:szCs w:val="13"/>
          <w:lang w:val="nl-NL"/>
        </w:rPr>
        <w:t xml:space="preserve"> a </w:t>
      </w:r>
      <w:proofErr w:type="spellStart"/>
      <w:r w:rsidRPr="001E3DC4">
        <w:rPr>
          <w:sz w:val="13"/>
          <w:szCs w:val="13"/>
          <w:lang w:val="nl-NL"/>
        </w:rPr>
        <w:t>sustainable</w:t>
      </w:r>
      <w:proofErr w:type="spellEnd"/>
      <w:r w:rsidRPr="001E3DC4">
        <w:rPr>
          <w:sz w:val="13"/>
          <w:szCs w:val="13"/>
          <w:lang w:val="nl-NL"/>
        </w:rPr>
        <w:t xml:space="preserve"> end-</w:t>
      </w:r>
      <w:proofErr w:type="spellStart"/>
      <w:r w:rsidRPr="001E3DC4">
        <w:rPr>
          <w:sz w:val="13"/>
          <w:szCs w:val="13"/>
          <w:lang w:val="nl-NL"/>
        </w:rPr>
        <w:t>to</w:t>
      </w:r>
      <w:proofErr w:type="spellEnd"/>
      <w:r w:rsidRPr="001E3DC4">
        <w:rPr>
          <w:sz w:val="13"/>
          <w:szCs w:val="13"/>
          <w:lang w:val="nl-NL"/>
        </w:rPr>
        <w:t xml:space="preserve">-end </w:t>
      </w:r>
      <w:proofErr w:type="spellStart"/>
      <w:r w:rsidRPr="001E3DC4">
        <w:rPr>
          <w:sz w:val="13"/>
          <w:szCs w:val="13"/>
          <w:lang w:val="nl-NL"/>
        </w:rPr>
        <w:t>individualized</w:t>
      </w:r>
      <w:proofErr w:type="spellEnd"/>
      <w:r w:rsidRPr="001E3DC4">
        <w:rPr>
          <w:sz w:val="13"/>
          <w:szCs w:val="13"/>
          <w:lang w:val="nl-NL"/>
        </w:rPr>
        <w:t xml:space="preserve"> </w:t>
      </w:r>
      <w:proofErr w:type="spellStart"/>
      <w:r w:rsidRPr="001E3DC4">
        <w:rPr>
          <w:sz w:val="13"/>
          <w:szCs w:val="13"/>
          <w:lang w:val="nl-NL"/>
        </w:rPr>
        <w:t>therapy</w:t>
      </w:r>
      <w:proofErr w:type="spellEnd"/>
      <w:r w:rsidRPr="001E3DC4">
        <w:rPr>
          <w:sz w:val="13"/>
          <w:szCs w:val="13"/>
          <w:lang w:val="nl-NL"/>
        </w:rPr>
        <w:t xml:space="preserve"> </w:t>
      </w:r>
      <w:proofErr w:type="spellStart"/>
      <w:r w:rsidRPr="001E3DC4">
        <w:rPr>
          <w:sz w:val="13"/>
          <w:szCs w:val="13"/>
          <w:lang w:val="nl-NL"/>
        </w:rPr>
        <w:t>pathway</w:t>
      </w:r>
      <w:proofErr w:type="spellEnd"/>
      <w:r w:rsidRPr="001E3DC4">
        <w:rPr>
          <w:sz w:val="13"/>
          <w:szCs w:val="13"/>
          <w:lang w:val="nl-NL"/>
        </w:rPr>
        <w:t xml:space="preserve">’, </w:t>
      </w:r>
      <w:proofErr w:type="spellStart"/>
      <w:r w:rsidRPr="001E3DC4">
        <w:rPr>
          <w:sz w:val="13"/>
          <w:szCs w:val="13"/>
          <w:lang w:val="nl-NL"/>
        </w:rPr>
        <w:t>Ther</w:t>
      </w:r>
      <w:proofErr w:type="spellEnd"/>
      <w:r w:rsidRPr="001E3DC4">
        <w:rPr>
          <w:sz w:val="13"/>
          <w:szCs w:val="13"/>
          <w:lang w:val="nl-NL"/>
        </w:rPr>
        <w:t xml:space="preserve"> Adv Rare Dis 2025, Vol. 6: 1–17.</w:t>
      </w:r>
    </w:p>
  </w:footnote>
  <w:footnote w:id="16">
    <w:p w14:paraId="2F140AC3" w14:textId="77777777" w:rsidR="004A5C98" w:rsidRPr="004A5C98" w:rsidRDefault="004A5C98">
      <w:pPr>
        <w:pStyle w:val="Voetnoottekst"/>
        <w:rPr>
          <w:sz w:val="13"/>
          <w:szCs w:val="13"/>
          <w:lang w:val="nl-NL"/>
        </w:rPr>
      </w:pPr>
      <w:r w:rsidRPr="004A5C98">
        <w:rPr>
          <w:rStyle w:val="Voetnootmarkering"/>
          <w:sz w:val="13"/>
          <w:szCs w:val="13"/>
        </w:rPr>
        <w:footnoteRef/>
      </w:r>
      <w:r w:rsidRPr="004A5C98">
        <w:rPr>
          <w:sz w:val="13"/>
          <w:szCs w:val="13"/>
          <w:lang w:val="nl-NL"/>
        </w:rPr>
        <w:t xml:space="preserve"> Dit kan (een deel van de) geneesmiddelen betreffen die nu binnen de VT, ODAP, DAP of het Drug </w:t>
      </w:r>
      <w:proofErr w:type="spellStart"/>
      <w:r w:rsidRPr="004A5C98">
        <w:rPr>
          <w:sz w:val="13"/>
          <w:szCs w:val="13"/>
          <w:lang w:val="nl-NL"/>
        </w:rPr>
        <w:t>Rediscovery</w:t>
      </w:r>
      <w:proofErr w:type="spellEnd"/>
      <w:r w:rsidRPr="004A5C98">
        <w:rPr>
          <w:sz w:val="13"/>
          <w:szCs w:val="13"/>
          <w:lang w:val="nl-NL"/>
        </w:rPr>
        <w:t xml:space="preserve"> Protocol (DRUP) vallen</w:t>
      </w:r>
      <w:r w:rsidR="00653829">
        <w:rPr>
          <w:sz w:val="13"/>
          <w:szCs w:val="13"/>
          <w:lang w:val="nl-NL"/>
        </w:rPr>
        <w:t xml:space="preserve">, indien voldaan aan de nog vast te stellen criteria voor ‘ultrawees’. </w:t>
      </w:r>
      <w:r w:rsidRPr="004A5C98">
        <w:rPr>
          <w:sz w:val="13"/>
          <w:szCs w:val="13"/>
          <w:lang w:val="nl-NL"/>
        </w:rPr>
        <w:t>Het DRUP protocol betreft onderzoek voor patiënten met vergevorderde of uitgezaaide kanker voor wie geen standaardbehandeling meer beschikbaar is. Onderzocht wordt of voor deze patiënten doelgerichte therapie - bedoeld voor andere kankersoorten, maar wel met dezelfde kankercelkenmerken - effectief is.</w:t>
      </w:r>
    </w:p>
  </w:footnote>
  <w:footnote w:id="17">
    <w:p w14:paraId="2EEDA6F8" w14:textId="77777777" w:rsidR="009831BD" w:rsidRPr="009831BD" w:rsidRDefault="009831BD" w:rsidP="009831BD">
      <w:pPr>
        <w:pStyle w:val="Voetnoottekst"/>
        <w:rPr>
          <w:lang w:val="nl-NL"/>
        </w:rPr>
      </w:pPr>
      <w:r w:rsidRPr="00F329DB">
        <w:rPr>
          <w:rStyle w:val="Voetnootmarkering"/>
          <w:sz w:val="13"/>
          <w:szCs w:val="13"/>
        </w:rPr>
        <w:footnoteRef/>
      </w:r>
      <w:r w:rsidRPr="009831BD">
        <w:rPr>
          <w:sz w:val="13"/>
          <w:szCs w:val="13"/>
          <w:lang w:val="nl-NL"/>
        </w:rPr>
        <w:t xml:space="preserve"> Zie hiervoor ook de Kamerbrief met aandachtspunten bij de inzet van </w:t>
      </w:r>
      <w:proofErr w:type="spellStart"/>
      <w:r w:rsidRPr="009831BD">
        <w:rPr>
          <w:sz w:val="13"/>
          <w:szCs w:val="13"/>
          <w:lang w:val="nl-NL"/>
        </w:rPr>
        <w:t>pay</w:t>
      </w:r>
      <w:proofErr w:type="spellEnd"/>
      <w:r w:rsidRPr="009831BD">
        <w:rPr>
          <w:sz w:val="13"/>
          <w:szCs w:val="13"/>
          <w:lang w:val="nl-NL"/>
        </w:rPr>
        <w:t>-</w:t>
      </w:r>
      <w:proofErr w:type="spellStart"/>
      <w:r w:rsidRPr="009831BD">
        <w:rPr>
          <w:sz w:val="13"/>
          <w:szCs w:val="13"/>
          <w:lang w:val="nl-NL"/>
        </w:rPr>
        <w:t>for</w:t>
      </w:r>
      <w:proofErr w:type="spellEnd"/>
      <w:r w:rsidRPr="009831BD">
        <w:rPr>
          <w:sz w:val="13"/>
          <w:szCs w:val="13"/>
          <w:lang w:val="nl-NL"/>
        </w:rPr>
        <w:t xml:space="preserve">-performance: </w:t>
      </w:r>
      <w:r>
        <w:fldChar w:fldCharType="begin"/>
      </w:r>
      <w:r w:rsidRPr="00EB7E6E">
        <w:rPr>
          <w:lang w:val="nl-NL"/>
        </w:rPr>
        <w:instrText>HYPERLINK "https://zoek.officielebekendmakingen.nl/kst-29477-757.pdf"</w:instrText>
      </w:r>
      <w:r>
        <w:fldChar w:fldCharType="separate"/>
      </w:r>
      <w:r w:rsidRPr="009831BD">
        <w:rPr>
          <w:rStyle w:val="Hyperlink"/>
          <w:sz w:val="13"/>
          <w:szCs w:val="13"/>
          <w:lang w:val="nl-NL"/>
        </w:rPr>
        <w:t>https://zoek.officielebekendmakingen.nl/kst-29477-757.pdf</w:t>
      </w:r>
      <w:r>
        <w:fldChar w:fldCharType="end"/>
      </w:r>
    </w:p>
  </w:footnote>
  <w:footnote w:id="18">
    <w:p w14:paraId="6E2B408C" w14:textId="77777777" w:rsidR="005C308E" w:rsidRPr="00431807" w:rsidRDefault="005C308E">
      <w:pPr>
        <w:pStyle w:val="Voetnoottekst"/>
        <w:rPr>
          <w:sz w:val="13"/>
          <w:szCs w:val="13"/>
          <w:lang w:val="nl-NL"/>
        </w:rPr>
      </w:pPr>
      <w:r w:rsidRPr="00431807">
        <w:rPr>
          <w:rStyle w:val="Voetnootmarkering"/>
          <w:sz w:val="13"/>
          <w:szCs w:val="13"/>
        </w:rPr>
        <w:footnoteRef/>
      </w:r>
      <w:r w:rsidRPr="00431807">
        <w:rPr>
          <w:sz w:val="13"/>
          <w:szCs w:val="13"/>
          <w:lang w:val="nl-NL"/>
        </w:rPr>
        <w:t xml:space="preserve"> </w:t>
      </w:r>
      <w:r>
        <w:fldChar w:fldCharType="begin"/>
      </w:r>
      <w:r w:rsidRPr="00EB7E6E">
        <w:rPr>
          <w:lang w:val="nl-NL"/>
        </w:rPr>
        <w:instrText>HYPERLINK "https://www.zorginstituutnederland.nl/documenten/2025/10/15/rapport-naar-maatschappelijk-aanvaardbare-prijzen-voor-dure-medicijnen"</w:instrText>
      </w:r>
      <w:r>
        <w:fldChar w:fldCharType="separate"/>
      </w:r>
      <w:r w:rsidRPr="00431807">
        <w:rPr>
          <w:color w:val="0000FF"/>
          <w:sz w:val="13"/>
          <w:szCs w:val="13"/>
          <w:u w:val="single"/>
          <w:lang w:val="nl-NL"/>
        </w:rPr>
        <w:t>Rapport - Naar maatschappelijk aanvaardbare prijzen voor dure medicijnen | Zorginstituut Nederland</w:t>
      </w:r>
      <w:r>
        <w:fldChar w:fldCharType="end"/>
      </w:r>
    </w:p>
  </w:footnote>
  <w:footnote w:id="19">
    <w:p w14:paraId="0C582D81" w14:textId="77777777" w:rsidR="005641D1" w:rsidRPr="00431807" w:rsidRDefault="005641D1">
      <w:pPr>
        <w:pStyle w:val="Voetnoottekst"/>
        <w:rPr>
          <w:sz w:val="13"/>
          <w:szCs w:val="13"/>
          <w:lang w:val="nl-NL"/>
        </w:rPr>
      </w:pPr>
      <w:r w:rsidRPr="00431807">
        <w:rPr>
          <w:rStyle w:val="Voetnootmarkering"/>
          <w:sz w:val="13"/>
          <w:szCs w:val="13"/>
        </w:rPr>
        <w:footnoteRef/>
      </w:r>
      <w:r w:rsidRPr="00431807">
        <w:rPr>
          <w:sz w:val="13"/>
          <w:szCs w:val="13"/>
          <w:lang w:val="nl-NL"/>
        </w:rPr>
        <w:t xml:space="preserve"> </w:t>
      </w:r>
      <w:proofErr w:type="spellStart"/>
      <w:r w:rsidRPr="00431807">
        <w:rPr>
          <w:sz w:val="13"/>
          <w:szCs w:val="13"/>
          <w:lang w:val="nl-NL"/>
        </w:rPr>
        <w:t>External</w:t>
      </w:r>
      <w:proofErr w:type="spellEnd"/>
      <w:r w:rsidRPr="00431807">
        <w:rPr>
          <w:sz w:val="13"/>
          <w:szCs w:val="13"/>
          <w:lang w:val="nl-NL"/>
        </w:rPr>
        <w:t xml:space="preserve"> Reference Pricing (ERP) is een prijsregulatiemethode voor geneesmiddelen waarbij de prijs in een land wordt bepaald op basis van de prijzen in een selecte groep van een aantal referentielanden.</w:t>
      </w:r>
    </w:p>
  </w:footnote>
  <w:footnote w:id="20">
    <w:p w14:paraId="2DD65E0B" w14:textId="77777777" w:rsidR="00A105F5" w:rsidRPr="00431807" w:rsidRDefault="00A105F5">
      <w:pPr>
        <w:pStyle w:val="Voetnoottekst"/>
        <w:rPr>
          <w:sz w:val="13"/>
          <w:szCs w:val="13"/>
          <w:lang w:val="nl-NL"/>
        </w:rPr>
      </w:pPr>
      <w:r w:rsidRPr="00431807">
        <w:rPr>
          <w:rStyle w:val="Voetnootmarkering"/>
          <w:sz w:val="13"/>
          <w:szCs w:val="13"/>
        </w:rPr>
        <w:footnoteRef/>
      </w:r>
      <w:r w:rsidRPr="00431807">
        <w:rPr>
          <w:sz w:val="13"/>
          <w:szCs w:val="13"/>
          <w:lang w:val="nl-NL"/>
        </w:rPr>
        <w:t xml:space="preserve"> In het convenant staat de volgende tekstpassage: ‘Bij een eventuele toekomstige VT-aanvraag voor een concurrerend middel, zoeken partijen samen naar een oplossing die het beste is voor de patiënt. In sommige gevallen kan dit betekenen dat twee concurrerende middelen gezamenlijk een VT-traject doorlopen’.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0F"/>
    <w:multiLevelType w:val="hybridMultilevel"/>
    <w:tmpl w:val="44946266"/>
    <w:lvl w:ilvl="0" w:tplc="7BE6B496">
      <w:start w:val="1"/>
      <w:numFmt w:val="bullet"/>
      <w:lvlText w:val=""/>
      <w:lvlJc w:val="left"/>
      <w:pPr>
        <w:ind w:left="1020" w:hanging="360"/>
      </w:pPr>
      <w:rPr>
        <w:rFonts w:ascii="Symbol" w:hAnsi="Symbol"/>
      </w:rPr>
    </w:lvl>
    <w:lvl w:ilvl="1" w:tplc="6D329D3A">
      <w:start w:val="1"/>
      <w:numFmt w:val="bullet"/>
      <w:lvlText w:val=""/>
      <w:lvlJc w:val="left"/>
      <w:pPr>
        <w:ind w:left="1020" w:hanging="360"/>
      </w:pPr>
      <w:rPr>
        <w:rFonts w:ascii="Symbol" w:hAnsi="Symbol"/>
      </w:rPr>
    </w:lvl>
    <w:lvl w:ilvl="2" w:tplc="5D946D46">
      <w:start w:val="1"/>
      <w:numFmt w:val="bullet"/>
      <w:lvlText w:val=""/>
      <w:lvlJc w:val="left"/>
      <w:pPr>
        <w:ind w:left="1020" w:hanging="360"/>
      </w:pPr>
      <w:rPr>
        <w:rFonts w:ascii="Symbol" w:hAnsi="Symbol"/>
      </w:rPr>
    </w:lvl>
    <w:lvl w:ilvl="3" w:tplc="A8A0A65E">
      <w:start w:val="1"/>
      <w:numFmt w:val="bullet"/>
      <w:lvlText w:val=""/>
      <w:lvlJc w:val="left"/>
      <w:pPr>
        <w:ind w:left="1020" w:hanging="360"/>
      </w:pPr>
      <w:rPr>
        <w:rFonts w:ascii="Symbol" w:hAnsi="Symbol"/>
      </w:rPr>
    </w:lvl>
    <w:lvl w:ilvl="4" w:tplc="D20C9B24">
      <w:start w:val="1"/>
      <w:numFmt w:val="bullet"/>
      <w:lvlText w:val=""/>
      <w:lvlJc w:val="left"/>
      <w:pPr>
        <w:ind w:left="1020" w:hanging="360"/>
      </w:pPr>
      <w:rPr>
        <w:rFonts w:ascii="Symbol" w:hAnsi="Symbol"/>
      </w:rPr>
    </w:lvl>
    <w:lvl w:ilvl="5" w:tplc="431E3B0C">
      <w:start w:val="1"/>
      <w:numFmt w:val="bullet"/>
      <w:lvlText w:val=""/>
      <w:lvlJc w:val="left"/>
      <w:pPr>
        <w:ind w:left="1020" w:hanging="360"/>
      </w:pPr>
      <w:rPr>
        <w:rFonts w:ascii="Symbol" w:hAnsi="Symbol"/>
      </w:rPr>
    </w:lvl>
    <w:lvl w:ilvl="6" w:tplc="BA3E74F4">
      <w:start w:val="1"/>
      <w:numFmt w:val="bullet"/>
      <w:lvlText w:val=""/>
      <w:lvlJc w:val="left"/>
      <w:pPr>
        <w:ind w:left="1020" w:hanging="360"/>
      </w:pPr>
      <w:rPr>
        <w:rFonts w:ascii="Symbol" w:hAnsi="Symbol"/>
      </w:rPr>
    </w:lvl>
    <w:lvl w:ilvl="7" w:tplc="300EF316">
      <w:start w:val="1"/>
      <w:numFmt w:val="bullet"/>
      <w:lvlText w:val=""/>
      <w:lvlJc w:val="left"/>
      <w:pPr>
        <w:ind w:left="1020" w:hanging="360"/>
      </w:pPr>
      <w:rPr>
        <w:rFonts w:ascii="Symbol" w:hAnsi="Symbol"/>
      </w:rPr>
    </w:lvl>
    <w:lvl w:ilvl="8" w:tplc="18DE6EB2">
      <w:start w:val="1"/>
      <w:numFmt w:val="bullet"/>
      <w:lvlText w:val=""/>
      <w:lvlJc w:val="left"/>
      <w:pPr>
        <w:ind w:left="1020" w:hanging="360"/>
      </w:pPr>
      <w:rPr>
        <w:rFonts w:ascii="Symbol" w:hAnsi="Symbol"/>
      </w:rPr>
    </w:lvl>
  </w:abstractNum>
  <w:abstractNum w:abstractNumId="1" w15:restartNumberingAfterBreak="0">
    <w:nsid w:val="01815B67"/>
    <w:multiLevelType w:val="hybridMultilevel"/>
    <w:tmpl w:val="989E4A36"/>
    <w:lvl w:ilvl="0" w:tplc="4E9E7828">
      <w:start w:val="1"/>
      <w:numFmt w:val="bullet"/>
      <w:lvlText w:val=""/>
      <w:lvlJc w:val="left"/>
      <w:pPr>
        <w:ind w:left="1020" w:hanging="360"/>
      </w:pPr>
      <w:rPr>
        <w:rFonts w:ascii="Symbol" w:hAnsi="Symbol"/>
      </w:rPr>
    </w:lvl>
    <w:lvl w:ilvl="1" w:tplc="FDDECEFA">
      <w:start w:val="1"/>
      <w:numFmt w:val="bullet"/>
      <w:lvlText w:val=""/>
      <w:lvlJc w:val="left"/>
      <w:pPr>
        <w:ind w:left="1020" w:hanging="360"/>
      </w:pPr>
      <w:rPr>
        <w:rFonts w:ascii="Symbol" w:hAnsi="Symbol"/>
      </w:rPr>
    </w:lvl>
    <w:lvl w:ilvl="2" w:tplc="F4506910">
      <w:start w:val="1"/>
      <w:numFmt w:val="bullet"/>
      <w:lvlText w:val=""/>
      <w:lvlJc w:val="left"/>
      <w:pPr>
        <w:ind w:left="1020" w:hanging="360"/>
      </w:pPr>
      <w:rPr>
        <w:rFonts w:ascii="Symbol" w:hAnsi="Symbol"/>
      </w:rPr>
    </w:lvl>
    <w:lvl w:ilvl="3" w:tplc="1FA417CE">
      <w:start w:val="1"/>
      <w:numFmt w:val="bullet"/>
      <w:lvlText w:val=""/>
      <w:lvlJc w:val="left"/>
      <w:pPr>
        <w:ind w:left="1020" w:hanging="360"/>
      </w:pPr>
      <w:rPr>
        <w:rFonts w:ascii="Symbol" w:hAnsi="Symbol"/>
      </w:rPr>
    </w:lvl>
    <w:lvl w:ilvl="4" w:tplc="7CEE1CC2">
      <w:start w:val="1"/>
      <w:numFmt w:val="bullet"/>
      <w:lvlText w:val=""/>
      <w:lvlJc w:val="left"/>
      <w:pPr>
        <w:ind w:left="1020" w:hanging="360"/>
      </w:pPr>
      <w:rPr>
        <w:rFonts w:ascii="Symbol" w:hAnsi="Symbol"/>
      </w:rPr>
    </w:lvl>
    <w:lvl w:ilvl="5" w:tplc="96FA7B62">
      <w:start w:val="1"/>
      <w:numFmt w:val="bullet"/>
      <w:lvlText w:val=""/>
      <w:lvlJc w:val="left"/>
      <w:pPr>
        <w:ind w:left="1020" w:hanging="360"/>
      </w:pPr>
      <w:rPr>
        <w:rFonts w:ascii="Symbol" w:hAnsi="Symbol"/>
      </w:rPr>
    </w:lvl>
    <w:lvl w:ilvl="6" w:tplc="F43E7628">
      <w:start w:val="1"/>
      <w:numFmt w:val="bullet"/>
      <w:lvlText w:val=""/>
      <w:lvlJc w:val="left"/>
      <w:pPr>
        <w:ind w:left="1020" w:hanging="360"/>
      </w:pPr>
      <w:rPr>
        <w:rFonts w:ascii="Symbol" w:hAnsi="Symbol"/>
      </w:rPr>
    </w:lvl>
    <w:lvl w:ilvl="7" w:tplc="78D055E2">
      <w:start w:val="1"/>
      <w:numFmt w:val="bullet"/>
      <w:lvlText w:val=""/>
      <w:lvlJc w:val="left"/>
      <w:pPr>
        <w:ind w:left="1020" w:hanging="360"/>
      </w:pPr>
      <w:rPr>
        <w:rFonts w:ascii="Symbol" w:hAnsi="Symbol"/>
      </w:rPr>
    </w:lvl>
    <w:lvl w:ilvl="8" w:tplc="2E6672B8">
      <w:start w:val="1"/>
      <w:numFmt w:val="bullet"/>
      <w:lvlText w:val=""/>
      <w:lvlJc w:val="left"/>
      <w:pPr>
        <w:ind w:left="1020" w:hanging="360"/>
      </w:pPr>
      <w:rPr>
        <w:rFonts w:ascii="Symbol" w:hAnsi="Symbol"/>
      </w:rPr>
    </w:lvl>
  </w:abstractNum>
  <w:abstractNum w:abstractNumId="2" w15:restartNumberingAfterBreak="0">
    <w:nsid w:val="049F77D0"/>
    <w:multiLevelType w:val="hybridMultilevel"/>
    <w:tmpl w:val="77AA27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C729FE"/>
    <w:multiLevelType w:val="hybridMultilevel"/>
    <w:tmpl w:val="45C4E2BC"/>
    <w:lvl w:ilvl="0" w:tplc="E9B08DEE">
      <w:start w:val="1"/>
      <w:numFmt w:val="bullet"/>
      <w:lvlText w:val=""/>
      <w:lvlJc w:val="left"/>
      <w:pPr>
        <w:ind w:left="1020" w:hanging="360"/>
      </w:pPr>
      <w:rPr>
        <w:rFonts w:ascii="Symbol" w:hAnsi="Symbol"/>
      </w:rPr>
    </w:lvl>
    <w:lvl w:ilvl="1" w:tplc="608A20C4">
      <w:start w:val="1"/>
      <w:numFmt w:val="bullet"/>
      <w:lvlText w:val=""/>
      <w:lvlJc w:val="left"/>
      <w:pPr>
        <w:ind w:left="1020" w:hanging="360"/>
      </w:pPr>
      <w:rPr>
        <w:rFonts w:ascii="Symbol" w:hAnsi="Symbol"/>
      </w:rPr>
    </w:lvl>
    <w:lvl w:ilvl="2" w:tplc="513827C4">
      <w:start w:val="1"/>
      <w:numFmt w:val="bullet"/>
      <w:lvlText w:val=""/>
      <w:lvlJc w:val="left"/>
      <w:pPr>
        <w:ind w:left="1020" w:hanging="360"/>
      </w:pPr>
      <w:rPr>
        <w:rFonts w:ascii="Symbol" w:hAnsi="Symbol"/>
      </w:rPr>
    </w:lvl>
    <w:lvl w:ilvl="3" w:tplc="18DE8386">
      <w:start w:val="1"/>
      <w:numFmt w:val="bullet"/>
      <w:lvlText w:val=""/>
      <w:lvlJc w:val="left"/>
      <w:pPr>
        <w:ind w:left="1020" w:hanging="360"/>
      </w:pPr>
      <w:rPr>
        <w:rFonts w:ascii="Symbol" w:hAnsi="Symbol"/>
      </w:rPr>
    </w:lvl>
    <w:lvl w:ilvl="4" w:tplc="27D0BA72">
      <w:start w:val="1"/>
      <w:numFmt w:val="bullet"/>
      <w:lvlText w:val=""/>
      <w:lvlJc w:val="left"/>
      <w:pPr>
        <w:ind w:left="1020" w:hanging="360"/>
      </w:pPr>
      <w:rPr>
        <w:rFonts w:ascii="Symbol" w:hAnsi="Symbol"/>
      </w:rPr>
    </w:lvl>
    <w:lvl w:ilvl="5" w:tplc="516C22BA">
      <w:start w:val="1"/>
      <w:numFmt w:val="bullet"/>
      <w:lvlText w:val=""/>
      <w:lvlJc w:val="left"/>
      <w:pPr>
        <w:ind w:left="1020" w:hanging="360"/>
      </w:pPr>
      <w:rPr>
        <w:rFonts w:ascii="Symbol" w:hAnsi="Symbol"/>
      </w:rPr>
    </w:lvl>
    <w:lvl w:ilvl="6" w:tplc="9142396C">
      <w:start w:val="1"/>
      <w:numFmt w:val="bullet"/>
      <w:lvlText w:val=""/>
      <w:lvlJc w:val="left"/>
      <w:pPr>
        <w:ind w:left="1020" w:hanging="360"/>
      </w:pPr>
      <w:rPr>
        <w:rFonts w:ascii="Symbol" w:hAnsi="Symbol"/>
      </w:rPr>
    </w:lvl>
    <w:lvl w:ilvl="7" w:tplc="2C808030">
      <w:start w:val="1"/>
      <w:numFmt w:val="bullet"/>
      <w:lvlText w:val=""/>
      <w:lvlJc w:val="left"/>
      <w:pPr>
        <w:ind w:left="1020" w:hanging="360"/>
      </w:pPr>
      <w:rPr>
        <w:rFonts w:ascii="Symbol" w:hAnsi="Symbol"/>
      </w:rPr>
    </w:lvl>
    <w:lvl w:ilvl="8" w:tplc="316E9BF2">
      <w:start w:val="1"/>
      <w:numFmt w:val="bullet"/>
      <w:lvlText w:val=""/>
      <w:lvlJc w:val="left"/>
      <w:pPr>
        <w:ind w:left="1020" w:hanging="360"/>
      </w:pPr>
      <w:rPr>
        <w:rFonts w:ascii="Symbol" w:hAnsi="Symbol"/>
      </w:rPr>
    </w:lvl>
  </w:abstractNum>
  <w:abstractNum w:abstractNumId="4" w15:restartNumberingAfterBreak="0">
    <w:nsid w:val="12C375F1"/>
    <w:multiLevelType w:val="hybridMultilevel"/>
    <w:tmpl w:val="A3FA16A4"/>
    <w:lvl w:ilvl="0" w:tplc="E406591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2060C6"/>
    <w:multiLevelType w:val="hybridMultilevel"/>
    <w:tmpl w:val="9B64D59A"/>
    <w:lvl w:ilvl="0" w:tplc="14E4F05A">
      <w:start w:val="1"/>
      <w:numFmt w:val="bullet"/>
      <w:lvlText w:val=""/>
      <w:lvlJc w:val="left"/>
      <w:pPr>
        <w:ind w:left="1020" w:hanging="360"/>
      </w:pPr>
      <w:rPr>
        <w:rFonts w:ascii="Symbol" w:hAnsi="Symbol"/>
      </w:rPr>
    </w:lvl>
    <w:lvl w:ilvl="1" w:tplc="732A8A0E">
      <w:start w:val="1"/>
      <w:numFmt w:val="bullet"/>
      <w:lvlText w:val=""/>
      <w:lvlJc w:val="left"/>
      <w:pPr>
        <w:ind w:left="1020" w:hanging="360"/>
      </w:pPr>
      <w:rPr>
        <w:rFonts w:ascii="Symbol" w:hAnsi="Symbol"/>
      </w:rPr>
    </w:lvl>
    <w:lvl w:ilvl="2" w:tplc="D82CB19A">
      <w:start w:val="1"/>
      <w:numFmt w:val="bullet"/>
      <w:lvlText w:val=""/>
      <w:lvlJc w:val="left"/>
      <w:pPr>
        <w:ind w:left="1020" w:hanging="360"/>
      </w:pPr>
      <w:rPr>
        <w:rFonts w:ascii="Symbol" w:hAnsi="Symbol"/>
      </w:rPr>
    </w:lvl>
    <w:lvl w:ilvl="3" w:tplc="D0803B6C">
      <w:start w:val="1"/>
      <w:numFmt w:val="bullet"/>
      <w:lvlText w:val=""/>
      <w:lvlJc w:val="left"/>
      <w:pPr>
        <w:ind w:left="1020" w:hanging="360"/>
      </w:pPr>
      <w:rPr>
        <w:rFonts w:ascii="Symbol" w:hAnsi="Symbol"/>
      </w:rPr>
    </w:lvl>
    <w:lvl w:ilvl="4" w:tplc="EB5A9D9C">
      <w:start w:val="1"/>
      <w:numFmt w:val="bullet"/>
      <w:lvlText w:val=""/>
      <w:lvlJc w:val="left"/>
      <w:pPr>
        <w:ind w:left="1020" w:hanging="360"/>
      </w:pPr>
      <w:rPr>
        <w:rFonts w:ascii="Symbol" w:hAnsi="Symbol"/>
      </w:rPr>
    </w:lvl>
    <w:lvl w:ilvl="5" w:tplc="D45A34E0">
      <w:start w:val="1"/>
      <w:numFmt w:val="bullet"/>
      <w:lvlText w:val=""/>
      <w:lvlJc w:val="left"/>
      <w:pPr>
        <w:ind w:left="1020" w:hanging="360"/>
      </w:pPr>
      <w:rPr>
        <w:rFonts w:ascii="Symbol" w:hAnsi="Symbol"/>
      </w:rPr>
    </w:lvl>
    <w:lvl w:ilvl="6" w:tplc="C4A69BA8">
      <w:start w:val="1"/>
      <w:numFmt w:val="bullet"/>
      <w:lvlText w:val=""/>
      <w:lvlJc w:val="left"/>
      <w:pPr>
        <w:ind w:left="1020" w:hanging="360"/>
      </w:pPr>
      <w:rPr>
        <w:rFonts w:ascii="Symbol" w:hAnsi="Symbol"/>
      </w:rPr>
    </w:lvl>
    <w:lvl w:ilvl="7" w:tplc="F57E953E">
      <w:start w:val="1"/>
      <w:numFmt w:val="bullet"/>
      <w:lvlText w:val=""/>
      <w:lvlJc w:val="left"/>
      <w:pPr>
        <w:ind w:left="1020" w:hanging="360"/>
      </w:pPr>
      <w:rPr>
        <w:rFonts w:ascii="Symbol" w:hAnsi="Symbol"/>
      </w:rPr>
    </w:lvl>
    <w:lvl w:ilvl="8" w:tplc="04163B72">
      <w:start w:val="1"/>
      <w:numFmt w:val="bullet"/>
      <w:lvlText w:val=""/>
      <w:lvlJc w:val="left"/>
      <w:pPr>
        <w:ind w:left="1020" w:hanging="360"/>
      </w:pPr>
      <w:rPr>
        <w:rFonts w:ascii="Symbol" w:hAnsi="Symbol"/>
      </w:rPr>
    </w:lvl>
  </w:abstractNum>
  <w:abstractNum w:abstractNumId="6" w15:restartNumberingAfterBreak="0">
    <w:nsid w:val="1AA6000D"/>
    <w:multiLevelType w:val="hybridMultilevel"/>
    <w:tmpl w:val="35A66D6E"/>
    <w:lvl w:ilvl="0" w:tplc="7690E08C">
      <w:start w:val="1"/>
      <w:numFmt w:val="bullet"/>
      <w:lvlText w:val=""/>
      <w:lvlJc w:val="left"/>
      <w:pPr>
        <w:ind w:left="1020" w:hanging="360"/>
      </w:pPr>
      <w:rPr>
        <w:rFonts w:ascii="Symbol" w:hAnsi="Symbol"/>
      </w:rPr>
    </w:lvl>
    <w:lvl w:ilvl="1" w:tplc="DE4C9D70">
      <w:start w:val="1"/>
      <w:numFmt w:val="bullet"/>
      <w:lvlText w:val=""/>
      <w:lvlJc w:val="left"/>
      <w:pPr>
        <w:ind w:left="1020" w:hanging="360"/>
      </w:pPr>
      <w:rPr>
        <w:rFonts w:ascii="Symbol" w:hAnsi="Symbol"/>
      </w:rPr>
    </w:lvl>
    <w:lvl w:ilvl="2" w:tplc="37E4A9CE">
      <w:start w:val="1"/>
      <w:numFmt w:val="bullet"/>
      <w:lvlText w:val=""/>
      <w:lvlJc w:val="left"/>
      <w:pPr>
        <w:ind w:left="1020" w:hanging="360"/>
      </w:pPr>
      <w:rPr>
        <w:rFonts w:ascii="Symbol" w:hAnsi="Symbol"/>
      </w:rPr>
    </w:lvl>
    <w:lvl w:ilvl="3" w:tplc="F91C491C">
      <w:start w:val="1"/>
      <w:numFmt w:val="bullet"/>
      <w:lvlText w:val=""/>
      <w:lvlJc w:val="left"/>
      <w:pPr>
        <w:ind w:left="1020" w:hanging="360"/>
      </w:pPr>
      <w:rPr>
        <w:rFonts w:ascii="Symbol" w:hAnsi="Symbol"/>
      </w:rPr>
    </w:lvl>
    <w:lvl w:ilvl="4" w:tplc="35066D78">
      <w:start w:val="1"/>
      <w:numFmt w:val="bullet"/>
      <w:lvlText w:val=""/>
      <w:lvlJc w:val="left"/>
      <w:pPr>
        <w:ind w:left="1020" w:hanging="360"/>
      </w:pPr>
      <w:rPr>
        <w:rFonts w:ascii="Symbol" w:hAnsi="Symbol"/>
      </w:rPr>
    </w:lvl>
    <w:lvl w:ilvl="5" w:tplc="00FC3382">
      <w:start w:val="1"/>
      <w:numFmt w:val="bullet"/>
      <w:lvlText w:val=""/>
      <w:lvlJc w:val="left"/>
      <w:pPr>
        <w:ind w:left="1020" w:hanging="360"/>
      </w:pPr>
      <w:rPr>
        <w:rFonts w:ascii="Symbol" w:hAnsi="Symbol"/>
      </w:rPr>
    </w:lvl>
    <w:lvl w:ilvl="6" w:tplc="8E3AE384">
      <w:start w:val="1"/>
      <w:numFmt w:val="bullet"/>
      <w:lvlText w:val=""/>
      <w:lvlJc w:val="left"/>
      <w:pPr>
        <w:ind w:left="1020" w:hanging="360"/>
      </w:pPr>
      <w:rPr>
        <w:rFonts w:ascii="Symbol" w:hAnsi="Symbol"/>
      </w:rPr>
    </w:lvl>
    <w:lvl w:ilvl="7" w:tplc="EAF45760">
      <w:start w:val="1"/>
      <w:numFmt w:val="bullet"/>
      <w:lvlText w:val=""/>
      <w:lvlJc w:val="left"/>
      <w:pPr>
        <w:ind w:left="1020" w:hanging="360"/>
      </w:pPr>
      <w:rPr>
        <w:rFonts w:ascii="Symbol" w:hAnsi="Symbol"/>
      </w:rPr>
    </w:lvl>
    <w:lvl w:ilvl="8" w:tplc="9678F4CE">
      <w:start w:val="1"/>
      <w:numFmt w:val="bullet"/>
      <w:lvlText w:val=""/>
      <w:lvlJc w:val="left"/>
      <w:pPr>
        <w:ind w:left="1020" w:hanging="360"/>
      </w:pPr>
      <w:rPr>
        <w:rFonts w:ascii="Symbol" w:hAnsi="Symbol"/>
      </w:rPr>
    </w:lvl>
  </w:abstractNum>
  <w:abstractNum w:abstractNumId="7" w15:restartNumberingAfterBreak="0">
    <w:nsid w:val="1B9D7D04"/>
    <w:multiLevelType w:val="hybridMultilevel"/>
    <w:tmpl w:val="9B2A276E"/>
    <w:lvl w:ilvl="0" w:tplc="31C26182">
      <w:start w:val="1"/>
      <w:numFmt w:val="bullet"/>
      <w:lvlText w:val=""/>
      <w:lvlJc w:val="left"/>
      <w:pPr>
        <w:ind w:left="1020" w:hanging="360"/>
      </w:pPr>
      <w:rPr>
        <w:rFonts w:ascii="Symbol" w:hAnsi="Symbol"/>
      </w:rPr>
    </w:lvl>
    <w:lvl w:ilvl="1" w:tplc="15CCB7F4">
      <w:start w:val="1"/>
      <w:numFmt w:val="bullet"/>
      <w:lvlText w:val=""/>
      <w:lvlJc w:val="left"/>
      <w:pPr>
        <w:ind w:left="1020" w:hanging="360"/>
      </w:pPr>
      <w:rPr>
        <w:rFonts w:ascii="Symbol" w:hAnsi="Symbol"/>
      </w:rPr>
    </w:lvl>
    <w:lvl w:ilvl="2" w:tplc="8D8C980C">
      <w:start w:val="1"/>
      <w:numFmt w:val="bullet"/>
      <w:lvlText w:val=""/>
      <w:lvlJc w:val="left"/>
      <w:pPr>
        <w:ind w:left="1020" w:hanging="360"/>
      </w:pPr>
      <w:rPr>
        <w:rFonts w:ascii="Symbol" w:hAnsi="Symbol"/>
      </w:rPr>
    </w:lvl>
    <w:lvl w:ilvl="3" w:tplc="7D164882">
      <w:start w:val="1"/>
      <w:numFmt w:val="bullet"/>
      <w:lvlText w:val=""/>
      <w:lvlJc w:val="left"/>
      <w:pPr>
        <w:ind w:left="1020" w:hanging="360"/>
      </w:pPr>
      <w:rPr>
        <w:rFonts w:ascii="Symbol" w:hAnsi="Symbol"/>
      </w:rPr>
    </w:lvl>
    <w:lvl w:ilvl="4" w:tplc="073CDA10">
      <w:start w:val="1"/>
      <w:numFmt w:val="bullet"/>
      <w:lvlText w:val=""/>
      <w:lvlJc w:val="left"/>
      <w:pPr>
        <w:ind w:left="1020" w:hanging="360"/>
      </w:pPr>
      <w:rPr>
        <w:rFonts w:ascii="Symbol" w:hAnsi="Symbol"/>
      </w:rPr>
    </w:lvl>
    <w:lvl w:ilvl="5" w:tplc="284E9826">
      <w:start w:val="1"/>
      <w:numFmt w:val="bullet"/>
      <w:lvlText w:val=""/>
      <w:lvlJc w:val="left"/>
      <w:pPr>
        <w:ind w:left="1020" w:hanging="360"/>
      </w:pPr>
      <w:rPr>
        <w:rFonts w:ascii="Symbol" w:hAnsi="Symbol"/>
      </w:rPr>
    </w:lvl>
    <w:lvl w:ilvl="6" w:tplc="5C06E224">
      <w:start w:val="1"/>
      <w:numFmt w:val="bullet"/>
      <w:lvlText w:val=""/>
      <w:lvlJc w:val="left"/>
      <w:pPr>
        <w:ind w:left="1020" w:hanging="360"/>
      </w:pPr>
      <w:rPr>
        <w:rFonts w:ascii="Symbol" w:hAnsi="Symbol"/>
      </w:rPr>
    </w:lvl>
    <w:lvl w:ilvl="7" w:tplc="363E700C">
      <w:start w:val="1"/>
      <w:numFmt w:val="bullet"/>
      <w:lvlText w:val=""/>
      <w:lvlJc w:val="left"/>
      <w:pPr>
        <w:ind w:left="1020" w:hanging="360"/>
      </w:pPr>
      <w:rPr>
        <w:rFonts w:ascii="Symbol" w:hAnsi="Symbol"/>
      </w:rPr>
    </w:lvl>
    <w:lvl w:ilvl="8" w:tplc="E932D0CE">
      <w:start w:val="1"/>
      <w:numFmt w:val="bullet"/>
      <w:lvlText w:val=""/>
      <w:lvlJc w:val="left"/>
      <w:pPr>
        <w:ind w:left="1020" w:hanging="360"/>
      </w:pPr>
      <w:rPr>
        <w:rFonts w:ascii="Symbol" w:hAnsi="Symbol"/>
      </w:rPr>
    </w:lvl>
  </w:abstractNum>
  <w:abstractNum w:abstractNumId="8" w15:restartNumberingAfterBreak="0">
    <w:nsid w:val="27EA6A8F"/>
    <w:multiLevelType w:val="hybridMultilevel"/>
    <w:tmpl w:val="70CEF6EA"/>
    <w:lvl w:ilvl="0" w:tplc="FB06BD70">
      <w:start w:val="1"/>
      <w:numFmt w:val="decimal"/>
      <w:lvlText w:val="%1."/>
      <w:lvlJc w:val="left"/>
      <w:pPr>
        <w:ind w:left="1020" w:hanging="360"/>
      </w:pPr>
    </w:lvl>
    <w:lvl w:ilvl="1" w:tplc="ECD2CF64">
      <w:start w:val="1"/>
      <w:numFmt w:val="decimal"/>
      <w:lvlText w:val="%2."/>
      <w:lvlJc w:val="left"/>
      <w:pPr>
        <w:ind w:left="1020" w:hanging="360"/>
      </w:pPr>
    </w:lvl>
    <w:lvl w:ilvl="2" w:tplc="D45EA2BE">
      <w:start w:val="1"/>
      <w:numFmt w:val="decimal"/>
      <w:lvlText w:val="%3."/>
      <w:lvlJc w:val="left"/>
      <w:pPr>
        <w:ind w:left="1020" w:hanging="360"/>
      </w:pPr>
    </w:lvl>
    <w:lvl w:ilvl="3" w:tplc="DF52D0B2">
      <w:start w:val="1"/>
      <w:numFmt w:val="decimal"/>
      <w:lvlText w:val="%4."/>
      <w:lvlJc w:val="left"/>
      <w:pPr>
        <w:ind w:left="1020" w:hanging="360"/>
      </w:pPr>
    </w:lvl>
    <w:lvl w:ilvl="4" w:tplc="CF4C2A38">
      <w:start w:val="1"/>
      <w:numFmt w:val="decimal"/>
      <w:lvlText w:val="%5."/>
      <w:lvlJc w:val="left"/>
      <w:pPr>
        <w:ind w:left="1020" w:hanging="360"/>
      </w:pPr>
    </w:lvl>
    <w:lvl w:ilvl="5" w:tplc="1B6A0506">
      <w:start w:val="1"/>
      <w:numFmt w:val="decimal"/>
      <w:lvlText w:val="%6."/>
      <w:lvlJc w:val="left"/>
      <w:pPr>
        <w:ind w:left="1020" w:hanging="360"/>
      </w:pPr>
    </w:lvl>
    <w:lvl w:ilvl="6" w:tplc="FB00C95A">
      <w:start w:val="1"/>
      <w:numFmt w:val="decimal"/>
      <w:lvlText w:val="%7."/>
      <w:lvlJc w:val="left"/>
      <w:pPr>
        <w:ind w:left="1020" w:hanging="360"/>
      </w:pPr>
    </w:lvl>
    <w:lvl w:ilvl="7" w:tplc="05468D36">
      <w:start w:val="1"/>
      <w:numFmt w:val="decimal"/>
      <w:lvlText w:val="%8."/>
      <w:lvlJc w:val="left"/>
      <w:pPr>
        <w:ind w:left="1020" w:hanging="360"/>
      </w:pPr>
    </w:lvl>
    <w:lvl w:ilvl="8" w:tplc="F7A2C72C">
      <w:start w:val="1"/>
      <w:numFmt w:val="decimal"/>
      <w:lvlText w:val="%9."/>
      <w:lvlJc w:val="left"/>
      <w:pPr>
        <w:ind w:left="1020" w:hanging="360"/>
      </w:pPr>
    </w:lvl>
  </w:abstractNum>
  <w:abstractNum w:abstractNumId="9" w15:restartNumberingAfterBreak="0">
    <w:nsid w:val="30FA3117"/>
    <w:multiLevelType w:val="hybridMultilevel"/>
    <w:tmpl w:val="DA80FAFC"/>
    <w:lvl w:ilvl="0" w:tplc="4A7A8C44">
      <w:start w:val="1"/>
      <w:numFmt w:val="bullet"/>
      <w:lvlText w:val=""/>
      <w:lvlJc w:val="left"/>
      <w:pPr>
        <w:ind w:left="1020" w:hanging="360"/>
      </w:pPr>
      <w:rPr>
        <w:rFonts w:ascii="Symbol" w:hAnsi="Symbol"/>
      </w:rPr>
    </w:lvl>
    <w:lvl w:ilvl="1" w:tplc="819E2CFC">
      <w:start w:val="1"/>
      <w:numFmt w:val="bullet"/>
      <w:lvlText w:val=""/>
      <w:lvlJc w:val="left"/>
      <w:pPr>
        <w:ind w:left="1020" w:hanging="360"/>
      </w:pPr>
      <w:rPr>
        <w:rFonts w:ascii="Symbol" w:hAnsi="Symbol"/>
      </w:rPr>
    </w:lvl>
    <w:lvl w:ilvl="2" w:tplc="0C4AB6FC">
      <w:start w:val="1"/>
      <w:numFmt w:val="bullet"/>
      <w:lvlText w:val=""/>
      <w:lvlJc w:val="left"/>
      <w:pPr>
        <w:ind w:left="1020" w:hanging="360"/>
      </w:pPr>
      <w:rPr>
        <w:rFonts w:ascii="Symbol" w:hAnsi="Symbol"/>
      </w:rPr>
    </w:lvl>
    <w:lvl w:ilvl="3" w:tplc="76A866E0">
      <w:start w:val="1"/>
      <w:numFmt w:val="bullet"/>
      <w:lvlText w:val=""/>
      <w:lvlJc w:val="left"/>
      <w:pPr>
        <w:ind w:left="1020" w:hanging="360"/>
      </w:pPr>
      <w:rPr>
        <w:rFonts w:ascii="Symbol" w:hAnsi="Symbol"/>
      </w:rPr>
    </w:lvl>
    <w:lvl w:ilvl="4" w:tplc="006C6E08">
      <w:start w:val="1"/>
      <w:numFmt w:val="bullet"/>
      <w:lvlText w:val=""/>
      <w:lvlJc w:val="left"/>
      <w:pPr>
        <w:ind w:left="1020" w:hanging="360"/>
      </w:pPr>
      <w:rPr>
        <w:rFonts w:ascii="Symbol" w:hAnsi="Symbol"/>
      </w:rPr>
    </w:lvl>
    <w:lvl w:ilvl="5" w:tplc="AB685352">
      <w:start w:val="1"/>
      <w:numFmt w:val="bullet"/>
      <w:lvlText w:val=""/>
      <w:lvlJc w:val="left"/>
      <w:pPr>
        <w:ind w:left="1020" w:hanging="360"/>
      </w:pPr>
      <w:rPr>
        <w:rFonts w:ascii="Symbol" w:hAnsi="Symbol"/>
      </w:rPr>
    </w:lvl>
    <w:lvl w:ilvl="6" w:tplc="EEBAE33C">
      <w:start w:val="1"/>
      <w:numFmt w:val="bullet"/>
      <w:lvlText w:val=""/>
      <w:lvlJc w:val="left"/>
      <w:pPr>
        <w:ind w:left="1020" w:hanging="360"/>
      </w:pPr>
      <w:rPr>
        <w:rFonts w:ascii="Symbol" w:hAnsi="Symbol"/>
      </w:rPr>
    </w:lvl>
    <w:lvl w:ilvl="7" w:tplc="F6EC873A">
      <w:start w:val="1"/>
      <w:numFmt w:val="bullet"/>
      <w:lvlText w:val=""/>
      <w:lvlJc w:val="left"/>
      <w:pPr>
        <w:ind w:left="1020" w:hanging="360"/>
      </w:pPr>
      <w:rPr>
        <w:rFonts w:ascii="Symbol" w:hAnsi="Symbol"/>
      </w:rPr>
    </w:lvl>
    <w:lvl w:ilvl="8" w:tplc="45F2EA9C">
      <w:start w:val="1"/>
      <w:numFmt w:val="bullet"/>
      <w:lvlText w:val=""/>
      <w:lvlJc w:val="left"/>
      <w:pPr>
        <w:ind w:left="1020" w:hanging="360"/>
      </w:pPr>
      <w:rPr>
        <w:rFonts w:ascii="Symbol" w:hAnsi="Symbol"/>
      </w:rPr>
    </w:lvl>
  </w:abstractNum>
  <w:abstractNum w:abstractNumId="10" w15:restartNumberingAfterBreak="0">
    <w:nsid w:val="35DD2296"/>
    <w:multiLevelType w:val="hybridMultilevel"/>
    <w:tmpl w:val="1C22BA6A"/>
    <w:lvl w:ilvl="0" w:tplc="00A65F90">
      <w:start w:val="1"/>
      <w:numFmt w:val="bullet"/>
      <w:lvlText w:val=""/>
      <w:lvlJc w:val="left"/>
      <w:pPr>
        <w:ind w:left="1020" w:hanging="360"/>
      </w:pPr>
      <w:rPr>
        <w:rFonts w:ascii="Symbol" w:hAnsi="Symbol"/>
      </w:rPr>
    </w:lvl>
    <w:lvl w:ilvl="1" w:tplc="A9E8B0DA">
      <w:start w:val="1"/>
      <w:numFmt w:val="bullet"/>
      <w:lvlText w:val=""/>
      <w:lvlJc w:val="left"/>
      <w:pPr>
        <w:ind w:left="1020" w:hanging="360"/>
      </w:pPr>
      <w:rPr>
        <w:rFonts w:ascii="Symbol" w:hAnsi="Symbol"/>
      </w:rPr>
    </w:lvl>
    <w:lvl w:ilvl="2" w:tplc="29BC697A">
      <w:start w:val="1"/>
      <w:numFmt w:val="bullet"/>
      <w:lvlText w:val=""/>
      <w:lvlJc w:val="left"/>
      <w:pPr>
        <w:ind w:left="1020" w:hanging="360"/>
      </w:pPr>
      <w:rPr>
        <w:rFonts w:ascii="Symbol" w:hAnsi="Symbol"/>
      </w:rPr>
    </w:lvl>
    <w:lvl w:ilvl="3" w:tplc="D972622E">
      <w:start w:val="1"/>
      <w:numFmt w:val="bullet"/>
      <w:lvlText w:val=""/>
      <w:lvlJc w:val="left"/>
      <w:pPr>
        <w:ind w:left="1020" w:hanging="360"/>
      </w:pPr>
      <w:rPr>
        <w:rFonts w:ascii="Symbol" w:hAnsi="Symbol"/>
      </w:rPr>
    </w:lvl>
    <w:lvl w:ilvl="4" w:tplc="EE943F5C">
      <w:start w:val="1"/>
      <w:numFmt w:val="bullet"/>
      <w:lvlText w:val=""/>
      <w:lvlJc w:val="left"/>
      <w:pPr>
        <w:ind w:left="1020" w:hanging="360"/>
      </w:pPr>
      <w:rPr>
        <w:rFonts w:ascii="Symbol" w:hAnsi="Symbol"/>
      </w:rPr>
    </w:lvl>
    <w:lvl w:ilvl="5" w:tplc="2174DBA2">
      <w:start w:val="1"/>
      <w:numFmt w:val="bullet"/>
      <w:lvlText w:val=""/>
      <w:lvlJc w:val="left"/>
      <w:pPr>
        <w:ind w:left="1020" w:hanging="360"/>
      </w:pPr>
      <w:rPr>
        <w:rFonts w:ascii="Symbol" w:hAnsi="Symbol"/>
      </w:rPr>
    </w:lvl>
    <w:lvl w:ilvl="6" w:tplc="632E62F6">
      <w:start w:val="1"/>
      <w:numFmt w:val="bullet"/>
      <w:lvlText w:val=""/>
      <w:lvlJc w:val="left"/>
      <w:pPr>
        <w:ind w:left="1020" w:hanging="360"/>
      </w:pPr>
      <w:rPr>
        <w:rFonts w:ascii="Symbol" w:hAnsi="Symbol"/>
      </w:rPr>
    </w:lvl>
    <w:lvl w:ilvl="7" w:tplc="EAD4757E">
      <w:start w:val="1"/>
      <w:numFmt w:val="bullet"/>
      <w:lvlText w:val=""/>
      <w:lvlJc w:val="left"/>
      <w:pPr>
        <w:ind w:left="1020" w:hanging="360"/>
      </w:pPr>
      <w:rPr>
        <w:rFonts w:ascii="Symbol" w:hAnsi="Symbol"/>
      </w:rPr>
    </w:lvl>
    <w:lvl w:ilvl="8" w:tplc="D73807E6">
      <w:start w:val="1"/>
      <w:numFmt w:val="bullet"/>
      <w:lvlText w:val=""/>
      <w:lvlJc w:val="left"/>
      <w:pPr>
        <w:ind w:left="1020" w:hanging="360"/>
      </w:pPr>
      <w:rPr>
        <w:rFonts w:ascii="Symbol" w:hAnsi="Symbol"/>
      </w:rPr>
    </w:lvl>
  </w:abstractNum>
  <w:abstractNum w:abstractNumId="11" w15:restartNumberingAfterBreak="0">
    <w:nsid w:val="37544D15"/>
    <w:multiLevelType w:val="hybridMultilevel"/>
    <w:tmpl w:val="B9C8D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49302E"/>
    <w:multiLevelType w:val="hybridMultilevel"/>
    <w:tmpl w:val="3892C2FC"/>
    <w:lvl w:ilvl="0" w:tplc="C6A8B02A">
      <w:start w:val="1"/>
      <w:numFmt w:val="bullet"/>
      <w:lvlText w:val=""/>
      <w:lvlJc w:val="left"/>
      <w:pPr>
        <w:ind w:left="1020" w:hanging="360"/>
      </w:pPr>
      <w:rPr>
        <w:rFonts w:ascii="Symbol" w:hAnsi="Symbol"/>
      </w:rPr>
    </w:lvl>
    <w:lvl w:ilvl="1" w:tplc="ACCC88C4">
      <w:start w:val="1"/>
      <w:numFmt w:val="bullet"/>
      <w:lvlText w:val=""/>
      <w:lvlJc w:val="left"/>
      <w:pPr>
        <w:ind w:left="1020" w:hanging="360"/>
      </w:pPr>
      <w:rPr>
        <w:rFonts w:ascii="Symbol" w:hAnsi="Symbol"/>
      </w:rPr>
    </w:lvl>
    <w:lvl w:ilvl="2" w:tplc="6C684B5C">
      <w:start w:val="1"/>
      <w:numFmt w:val="bullet"/>
      <w:lvlText w:val=""/>
      <w:lvlJc w:val="left"/>
      <w:pPr>
        <w:ind w:left="1020" w:hanging="360"/>
      </w:pPr>
      <w:rPr>
        <w:rFonts w:ascii="Symbol" w:hAnsi="Symbol"/>
      </w:rPr>
    </w:lvl>
    <w:lvl w:ilvl="3" w:tplc="9BC441CC">
      <w:start w:val="1"/>
      <w:numFmt w:val="bullet"/>
      <w:lvlText w:val=""/>
      <w:lvlJc w:val="left"/>
      <w:pPr>
        <w:ind w:left="1020" w:hanging="360"/>
      </w:pPr>
      <w:rPr>
        <w:rFonts w:ascii="Symbol" w:hAnsi="Symbol"/>
      </w:rPr>
    </w:lvl>
    <w:lvl w:ilvl="4" w:tplc="B25A979A">
      <w:start w:val="1"/>
      <w:numFmt w:val="bullet"/>
      <w:lvlText w:val=""/>
      <w:lvlJc w:val="left"/>
      <w:pPr>
        <w:ind w:left="1020" w:hanging="360"/>
      </w:pPr>
      <w:rPr>
        <w:rFonts w:ascii="Symbol" w:hAnsi="Symbol"/>
      </w:rPr>
    </w:lvl>
    <w:lvl w:ilvl="5" w:tplc="635A0B30">
      <w:start w:val="1"/>
      <w:numFmt w:val="bullet"/>
      <w:lvlText w:val=""/>
      <w:lvlJc w:val="left"/>
      <w:pPr>
        <w:ind w:left="1020" w:hanging="360"/>
      </w:pPr>
      <w:rPr>
        <w:rFonts w:ascii="Symbol" w:hAnsi="Symbol"/>
      </w:rPr>
    </w:lvl>
    <w:lvl w:ilvl="6" w:tplc="821AAAB6">
      <w:start w:val="1"/>
      <w:numFmt w:val="bullet"/>
      <w:lvlText w:val=""/>
      <w:lvlJc w:val="left"/>
      <w:pPr>
        <w:ind w:left="1020" w:hanging="360"/>
      </w:pPr>
      <w:rPr>
        <w:rFonts w:ascii="Symbol" w:hAnsi="Symbol"/>
      </w:rPr>
    </w:lvl>
    <w:lvl w:ilvl="7" w:tplc="822678F4">
      <w:start w:val="1"/>
      <w:numFmt w:val="bullet"/>
      <w:lvlText w:val=""/>
      <w:lvlJc w:val="left"/>
      <w:pPr>
        <w:ind w:left="1020" w:hanging="360"/>
      </w:pPr>
      <w:rPr>
        <w:rFonts w:ascii="Symbol" w:hAnsi="Symbol"/>
      </w:rPr>
    </w:lvl>
    <w:lvl w:ilvl="8" w:tplc="C840C7C8">
      <w:start w:val="1"/>
      <w:numFmt w:val="bullet"/>
      <w:lvlText w:val=""/>
      <w:lvlJc w:val="left"/>
      <w:pPr>
        <w:ind w:left="1020" w:hanging="360"/>
      </w:pPr>
      <w:rPr>
        <w:rFonts w:ascii="Symbol" w:hAnsi="Symbol"/>
      </w:rPr>
    </w:lvl>
  </w:abstractNum>
  <w:abstractNum w:abstractNumId="13" w15:restartNumberingAfterBreak="0">
    <w:nsid w:val="3B27786B"/>
    <w:multiLevelType w:val="hybridMultilevel"/>
    <w:tmpl w:val="D9AC5E08"/>
    <w:lvl w:ilvl="0" w:tplc="AED84B62">
      <w:start w:val="1"/>
      <w:numFmt w:val="bullet"/>
      <w:lvlText w:val=""/>
      <w:lvlJc w:val="left"/>
      <w:pPr>
        <w:ind w:left="1020" w:hanging="360"/>
      </w:pPr>
      <w:rPr>
        <w:rFonts w:ascii="Symbol" w:hAnsi="Symbol"/>
      </w:rPr>
    </w:lvl>
    <w:lvl w:ilvl="1" w:tplc="60DC6812">
      <w:start w:val="1"/>
      <w:numFmt w:val="bullet"/>
      <w:lvlText w:val=""/>
      <w:lvlJc w:val="left"/>
      <w:pPr>
        <w:ind w:left="1020" w:hanging="360"/>
      </w:pPr>
      <w:rPr>
        <w:rFonts w:ascii="Symbol" w:hAnsi="Symbol"/>
      </w:rPr>
    </w:lvl>
    <w:lvl w:ilvl="2" w:tplc="E44847A4">
      <w:start w:val="1"/>
      <w:numFmt w:val="bullet"/>
      <w:lvlText w:val=""/>
      <w:lvlJc w:val="left"/>
      <w:pPr>
        <w:ind w:left="1020" w:hanging="360"/>
      </w:pPr>
      <w:rPr>
        <w:rFonts w:ascii="Symbol" w:hAnsi="Symbol"/>
      </w:rPr>
    </w:lvl>
    <w:lvl w:ilvl="3" w:tplc="EFD41802">
      <w:start w:val="1"/>
      <w:numFmt w:val="bullet"/>
      <w:lvlText w:val=""/>
      <w:lvlJc w:val="left"/>
      <w:pPr>
        <w:ind w:left="1020" w:hanging="360"/>
      </w:pPr>
      <w:rPr>
        <w:rFonts w:ascii="Symbol" w:hAnsi="Symbol"/>
      </w:rPr>
    </w:lvl>
    <w:lvl w:ilvl="4" w:tplc="4F060E38">
      <w:start w:val="1"/>
      <w:numFmt w:val="bullet"/>
      <w:lvlText w:val=""/>
      <w:lvlJc w:val="left"/>
      <w:pPr>
        <w:ind w:left="1020" w:hanging="360"/>
      </w:pPr>
      <w:rPr>
        <w:rFonts w:ascii="Symbol" w:hAnsi="Symbol"/>
      </w:rPr>
    </w:lvl>
    <w:lvl w:ilvl="5" w:tplc="D6BA5A90">
      <w:start w:val="1"/>
      <w:numFmt w:val="bullet"/>
      <w:lvlText w:val=""/>
      <w:lvlJc w:val="left"/>
      <w:pPr>
        <w:ind w:left="1020" w:hanging="360"/>
      </w:pPr>
      <w:rPr>
        <w:rFonts w:ascii="Symbol" w:hAnsi="Symbol"/>
      </w:rPr>
    </w:lvl>
    <w:lvl w:ilvl="6" w:tplc="C5642802">
      <w:start w:val="1"/>
      <w:numFmt w:val="bullet"/>
      <w:lvlText w:val=""/>
      <w:lvlJc w:val="left"/>
      <w:pPr>
        <w:ind w:left="1020" w:hanging="360"/>
      </w:pPr>
      <w:rPr>
        <w:rFonts w:ascii="Symbol" w:hAnsi="Symbol"/>
      </w:rPr>
    </w:lvl>
    <w:lvl w:ilvl="7" w:tplc="23FE33B2">
      <w:start w:val="1"/>
      <w:numFmt w:val="bullet"/>
      <w:lvlText w:val=""/>
      <w:lvlJc w:val="left"/>
      <w:pPr>
        <w:ind w:left="1020" w:hanging="360"/>
      </w:pPr>
      <w:rPr>
        <w:rFonts w:ascii="Symbol" w:hAnsi="Symbol"/>
      </w:rPr>
    </w:lvl>
    <w:lvl w:ilvl="8" w:tplc="79DED1F4">
      <w:start w:val="1"/>
      <w:numFmt w:val="bullet"/>
      <w:lvlText w:val=""/>
      <w:lvlJc w:val="left"/>
      <w:pPr>
        <w:ind w:left="1020" w:hanging="360"/>
      </w:pPr>
      <w:rPr>
        <w:rFonts w:ascii="Symbol" w:hAnsi="Symbol"/>
      </w:rPr>
    </w:lvl>
  </w:abstractNum>
  <w:abstractNum w:abstractNumId="14" w15:restartNumberingAfterBreak="0">
    <w:nsid w:val="426A2371"/>
    <w:multiLevelType w:val="hybridMultilevel"/>
    <w:tmpl w:val="9794B5D0"/>
    <w:lvl w:ilvl="0" w:tplc="94E212DE">
      <w:start w:val="1"/>
      <w:numFmt w:val="bullet"/>
      <w:lvlText w:val=""/>
      <w:lvlJc w:val="left"/>
      <w:pPr>
        <w:ind w:left="1020" w:hanging="360"/>
      </w:pPr>
      <w:rPr>
        <w:rFonts w:ascii="Symbol" w:hAnsi="Symbol"/>
      </w:rPr>
    </w:lvl>
    <w:lvl w:ilvl="1" w:tplc="473C1B2A">
      <w:start w:val="1"/>
      <w:numFmt w:val="bullet"/>
      <w:lvlText w:val=""/>
      <w:lvlJc w:val="left"/>
      <w:pPr>
        <w:ind w:left="1020" w:hanging="360"/>
      </w:pPr>
      <w:rPr>
        <w:rFonts w:ascii="Symbol" w:hAnsi="Symbol"/>
      </w:rPr>
    </w:lvl>
    <w:lvl w:ilvl="2" w:tplc="5A784262">
      <w:start w:val="1"/>
      <w:numFmt w:val="bullet"/>
      <w:lvlText w:val=""/>
      <w:lvlJc w:val="left"/>
      <w:pPr>
        <w:ind w:left="1020" w:hanging="360"/>
      </w:pPr>
      <w:rPr>
        <w:rFonts w:ascii="Symbol" w:hAnsi="Symbol"/>
      </w:rPr>
    </w:lvl>
    <w:lvl w:ilvl="3" w:tplc="39723C6A">
      <w:start w:val="1"/>
      <w:numFmt w:val="bullet"/>
      <w:lvlText w:val=""/>
      <w:lvlJc w:val="left"/>
      <w:pPr>
        <w:ind w:left="1020" w:hanging="360"/>
      </w:pPr>
      <w:rPr>
        <w:rFonts w:ascii="Symbol" w:hAnsi="Symbol"/>
      </w:rPr>
    </w:lvl>
    <w:lvl w:ilvl="4" w:tplc="151C217E">
      <w:start w:val="1"/>
      <w:numFmt w:val="bullet"/>
      <w:lvlText w:val=""/>
      <w:lvlJc w:val="left"/>
      <w:pPr>
        <w:ind w:left="1020" w:hanging="360"/>
      </w:pPr>
      <w:rPr>
        <w:rFonts w:ascii="Symbol" w:hAnsi="Symbol"/>
      </w:rPr>
    </w:lvl>
    <w:lvl w:ilvl="5" w:tplc="4BA8CBF0">
      <w:start w:val="1"/>
      <w:numFmt w:val="bullet"/>
      <w:lvlText w:val=""/>
      <w:lvlJc w:val="left"/>
      <w:pPr>
        <w:ind w:left="1020" w:hanging="360"/>
      </w:pPr>
      <w:rPr>
        <w:rFonts w:ascii="Symbol" w:hAnsi="Symbol"/>
      </w:rPr>
    </w:lvl>
    <w:lvl w:ilvl="6" w:tplc="5540F748">
      <w:start w:val="1"/>
      <w:numFmt w:val="bullet"/>
      <w:lvlText w:val=""/>
      <w:lvlJc w:val="left"/>
      <w:pPr>
        <w:ind w:left="1020" w:hanging="360"/>
      </w:pPr>
      <w:rPr>
        <w:rFonts w:ascii="Symbol" w:hAnsi="Symbol"/>
      </w:rPr>
    </w:lvl>
    <w:lvl w:ilvl="7" w:tplc="22D6BDF4">
      <w:start w:val="1"/>
      <w:numFmt w:val="bullet"/>
      <w:lvlText w:val=""/>
      <w:lvlJc w:val="left"/>
      <w:pPr>
        <w:ind w:left="1020" w:hanging="360"/>
      </w:pPr>
      <w:rPr>
        <w:rFonts w:ascii="Symbol" w:hAnsi="Symbol"/>
      </w:rPr>
    </w:lvl>
    <w:lvl w:ilvl="8" w:tplc="EB362F74">
      <w:start w:val="1"/>
      <w:numFmt w:val="bullet"/>
      <w:lvlText w:val=""/>
      <w:lvlJc w:val="left"/>
      <w:pPr>
        <w:ind w:left="1020" w:hanging="360"/>
      </w:pPr>
      <w:rPr>
        <w:rFonts w:ascii="Symbol" w:hAnsi="Symbol"/>
      </w:rPr>
    </w:lvl>
  </w:abstractNum>
  <w:abstractNum w:abstractNumId="15" w15:restartNumberingAfterBreak="0">
    <w:nsid w:val="45AF0F6F"/>
    <w:multiLevelType w:val="hybridMultilevel"/>
    <w:tmpl w:val="76482EDA"/>
    <w:lvl w:ilvl="0" w:tplc="D71874AC">
      <w:start w:val="1"/>
      <w:numFmt w:val="bullet"/>
      <w:lvlText w:val=""/>
      <w:lvlJc w:val="left"/>
      <w:pPr>
        <w:ind w:left="1020" w:hanging="360"/>
      </w:pPr>
      <w:rPr>
        <w:rFonts w:ascii="Symbol" w:hAnsi="Symbol"/>
      </w:rPr>
    </w:lvl>
    <w:lvl w:ilvl="1" w:tplc="516ADDD2">
      <w:start w:val="1"/>
      <w:numFmt w:val="bullet"/>
      <w:lvlText w:val=""/>
      <w:lvlJc w:val="left"/>
      <w:pPr>
        <w:ind w:left="1020" w:hanging="360"/>
      </w:pPr>
      <w:rPr>
        <w:rFonts w:ascii="Symbol" w:hAnsi="Symbol"/>
      </w:rPr>
    </w:lvl>
    <w:lvl w:ilvl="2" w:tplc="63621D8E">
      <w:start w:val="1"/>
      <w:numFmt w:val="bullet"/>
      <w:lvlText w:val=""/>
      <w:lvlJc w:val="left"/>
      <w:pPr>
        <w:ind w:left="1020" w:hanging="360"/>
      </w:pPr>
      <w:rPr>
        <w:rFonts w:ascii="Symbol" w:hAnsi="Symbol"/>
      </w:rPr>
    </w:lvl>
    <w:lvl w:ilvl="3" w:tplc="3E00D95C">
      <w:start w:val="1"/>
      <w:numFmt w:val="bullet"/>
      <w:lvlText w:val=""/>
      <w:lvlJc w:val="left"/>
      <w:pPr>
        <w:ind w:left="1020" w:hanging="360"/>
      </w:pPr>
      <w:rPr>
        <w:rFonts w:ascii="Symbol" w:hAnsi="Symbol"/>
      </w:rPr>
    </w:lvl>
    <w:lvl w:ilvl="4" w:tplc="23C21110">
      <w:start w:val="1"/>
      <w:numFmt w:val="bullet"/>
      <w:lvlText w:val=""/>
      <w:lvlJc w:val="left"/>
      <w:pPr>
        <w:ind w:left="1020" w:hanging="360"/>
      </w:pPr>
      <w:rPr>
        <w:rFonts w:ascii="Symbol" w:hAnsi="Symbol"/>
      </w:rPr>
    </w:lvl>
    <w:lvl w:ilvl="5" w:tplc="1976487A">
      <w:start w:val="1"/>
      <w:numFmt w:val="bullet"/>
      <w:lvlText w:val=""/>
      <w:lvlJc w:val="left"/>
      <w:pPr>
        <w:ind w:left="1020" w:hanging="360"/>
      </w:pPr>
      <w:rPr>
        <w:rFonts w:ascii="Symbol" w:hAnsi="Symbol"/>
      </w:rPr>
    </w:lvl>
    <w:lvl w:ilvl="6" w:tplc="C9B6D128">
      <w:start w:val="1"/>
      <w:numFmt w:val="bullet"/>
      <w:lvlText w:val=""/>
      <w:lvlJc w:val="left"/>
      <w:pPr>
        <w:ind w:left="1020" w:hanging="360"/>
      </w:pPr>
      <w:rPr>
        <w:rFonts w:ascii="Symbol" w:hAnsi="Symbol"/>
      </w:rPr>
    </w:lvl>
    <w:lvl w:ilvl="7" w:tplc="644665DC">
      <w:start w:val="1"/>
      <w:numFmt w:val="bullet"/>
      <w:lvlText w:val=""/>
      <w:lvlJc w:val="left"/>
      <w:pPr>
        <w:ind w:left="1020" w:hanging="360"/>
      </w:pPr>
      <w:rPr>
        <w:rFonts w:ascii="Symbol" w:hAnsi="Symbol"/>
      </w:rPr>
    </w:lvl>
    <w:lvl w:ilvl="8" w:tplc="2236DC2E">
      <w:start w:val="1"/>
      <w:numFmt w:val="bullet"/>
      <w:lvlText w:val=""/>
      <w:lvlJc w:val="left"/>
      <w:pPr>
        <w:ind w:left="1020" w:hanging="360"/>
      </w:pPr>
      <w:rPr>
        <w:rFonts w:ascii="Symbol" w:hAnsi="Symbol"/>
      </w:rPr>
    </w:lvl>
  </w:abstractNum>
  <w:abstractNum w:abstractNumId="16" w15:restartNumberingAfterBreak="0">
    <w:nsid w:val="464D4C96"/>
    <w:multiLevelType w:val="hybridMultilevel"/>
    <w:tmpl w:val="D23CF84A"/>
    <w:lvl w:ilvl="0" w:tplc="D7FEB474">
      <w:start w:val="1"/>
      <w:numFmt w:val="bullet"/>
      <w:lvlText w:val=""/>
      <w:lvlJc w:val="left"/>
      <w:pPr>
        <w:ind w:left="1020" w:hanging="360"/>
      </w:pPr>
      <w:rPr>
        <w:rFonts w:ascii="Symbol" w:hAnsi="Symbol"/>
      </w:rPr>
    </w:lvl>
    <w:lvl w:ilvl="1" w:tplc="6EBC9606">
      <w:start w:val="1"/>
      <w:numFmt w:val="bullet"/>
      <w:lvlText w:val=""/>
      <w:lvlJc w:val="left"/>
      <w:pPr>
        <w:ind w:left="1020" w:hanging="360"/>
      </w:pPr>
      <w:rPr>
        <w:rFonts w:ascii="Symbol" w:hAnsi="Symbol"/>
      </w:rPr>
    </w:lvl>
    <w:lvl w:ilvl="2" w:tplc="FB548DA6">
      <w:start w:val="1"/>
      <w:numFmt w:val="bullet"/>
      <w:lvlText w:val=""/>
      <w:lvlJc w:val="left"/>
      <w:pPr>
        <w:ind w:left="1020" w:hanging="360"/>
      </w:pPr>
      <w:rPr>
        <w:rFonts w:ascii="Symbol" w:hAnsi="Symbol"/>
      </w:rPr>
    </w:lvl>
    <w:lvl w:ilvl="3" w:tplc="B05E8922">
      <w:start w:val="1"/>
      <w:numFmt w:val="bullet"/>
      <w:lvlText w:val=""/>
      <w:lvlJc w:val="left"/>
      <w:pPr>
        <w:ind w:left="1020" w:hanging="360"/>
      </w:pPr>
      <w:rPr>
        <w:rFonts w:ascii="Symbol" w:hAnsi="Symbol"/>
      </w:rPr>
    </w:lvl>
    <w:lvl w:ilvl="4" w:tplc="3E105C2C">
      <w:start w:val="1"/>
      <w:numFmt w:val="bullet"/>
      <w:lvlText w:val=""/>
      <w:lvlJc w:val="left"/>
      <w:pPr>
        <w:ind w:left="1020" w:hanging="360"/>
      </w:pPr>
      <w:rPr>
        <w:rFonts w:ascii="Symbol" w:hAnsi="Symbol"/>
      </w:rPr>
    </w:lvl>
    <w:lvl w:ilvl="5" w:tplc="5E70453E">
      <w:start w:val="1"/>
      <w:numFmt w:val="bullet"/>
      <w:lvlText w:val=""/>
      <w:lvlJc w:val="left"/>
      <w:pPr>
        <w:ind w:left="1020" w:hanging="360"/>
      </w:pPr>
      <w:rPr>
        <w:rFonts w:ascii="Symbol" w:hAnsi="Symbol"/>
      </w:rPr>
    </w:lvl>
    <w:lvl w:ilvl="6" w:tplc="AAAC2934">
      <w:start w:val="1"/>
      <w:numFmt w:val="bullet"/>
      <w:lvlText w:val=""/>
      <w:lvlJc w:val="left"/>
      <w:pPr>
        <w:ind w:left="1020" w:hanging="360"/>
      </w:pPr>
      <w:rPr>
        <w:rFonts w:ascii="Symbol" w:hAnsi="Symbol"/>
      </w:rPr>
    </w:lvl>
    <w:lvl w:ilvl="7" w:tplc="2CD655F4">
      <w:start w:val="1"/>
      <w:numFmt w:val="bullet"/>
      <w:lvlText w:val=""/>
      <w:lvlJc w:val="left"/>
      <w:pPr>
        <w:ind w:left="1020" w:hanging="360"/>
      </w:pPr>
      <w:rPr>
        <w:rFonts w:ascii="Symbol" w:hAnsi="Symbol"/>
      </w:rPr>
    </w:lvl>
    <w:lvl w:ilvl="8" w:tplc="EB3C21C6">
      <w:start w:val="1"/>
      <w:numFmt w:val="bullet"/>
      <w:lvlText w:val=""/>
      <w:lvlJc w:val="left"/>
      <w:pPr>
        <w:ind w:left="1020" w:hanging="360"/>
      </w:pPr>
      <w:rPr>
        <w:rFonts w:ascii="Symbol" w:hAnsi="Symbol"/>
      </w:rPr>
    </w:lvl>
  </w:abstractNum>
  <w:abstractNum w:abstractNumId="17" w15:restartNumberingAfterBreak="0">
    <w:nsid w:val="51D069E6"/>
    <w:multiLevelType w:val="hybridMultilevel"/>
    <w:tmpl w:val="D8000BF8"/>
    <w:lvl w:ilvl="0" w:tplc="AA12F508">
      <w:start w:val="1"/>
      <w:numFmt w:val="bullet"/>
      <w:lvlText w:val=""/>
      <w:lvlJc w:val="left"/>
      <w:pPr>
        <w:ind w:left="1020" w:hanging="360"/>
      </w:pPr>
      <w:rPr>
        <w:rFonts w:ascii="Symbol" w:hAnsi="Symbol"/>
      </w:rPr>
    </w:lvl>
    <w:lvl w:ilvl="1" w:tplc="B6BCF9F0">
      <w:start w:val="1"/>
      <w:numFmt w:val="bullet"/>
      <w:lvlText w:val=""/>
      <w:lvlJc w:val="left"/>
      <w:pPr>
        <w:ind w:left="1020" w:hanging="360"/>
      </w:pPr>
      <w:rPr>
        <w:rFonts w:ascii="Symbol" w:hAnsi="Symbol"/>
      </w:rPr>
    </w:lvl>
    <w:lvl w:ilvl="2" w:tplc="1F429608">
      <w:start w:val="1"/>
      <w:numFmt w:val="bullet"/>
      <w:lvlText w:val=""/>
      <w:lvlJc w:val="left"/>
      <w:pPr>
        <w:ind w:left="1020" w:hanging="360"/>
      </w:pPr>
      <w:rPr>
        <w:rFonts w:ascii="Symbol" w:hAnsi="Symbol"/>
      </w:rPr>
    </w:lvl>
    <w:lvl w:ilvl="3" w:tplc="41F4B524">
      <w:start w:val="1"/>
      <w:numFmt w:val="bullet"/>
      <w:lvlText w:val=""/>
      <w:lvlJc w:val="left"/>
      <w:pPr>
        <w:ind w:left="1020" w:hanging="360"/>
      </w:pPr>
      <w:rPr>
        <w:rFonts w:ascii="Symbol" w:hAnsi="Symbol"/>
      </w:rPr>
    </w:lvl>
    <w:lvl w:ilvl="4" w:tplc="B0320A1E">
      <w:start w:val="1"/>
      <w:numFmt w:val="bullet"/>
      <w:lvlText w:val=""/>
      <w:lvlJc w:val="left"/>
      <w:pPr>
        <w:ind w:left="1020" w:hanging="360"/>
      </w:pPr>
      <w:rPr>
        <w:rFonts w:ascii="Symbol" w:hAnsi="Symbol"/>
      </w:rPr>
    </w:lvl>
    <w:lvl w:ilvl="5" w:tplc="71507764">
      <w:start w:val="1"/>
      <w:numFmt w:val="bullet"/>
      <w:lvlText w:val=""/>
      <w:lvlJc w:val="left"/>
      <w:pPr>
        <w:ind w:left="1020" w:hanging="360"/>
      </w:pPr>
      <w:rPr>
        <w:rFonts w:ascii="Symbol" w:hAnsi="Symbol"/>
      </w:rPr>
    </w:lvl>
    <w:lvl w:ilvl="6" w:tplc="D478A78A">
      <w:start w:val="1"/>
      <w:numFmt w:val="bullet"/>
      <w:lvlText w:val=""/>
      <w:lvlJc w:val="left"/>
      <w:pPr>
        <w:ind w:left="1020" w:hanging="360"/>
      </w:pPr>
      <w:rPr>
        <w:rFonts w:ascii="Symbol" w:hAnsi="Symbol"/>
      </w:rPr>
    </w:lvl>
    <w:lvl w:ilvl="7" w:tplc="CAA81766">
      <w:start w:val="1"/>
      <w:numFmt w:val="bullet"/>
      <w:lvlText w:val=""/>
      <w:lvlJc w:val="left"/>
      <w:pPr>
        <w:ind w:left="1020" w:hanging="360"/>
      </w:pPr>
      <w:rPr>
        <w:rFonts w:ascii="Symbol" w:hAnsi="Symbol"/>
      </w:rPr>
    </w:lvl>
    <w:lvl w:ilvl="8" w:tplc="FDF6889A">
      <w:start w:val="1"/>
      <w:numFmt w:val="bullet"/>
      <w:lvlText w:val=""/>
      <w:lvlJc w:val="left"/>
      <w:pPr>
        <w:ind w:left="1020" w:hanging="360"/>
      </w:pPr>
      <w:rPr>
        <w:rFonts w:ascii="Symbol" w:hAnsi="Symbol"/>
      </w:rPr>
    </w:lvl>
  </w:abstractNum>
  <w:abstractNum w:abstractNumId="18" w15:restartNumberingAfterBreak="0">
    <w:nsid w:val="53AA565C"/>
    <w:multiLevelType w:val="hybridMultilevel"/>
    <w:tmpl w:val="8F8085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CC404D2"/>
    <w:multiLevelType w:val="hybridMultilevel"/>
    <w:tmpl w:val="49FC9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F03248"/>
    <w:multiLevelType w:val="hybridMultilevel"/>
    <w:tmpl w:val="549AEA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0D51EC0"/>
    <w:multiLevelType w:val="hybridMultilevel"/>
    <w:tmpl w:val="B328B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3391C7C"/>
    <w:multiLevelType w:val="hybridMultilevel"/>
    <w:tmpl w:val="E390AEDC"/>
    <w:lvl w:ilvl="0" w:tplc="E2A8EA2A">
      <w:start w:val="1"/>
      <w:numFmt w:val="bullet"/>
      <w:lvlText w:val=""/>
      <w:lvlJc w:val="left"/>
      <w:pPr>
        <w:ind w:left="1020" w:hanging="360"/>
      </w:pPr>
      <w:rPr>
        <w:rFonts w:ascii="Symbol" w:hAnsi="Symbol"/>
      </w:rPr>
    </w:lvl>
    <w:lvl w:ilvl="1" w:tplc="F69440E6">
      <w:start w:val="1"/>
      <w:numFmt w:val="bullet"/>
      <w:lvlText w:val=""/>
      <w:lvlJc w:val="left"/>
      <w:pPr>
        <w:ind w:left="1020" w:hanging="360"/>
      </w:pPr>
      <w:rPr>
        <w:rFonts w:ascii="Symbol" w:hAnsi="Symbol"/>
      </w:rPr>
    </w:lvl>
    <w:lvl w:ilvl="2" w:tplc="02E0A424">
      <w:start w:val="1"/>
      <w:numFmt w:val="bullet"/>
      <w:lvlText w:val=""/>
      <w:lvlJc w:val="left"/>
      <w:pPr>
        <w:ind w:left="1020" w:hanging="360"/>
      </w:pPr>
      <w:rPr>
        <w:rFonts w:ascii="Symbol" w:hAnsi="Symbol"/>
      </w:rPr>
    </w:lvl>
    <w:lvl w:ilvl="3" w:tplc="A4886D3A">
      <w:start w:val="1"/>
      <w:numFmt w:val="bullet"/>
      <w:lvlText w:val=""/>
      <w:lvlJc w:val="left"/>
      <w:pPr>
        <w:ind w:left="1020" w:hanging="360"/>
      </w:pPr>
      <w:rPr>
        <w:rFonts w:ascii="Symbol" w:hAnsi="Symbol"/>
      </w:rPr>
    </w:lvl>
    <w:lvl w:ilvl="4" w:tplc="E056CFCA">
      <w:start w:val="1"/>
      <w:numFmt w:val="bullet"/>
      <w:lvlText w:val=""/>
      <w:lvlJc w:val="left"/>
      <w:pPr>
        <w:ind w:left="1020" w:hanging="360"/>
      </w:pPr>
      <w:rPr>
        <w:rFonts w:ascii="Symbol" w:hAnsi="Symbol"/>
      </w:rPr>
    </w:lvl>
    <w:lvl w:ilvl="5" w:tplc="36060150">
      <w:start w:val="1"/>
      <w:numFmt w:val="bullet"/>
      <w:lvlText w:val=""/>
      <w:lvlJc w:val="left"/>
      <w:pPr>
        <w:ind w:left="1020" w:hanging="360"/>
      </w:pPr>
      <w:rPr>
        <w:rFonts w:ascii="Symbol" w:hAnsi="Symbol"/>
      </w:rPr>
    </w:lvl>
    <w:lvl w:ilvl="6" w:tplc="C79074B4">
      <w:start w:val="1"/>
      <w:numFmt w:val="bullet"/>
      <w:lvlText w:val=""/>
      <w:lvlJc w:val="left"/>
      <w:pPr>
        <w:ind w:left="1020" w:hanging="360"/>
      </w:pPr>
      <w:rPr>
        <w:rFonts w:ascii="Symbol" w:hAnsi="Symbol"/>
      </w:rPr>
    </w:lvl>
    <w:lvl w:ilvl="7" w:tplc="AE82359A">
      <w:start w:val="1"/>
      <w:numFmt w:val="bullet"/>
      <w:lvlText w:val=""/>
      <w:lvlJc w:val="left"/>
      <w:pPr>
        <w:ind w:left="1020" w:hanging="360"/>
      </w:pPr>
      <w:rPr>
        <w:rFonts w:ascii="Symbol" w:hAnsi="Symbol"/>
      </w:rPr>
    </w:lvl>
    <w:lvl w:ilvl="8" w:tplc="A852BE24">
      <w:start w:val="1"/>
      <w:numFmt w:val="bullet"/>
      <w:lvlText w:val=""/>
      <w:lvlJc w:val="left"/>
      <w:pPr>
        <w:ind w:left="1020" w:hanging="360"/>
      </w:pPr>
      <w:rPr>
        <w:rFonts w:ascii="Symbol" w:hAnsi="Symbol"/>
      </w:rPr>
    </w:lvl>
  </w:abstractNum>
  <w:abstractNum w:abstractNumId="23" w15:restartNumberingAfterBreak="0">
    <w:nsid w:val="74AF2ECE"/>
    <w:multiLevelType w:val="hybridMultilevel"/>
    <w:tmpl w:val="C0423AEA"/>
    <w:lvl w:ilvl="0" w:tplc="9D8EF8B0">
      <w:start w:val="1"/>
      <w:numFmt w:val="bullet"/>
      <w:lvlText w:val=""/>
      <w:lvlJc w:val="left"/>
      <w:pPr>
        <w:ind w:left="1020" w:hanging="360"/>
      </w:pPr>
      <w:rPr>
        <w:rFonts w:ascii="Symbol" w:hAnsi="Symbol"/>
      </w:rPr>
    </w:lvl>
    <w:lvl w:ilvl="1" w:tplc="3C3891D8">
      <w:start w:val="1"/>
      <w:numFmt w:val="bullet"/>
      <w:lvlText w:val=""/>
      <w:lvlJc w:val="left"/>
      <w:pPr>
        <w:ind w:left="1020" w:hanging="360"/>
      </w:pPr>
      <w:rPr>
        <w:rFonts w:ascii="Symbol" w:hAnsi="Symbol"/>
      </w:rPr>
    </w:lvl>
    <w:lvl w:ilvl="2" w:tplc="A150011A">
      <w:start w:val="1"/>
      <w:numFmt w:val="bullet"/>
      <w:lvlText w:val=""/>
      <w:lvlJc w:val="left"/>
      <w:pPr>
        <w:ind w:left="1020" w:hanging="360"/>
      </w:pPr>
      <w:rPr>
        <w:rFonts w:ascii="Symbol" w:hAnsi="Symbol"/>
      </w:rPr>
    </w:lvl>
    <w:lvl w:ilvl="3" w:tplc="B954558C">
      <w:start w:val="1"/>
      <w:numFmt w:val="bullet"/>
      <w:lvlText w:val=""/>
      <w:lvlJc w:val="left"/>
      <w:pPr>
        <w:ind w:left="1020" w:hanging="360"/>
      </w:pPr>
      <w:rPr>
        <w:rFonts w:ascii="Symbol" w:hAnsi="Symbol"/>
      </w:rPr>
    </w:lvl>
    <w:lvl w:ilvl="4" w:tplc="43907B7C">
      <w:start w:val="1"/>
      <w:numFmt w:val="bullet"/>
      <w:lvlText w:val=""/>
      <w:lvlJc w:val="left"/>
      <w:pPr>
        <w:ind w:left="1020" w:hanging="360"/>
      </w:pPr>
      <w:rPr>
        <w:rFonts w:ascii="Symbol" w:hAnsi="Symbol"/>
      </w:rPr>
    </w:lvl>
    <w:lvl w:ilvl="5" w:tplc="B3184594">
      <w:start w:val="1"/>
      <w:numFmt w:val="bullet"/>
      <w:lvlText w:val=""/>
      <w:lvlJc w:val="left"/>
      <w:pPr>
        <w:ind w:left="1020" w:hanging="360"/>
      </w:pPr>
      <w:rPr>
        <w:rFonts w:ascii="Symbol" w:hAnsi="Symbol"/>
      </w:rPr>
    </w:lvl>
    <w:lvl w:ilvl="6" w:tplc="A0822906">
      <w:start w:val="1"/>
      <w:numFmt w:val="bullet"/>
      <w:lvlText w:val=""/>
      <w:lvlJc w:val="left"/>
      <w:pPr>
        <w:ind w:left="1020" w:hanging="360"/>
      </w:pPr>
      <w:rPr>
        <w:rFonts w:ascii="Symbol" w:hAnsi="Symbol"/>
      </w:rPr>
    </w:lvl>
    <w:lvl w:ilvl="7" w:tplc="12F22DAC">
      <w:start w:val="1"/>
      <w:numFmt w:val="bullet"/>
      <w:lvlText w:val=""/>
      <w:lvlJc w:val="left"/>
      <w:pPr>
        <w:ind w:left="1020" w:hanging="360"/>
      </w:pPr>
      <w:rPr>
        <w:rFonts w:ascii="Symbol" w:hAnsi="Symbol"/>
      </w:rPr>
    </w:lvl>
    <w:lvl w:ilvl="8" w:tplc="9E7C9802">
      <w:start w:val="1"/>
      <w:numFmt w:val="bullet"/>
      <w:lvlText w:val=""/>
      <w:lvlJc w:val="left"/>
      <w:pPr>
        <w:ind w:left="1020" w:hanging="360"/>
      </w:pPr>
      <w:rPr>
        <w:rFonts w:ascii="Symbol" w:hAnsi="Symbol"/>
      </w:rPr>
    </w:lvl>
  </w:abstractNum>
  <w:abstractNum w:abstractNumId="24" w15:restartNumberingAfterBreak="0">
    <w:nsid w:val="750751F7"/>
    <w:multiLevelType w:val="hybridMultilevel"/>
    <w:tmpl w:val="859AF110"/>
    <w:lvl w:ilvl="0" w:tplc="9E940D92">
      <w:start w:val="1"/>
      <w:numFmt w:val="bullet"/>
      <w:lvlText w:val=""/>
      <w:lvlJc w:val="left"/>
      <w:pPr>
        <w:ind w:left="1020" w:hanging="360"/>
      </w:pPr>
      <w:rPr>
        <w:rFonts w:ascii="Symbol" w:hAnsi="Symbol"/>
      </w:rPr>
    </w:lvl>
    <w:lvl w:ilvl="1" w:tplc="D9B23810">
      <w:start w:val="1"/>
      <w:numFmt w:val="bullet"/>
      <w:lvlText w:val=""/>
      <w:lvlJc w:val="left"/>
      <w:pPr>
        <w:ind w:left="1020" w:hanging="360"/>
      </w:pPr>
      <w:rPr>
        <w:rFonts w:ascii="Symbol" w:hAnsi="Symbol"/>
      </w:rPr>
    </w:lvl>
    <w:lvl w:ilvl="2" w:tplc="50B22AD6">
      <w:start w:val="1"/>
      <w:numFmt w:val="bullet"/>
      <w:lvlText w:val=""/>
      <w:lvlJc w:val="left"/>
      <w:pPr>
        <w:ind w:left="1020" w:hanging="360"/>
      </w:pPr>
      <w:rPr>
        <w:rFonts w:ascii="Symbol" w:hAnsi="Symbol"/>
      </w:rPr>
    </w:lvl>
    <w:lvl w:ilvl="3" w:tplc="AAEA57C8">
      <w:start w:val="1"/>
      <w:numFmt w:val="bullet"/>
      <w:lvlText w:val=""/>
      <w:lvlJc w:val="left"/>
      <w:pPr>
        <w:ind w:left="1020" w:hanging="360"/>
      </w:pPr>
      <w:rPr>
        <w:rFonts w:ascii="Symbol" w:hAnsi="Symbol"/>
      </w:rPr>
    </w:lvl>
    <w:lvl w:ilvl="4" w:tplc="ECA6401E">
      <w:start w:val="1"/>
      <w:numFmt w:val="bullet"/>
      <w:lvlText w:val=""/>
      <w:lvlJc w:val="left"/>
      <w:pPr>
        <w:ind w:left="1020" w:hanging="360"/>
      </w:pPr>
      <w:rPr>
        <w:rFonts w:ascii="Symbol" w:hAnsi="Symbol"/>
      </w:rPr>
    </w:lvl>
    <w:lvl w:ilvl="5" w:tplc="0FD4B980">
      <w:start w:val="1"/>
      <w:numFmt w:val="bullet"/>
      <w:lvlText w:val=""/>
      <w:lvlJc w:val="left"/>
      <w:pPr>
        <w:ind w:left="1020" w:hanging="360"/>
      </w:pPr>
      <w:rPr>
        <w:rFonts w:ascii="Symbol" w:hAnsi="Symbol"/>
      </w:rPr>
    </w:lvl>
    <w:lvl w:ilvl="6" w:tplc="DABC1280">
      <w:start w:val="1"/>
      <w:numFmt w:val="bullet"/>
      <w:lvlText w:val=""/>
      <w:lvlJc w:val="left"/>
      <w:pPr>
        <w:ind w:left="1020" w:hanging="360"/>
      </w:pPr>
      <w:rPr>
        <w:rFonts w:ascii="Symbol" w:hAnsi="Symbol"/>
      </w:rPr>
    </w:lvl>
    <w:lvl w:ilvl="7" w:tplc="33E2F292">
      <w:start w:val="1"/>
      <w:numFmt w:val="bullet"/>
      <w:lvlText w:val=""/>
      <w:lvlJc w:val="left"/>
      <w:pPr>
        <w:ind w:left="1020" w:hanging="360"/>
      </w:pPr>
      <w:rPr>
        <w:rFonts w:ascii="Symbol" w:hAnsi="Symbol"/>
      </w:rPr>
    </w:lvl>
    <w:lvl w:ilvl="8" w:tplc="4F76F1BE">
      <w:start w:val="1"/>
      <w:numFmt w:val="bullet"/>
      <w:lvlText w:val=""/>
      <w:lvlJc w:val="left"/>
      <w:pPr>
        <w:ind w:left="1020" w:hanging="360"/>
      </w:pPr>
      <w:rPr>
        <w:rFonts w:ascii="Symbol" w:hAnsi="Symbol"/>
      </w:rPr>
    </w:lvl>
  </w:abstractNum>
  <w:abstractNum w:abstractNumId="25" w15:restartNumberingAfterBreak="0">
    <w:nsid w:val="7D742F42"/>
    <w:multiLevelType w:val="hybridMultilevel"/>
    <w:tmpl w:val="6FEAC374"/>
    <w:lvl w:ilvl="0" w:tplc="AA2CFEEE">
      <w:start w:val="1"/>
      <w:numFmt w:val="bullet"/>
      <w:lvlText w:val=""/>
      <w:lvlJc w:val="left"/>
      <w:pPr>
        <w:ind w:left="1020" w:hanging="360"/>
      </w:pPr>
      <w:rPr>
        <w:rFonts w:ascii="Symbol" w:hAnsi="Symbol"/>
      </w:rPr>
    </w:lvl>
    <w:lvl w:ilvl="1" w:tplc="81982874">
      <w:start w:val="1"/>
      <w:numFmt w:val="bullet"/>
      <w:lvlText w:val=""/>
      <w:lvlJc w:val="left"/>
      <w:pPr>
        <w:ind w:left="1020" w:hanging="360"/>
      </w:pPr>
      <w:rPr>
        <w:rFonts w:ascii="Symbol" w:hAnsi="Symbol"/>
      </w:rPr>
    </w:lvl>
    <w:lvl w:ilvl="2" w:tplc="4B0EB248">
      <w:start w:val="1"/>
      <w:numFmt w:val="bullet"/>
      <w:lvlText w:val=""/>
      <w:lvlJc w:val="left"/>
      <w:pPr>
        <w:ind w:left="1020" w:hanging="360"/>
      </w:pPr>
      <w:rPr>
        <w:rFonts w:ascii="Symbol" w:hAnsi="Symbol"/>
      </w:rPr>
    </w:lvl>
    <w:lvl w:ilvl="3" w:tplc="1B26C828">
      <w:start w:val="1"/>
      <w:numFmt w:val="bullet"/>
      <w:lvlText w:val=""/>
      <w:lvlJc w:val="left"/>
      <w:pPr>
        <w:ind w:left="1020" w:hanging="360"/>
      </w:pPr>
      <w:rPr>
        <w:rFonts w:ascii="Symbol" w:hAnsi="Symbol"/>
      </w:rPr>
    </w:lvl>
    <w:lvl w:ilvl="4" w:tplc="4D344D10">
      <w:start w:val="1"/>
      <w:numFmt w:val="bullet"/>
      <w:lvlText w:val=""/>
      <w:lvlJc w:val="left"/>
      <w:pPr>
        <w:ind w:left="1020" w:hanging="360"/>
      </w:pPr>
      <w:rPr>
        <w:rFonts w:ascii="Symbol" w:hAnsi="Symbol"/>
      </w:rPr>
    </w:lvl>
    <w:lvl w:ilvl="5" w:tplc="BB786C70">
      <w:start w:val="1"/>
      <w:numFmt w:val="bullet"/>
      <w:lvlText w:val=""/>
      <w:lvlJc w:val="left"/>
      <w:pPr>
        <w:ind w:left="1020" w:hanging="360"/>
      </w:pPr>
      <w:rPr>
        <w:rFonts w:ascii="Symbol" w:hAnsi="Symbol"/>
      </w:rPr>
    </w:lvl>
    <w:lvl w:ilvl="6" w:tplc="60ECABDE">
      <w:start w:val="1"/>
      <w:numFmt w:val="bullet"/>
      <w:lvlText w:val=""/>
      <w:lvlJc w:val="left"/>
      <w:pPr>
        <w:ind w:left="1020" w:hanging="360"/>
      </w:pPr>
      <w:rPr>
        <w:rFonts w:ascii="Symbol" w:hAnsi="Symbol"/>
      </w:rPr>
    </w:lvl>
    <w:lvl w:ilvl="7" w:tplc="DE587DB6">
      <w:start w:val="1"/>
      <w:numFmt w:val="bullet"/>
      <w:lvlText w:val=""/>
      <w:lvlJc w:val="left"/>
      <w:pPr>
        <w:ind w:left="1020" w:hanging="360"/>
      </w:pPr>
      <w:rPr>
        <w:rFonts w:ascii="Symbol" w:hAnsi="Symbol"/>
      </w:rPr>
    </w:lvl>
    <w:lvl w:ilvl="8" w:tplc="1A582BB4">
      <w:start w:val="1"/>
      <w:numFmt w:val="bullet"/>
      <w:lvlText w:val=""/>
      <w:lvlJc w:val="left"/>
      <w:pPr>
        <w:ind w:left="1020" w:hanging="360"/>
      </w:pPr>
      <w:rPr>
        <w:rFonts w:ascii="Symbol" w:hAnsi="Symbol"/>
      </w:rPr>
    </w:lvl>
  </w:abstractNum>
  <w:abstractNum w:abstractNumId="26" w15:restartNumberingAfterBreak="0">
    <w:nsid w:val="7E2A6345"/>
    <w:multiLevelType w:val="hybridMultilevel"/>
    <w:tmpl w:val="24CC1F72"/>
    <w:lvl w:ilvl="0" w:tplc="CA7EC482">
      <w:start w:val="1"/>
      <w:numFmt w:val="bullet"/>
      <w:lvlText w:val=""/>
      <w:lvlJc w:val="left"/>
      <w:pPr>
        <w:ind w:left="1020" w:hanging="360"/>
      </w:pPr>
      <w:rPr>
        <w:rFonts w:ascii="Symbol" w:hAnsi="Symbol"/>
      </w:rPr>
    </w:lvl>
    <w:lvl w:ilvl="1" w:tplc="42C26550">
      <w:start w:val="1"/>
      <w:numFmt w:val="bullet"/>
      <w:lvlText w:val=""/>
      <w:lvlJc w:val="left"/>
      <w:pPr>
        <w:ind w:left="1020" w:hanging="360"/>
      </w:pPr>
      <w:rPr>
        <w:rFonts w:ascii="Symbol" w:hAnsi="Symbol"/>
      </w:rPr>
    </w:lvl>
    <w:lvl w:ilvl="2" w:tplc="3CA62CFC">
      <w:start w:val="1"/>
      <w:numFmt w:val="bullet"/>
      <w:lvlText w:val=""/>
      <w:lvlJc w:val="left"/>
      <w:pPr>
        <w:ind w:left="1020" w:hanging="360"/>
      </w:pPr>
      <w:rPr>
        <w:rFonts w:ascii="Symbol" w:hAnsi="Symbol"/>
      </w:rPr>
    </w:lvl>
    <w:lvl w:ilvl="3" w:tplc="20C8DB82">
      <w:start w:val="1"/>
      <w:numFmt w:val="bullet"/>
      <w:lvlText w:val=""/>
      <w:lvlJc w:val="left"/>
      <w:pPr>
        <w:ind w:left="1020" w:hanging="360"/>
      </w:pPr>
      <w:rPr>
        <w:rFonts w:ascii="Symbol" w:hAnsi="Symbol"/>
      </w:rPr>
    </w:lvl>
    <w:lvl w:ilvl="4" w:tplc="9528C91A">
      <w:start w:val="1"/>
      <w:numFmt w:val="bullet"/>
      <w:lvlText w:val=""/>
      <w:lvlJc w:val="left"/>
      <w:pPr>
        <w:ind w:left="1020" w:hanging="360"/>
      </w:pPr>
      <w:rPr>
        <w:rFonts w:ascii="Symbol" w:hAnsi="Symbol"/>
      </w:rPr>
    </w:lvl>
    <w:lvl w:ilvl="5" w:tplc="663C9516">
      <w:start w:val="1"/>
      <w:numFmt w:val="bullet"/>
      <w:lvlText w:val=""/>
      <w:lvlJc w:val="left"/>
      <w:pPr>
        <w:ind w:left="1020" w:hanging="360"/>
      </w:pPr>
      <w:rPr>
        <w:rFonts w:ascii="Symbol" w:hAnsi="Symbol"/>
      </w:rPr>
    </w:lvl>
    <w:lvl w:ilvl="6" w:tplc="DBBAECD4">
      <w:start w:val="1"/>
      <w:numFmt w:val="bullet"/>
      <w:lvlText w:val=""/>
      <w:lvlJc w:val="left"/>
      <w:pPr>
        <w:ind w:left="1020" w:hanging="360"/>
      </w:pPr>
      <w:rPr>
        <w:rFonts w:ascii="Symbol" w:hAnsi="Symbol"/>
      </w:rPr>
    </w:lvl>
    <w:lvl w:ilvl="7" w:tplc="46EC41EC">
      <w:start w:val="1"/>
      <w:numFmt w:val="bullet"/>
      <w:lvlText w:val=""/>
      <w:lvlJc w:val="left"/>
      <w:pPr>
        <w:ind w:left="1020" w:hanging="360"/>
      </w:pPr>
      <w:rPr>
        <w:rFonts w:ascii="Symbol" w:hAnsi="Symbol"/>
      </w:rPr>
    </w:lvl>
    <w:lvl w:ilvl="8" w:tplc="7F848132">
      <w:start w:val="1"/>
      <w:numFmt w:val="bullet"/>
      <w:lvlText w:val=""/>
      <w:lvlJc w:val="left"/>
      <w:pPr>
        <w:ind w:left="1020" w:hanging="360"/>
      </w:pPr>
      <w:rPr>
        <w:rFonts w:ascii="Symbol" w:hAnsi="Symbol"/>
      </w:rPr>
    </w:lvl>
  </w:abstractNum>
  <w:abstractNum w:abstractNumId="27" w15:restartNumberingAfterBreak="0">
    <w:nsid w:val="7FCF6B0E"/>
    <w:multiLevelType w:val="hybridMultilevel"/>
    <w:tmpl w:val="8B98CE2A"/>
    <w:lvl w:ilvl="0" w:tplc="97B43B78">
      <w:start w:val="1"/>
      <w:numFmt w:val="bullet"/>
      <w:lvlText w:val=""/>
      <w:lvlJc w:val="left"/>
      <w:pPr>
        <w:ind w:left="1020" w:hanging="360"/>
      </w:pPr>
      <w:rPr>
        <w:rFonts w:ascii="Symbol" w:hAnsi="Symbol"/>
      </w:rPr>
    </w:lvl>
    <w:lvl w:ilvl="1" w:tplc="E10657F0">
      <w:start w:val="1"/>
      <w:numFmt w:val="bullet"/>
      <w:lvlText w:val=""/>
      <w:lvlJc w:val="left"/>
      <w:pPr>
        <w:ind w:left="1020" w:hanging="360"/>
      </w:pPr>
      <w:rPr>
        <w:rFonts w:ascii="Symbol" w:hAnsi="Symbol"/>
      </w:rPr>
    </w:lvl>
    <w:lvl w:ilvl="2" w:tplc="2B7E0714">
      <w:start w:val="1"/>
      <w:numFmt w:val="bullet"/>
      <w:lvlText w:val=""/>
      <w:lvlJc w:val="left"/>
      <w:pPr>
        <w:ind w:left="1020" w:hanging="360"/>
      </w:pPr>
      <w:rPr>
        <w:rFonts w:ascii="Symbol" w:hAnsi="Symbol"/>
      </w:rPr>
    </w:lvl>
    <w:lvl w:ilvl="3" w:tplc="C994B2B8">
      <w:start w:val="1"/>
      <w:numFmt w:val="bullet"/>
      <w:lvlText w:val=""/>
      <w:lvlJc w:val="left"/>
      <w:pPr>
        <w:ind w:left="1020" w:hanging="360"/>
      </w:pPr>
      <w:rPr>
        <w:rFonts w:ascii="Symbol" w:hAnsi="Symbol"/>
      </w:rPr>
    </w:lvl>
    <w:lvl w:ilvl="4" w:tplc="ACB639C8">
      <w:start w:val="1"/>
      <w:numFmt w:val="bullet"/>
      <w:lvlText w:val=""/>
      <w:lvlJc w:val="left"/>
      <w:pPr>
        <w:ind w:left="1020" w:hanging="360"/>
      </w:pPr>
      <w:rPr>
        <w:rFonts w:ascii="Symbol" w:hAnsi="Symbol"/>
      </w:rPr>
    </w:lvl>
    <w:lvl w:ilvl="5" w:tplc="13FCE856">
      <w:start w:val="1"/>
      <w:numFmt w:val="bullet"/>
      <w:lvlText w:val=""/>
      <w:lvlJc w:val="left"/>
      <w:pPr>
        <w:ind w:left="1020" w:hanging="360"/>
      </w:pPr>
      <w:rPr>
        <w:rFonts w:ascii="Symbol" w:hAnsi="Symbol"/>
      </w:rPr>
    </w:lvl>
    <w:lvl w:ilvl="6" w:tplc="B75254FA">
      <w:start w:val="1"/>
      <w:numFmt w:val="bullet"/>
      <w:lvlText w:val=""/>
      <w:lvlJc w:val="left"/>
      <w:pPr>
        <w:ind w:left="1020" w:hanging="360"/>
      </w:pPr>
      <w:rPr>
        <w:rFonts w:ascii="Symbol" w:hAnsi="Symbol"/>
      </w:rPr>
    </w:lvl>
    <w:lvl w:ilvl="7" w:tplc="7E4226BE">
      <w:start w:val="1"/>
      <w:numFmt w:val="bullet"/>
      <w:lvlText w:val=""/>
      <w:lvlJc w:val="left"/>
      <w:pPr>
        <w:ind w:left="1020" w:hanging="360"/>
      </w:pPr>
      <w:rPr>
        <w:rFonts w:ascii="Symbol" w:hAnsi="Symbol"/>
      </w:rPr>
    </w:lvl>
    <w:lvl w:ilvl="8" w:tplc="A50EA6BE">
      <w:start w:val="1"/>
      <w:numFmt w:val="bullet"/>
      <w:lvlText w:val=""/>
      <w:lvlJc w:val="left"/>
      <w:pPr>
        <w:ind w:left="1020" w:hanging="360"/>
      </w:pPr>
      <w:rPr>
        <w:rFonts w:ascii="Symbol" w:hAnsi="Symbol"/>
      </w:rPr>
    </w:lvl>
  </w:abstractNum>
  <w:num w:numId="1" w16cid:durableId="639068682">
    <w:abstractNumId w:val="21"/>
  </w:num>
  <w:num w:numId="2" w16cid:durableId="1449353761">
    <w:abstractNumId w:val="19"/>
  </w:num>
  <w:num w:numId="3" w16cid:durableId="1020199266">
    <w:abstractNumId w:val="20"/>
  </w:num>
  <w:num w:numId="4" w16cid:durableId="963736750">
    <w:abstractNumId w:val="8"/>
  </w:num>
  <w:num w:numId="5" w16cid:durableId="321664897">
    <w:abstractNumId w:val="2"/>
  </w:num>
  <w:num w:numId="6" w16cid:durableId="1967655840">
    <w:abstractNumId w:val="11"/>
  </w:num>
  <w:num w:numId="7" w16cid:durableId="420561912">
    <w:abstractNumId w:val="18"/>
  </w:num>
  <w:num w:numId="8" w16cid:durableId="85809397">
    <w:abstractNumId w:val="13"/>
  </w:num>
  <w:num w:numId="9" w16cid:durableId="2140803755">
    <w:abstractNumId w:val="0"/>
  </w:num>
  <w:num w:numId="10" w16cid:durableId="2048022920">
    <w:abstractNumId w:val="16"/>
  </w:num>
  <w:num w:numId="11" w16cid:durableId="1865631881">
    <w:abstractNumId w:val="14"/>
  </w:num>
  <w:num w:numId="12" w16cid:durableId="1788308508">
    <w:abstractNumId w:val="12"/>
  </w:num>
  <w:num w:numId="13" w16cid:durableId="999967522">
    <w:abstractNumId w:val="10"/>
  </w:num>
  <w:num w:numId="14" w16cid:durableId="1017579458">
    <w:abstractNumId w:val="27"/>
  </w:num>
  <w:num w:numId="15" w16cid:durableId="1879000900">
    <w:abstractNumId w:val="17"/>
  </w:num>
  <w:num w:numId="16" w16cid:durableId="408620631">
    <w:abstractNumId w:val="23"/>
  </w:num>
  <w:num w:numId="17" w16cid:durableId="1624456710">
    <w:abstractNumId w:val="24"/>
  </w:num>
  <w:num w:numId="18" w16cid:durableId="1998802860">
    <w:abstractNumId w:val="9"/>
  </w:num>
  <w:num w:numId="19" w16cid:durableId="2072001216">
    <w:abstractNumId w:val="26"/>
  </w:num>
  <w:num w:numId="20" w16cid:durableId="649217387">
    <w:abstractNumId w:val="6"/>
  </w:num>
  <w:num w:numId="21" w16cid:durableId="2030327280">
    <w:abstractNumId w:val="25"/>
  </w:num>
  <w:num w:numId="22" w16cid:durableId="2101100724">
    <w:abstractNumId w:val="5"/>
  </w:num>
  <w:num w:numId="23" w16cid:durableId="342784700">
    <w:abstractNumId w:val="3"/>
  </w:num>
  <w:num w:numId="24" w16cid:durableId="346561693">
    <w:abstractNumId w:val="7"/>
  </w:num>
  <w:num w:numId="25" w16cid:durableId="727416149">
    <w:abstractNumId w:val="1"/>
  </w:num>
  <w:num w:numId="26" w16cid:durableId="2132627076">
    <w:abstractNumId w:val="22"/>
  </w:num>
  <w:num w:numId="27" w16cid:durableId="1857185621">
    <w:abstractNumId w:val="4"/>
  </w:num>
  <w:num w:numId="28" w16cid:durableId="1181974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ED"/>
    <w:rsid w:val="00001078"/>
    <w:rsid w:val="00001450"/>
    <w:rsid w:val="00002E34"/>
    <w:rsid w:val="0000525C"/>
    <w:rsid w:val="00010C89"/>
    <w:rsid w:val="00011F4D"/>
    <w:rsid w:val="000134F9"/>
    <w:rsid w:val="000137D2"/>
    <w:rsid w:val="00013CC5"/>
    <w:rsid w:val="000142B7"/>
    <w:rsid w:val="00014A3D"/>
    <w:rsid w:val="00014F26"/>
    <w:rsid w:val="00015A61"/>
    <w:rsid w:val="00017288"/>
    <w:rsid w:val="0001773A"/>
    <w:rsid w:val="000203AF"/>
    <w:rsid w:val="000208EC"/>
    <w:rsid w:val="0002277F"/>
    <w:rsid w:val="0002324C"/>
    <w:rsid w:val="00023762"/>
    <w:rsid w:val="0002548B"/>
    <w:rsid w:val="00026BA0"/>
    <w:rsid w:val="0002759B"/>
    <w:rsid w:val="00027C7F"/>
    <w:rsid w:val="00032261"/>
    <w:rsid w:val="00034BCA"/>
    <w:rsid w:val="00036AC9"/>
    <w:rsid w:val="00036BA2"/>
    <w:rsid w:val="000415C6"/>
    <w:rsid w:val="00041B35"/>
    <w:rsid w:val="0004331C"/>
    <w:rsid w:val="00044984"/>
    <w:rsid w:val="00046601"/>
    <w:rsid w:val="000467E1"/>
    <w:rsid w:val="00047327"/>
    <w:rsid w:val="00047FD4"/>
    <w:rsid w:val="000511D9"/>
    <w:rsid w:val="00052AED"/>
    <w:rsid w:val="00053956"/>
    <w:rsid w:val="000539FD"/>
    <w:rsid w:val="00055CCC"/>
    <w:rsid w:val="00055FB0"/>
    <w:rsid w:val="00056878"/>
    <w:rsid w:val="00056891"/>
    <w:rsid w:val="0005744B"/>
    <w:rsid w:val="000576E1"/>
    <w:rsid w:val="00061B74"/>
    <w:rsid w:val="000626D0"/>
    <w:rsid w:val="00065E6F"/>
    <w:rsid w:val="00066476"/>
    <w:rsid w:val="00070234"/>
    <w:rsid w:val="000711DA"/>
    <w:rsid w:val="00085175"/>
    <w:rsid w:val="00087618"/>
    <w:rsid w:val="00091C91"/>
    <w:rsid w:val="0009350E"/>
    <w:rsid w:val="00097395"/>
    <w:rsid w:val="000977A8"/>
    <w:rsid w:val="00097F12"/>
    <w:rsid w:val="000A0A91"/>
    <w:rsid w:val="000A2515"/>
    <w:rsid w:val="000A2855"/>
    <w:rsid w:val="000A353C"/>
    <w:rsid w:val="000A413A"/>
    <w:rsid w:val="000B16B6"/>
    <w:rsid w:val="000B19C9"/>
    <w:rsid w:val="000B2438"/>
    <w:rsid w:val="000B2A72"/>
    <w:rsid w:val="000B31E5"/>
    <w:rsid w:val="000B3CE9"/>
    <w:rsid w:val="000B6E31"/>
    <w:rsid w:val="000B707B"/>
    <w:rsid w:val="000C259C"/>
    <w:rsid w:val="000C28EA"/>
    <w:rsid w:val="000C2D51"/>
    <w:rsid w:val="000C2E85"/>
    <w:rsid w:val="000D19E7"/>
    <w:rsid w:val="000D1E9B"/>
    <w:rsid w:val="000E2427"/>
    <w:rsid w:val="000E4355"/>
    <w:rsid w:val="000E53D1"/>
    <w:rsid w:val="000E5A54"/>
    <w:rsid w:val="000F09A2"/>
    <w:rsid w:val="000F2EAD"/>
    <w:rsid w:val="000F30C0"/>
    <w:rsid w:val="000F3386"/>
    <w:rsid w:val="000F513F"/>
    <w:rsid w:val="001011D4"/>
    <w:rsid w:val="00104B9F"/>
    <w:rsid w:val="00105C2B"/>
    <w:rsid w:val="00106331"/>
    <w:rsid w:val="001079E9"/>
    <w:rsid w:val="00110BB6"/>
    <w:rsid w:val="00111F91"/>
    <w:rsid w:val="0011228C"/>
    <w:rsid w:val="00113749"/>
    <w:rsid w:val="0012042D"/>
    <w:rsid w:val="00121A8B"/>
    <w:rsid w:val="001240E7"/>
    <w:rsid w:val="001263BE"/>
    <w:rsid w:val="00127BBC"/>
    <w:rsid w:val="001306DF"/>
    <w:rsid w:val="00130E35"/>
    <w:rsid w:val="00131220"/>
    <w:rsid w:val="00132702"/>
    <w:rsid w:val="00132FA5"/>
    <w:rsid w:val="001332A4"/>
    <w:rsid w:val="00137053"/>
    <w:rsid w:val="00140DEB"/>
    <w:rsid w:val="001472EC"/>
    <w:rsid w:val="0014772B"/>
    <w:rsid w:val="00147F24"/>
    <w:rsid w:val="00150497"/>
    <w:rsid w:val="001512C2"/>
    <w:rsid w:val="001534F1"/>
    <w:rsid w:val="001540F8"/>
    <w:rsid w:val="00154FB4"/>
    <w:rsid w:val="001552D8"/>
    <w:rsid w:val="001569DC"/>
    <w:rsid w:val="00156B8C"/>
    <w:rsid w:val="00157688"/>
    <w:rsid w:val="00157919"/>
    <w:rsid w:val="00161B0F"/>
    <w:rsid w:val="00162166"/>
    <w:rsid w:val="00162A8D"/>
    <w:rsid w:val="00162B8C"/>
    <w:rsid w:val="00162E81"/>
    <w:rsid w:val="0016417C"/>
    <w:rsid w:val="00165641"/>
    <w:rsid w:val="00171DA0"/>
    <w:rsid w:val="001726F3"/>
    <w:rsid w:val="00173321"/>
    <w:rsid w:val="00173651"/>
    <w:rsid w:val="001739EC"/>
    <w:rsid w:val="0017510E"/>
    <w:rsid w:val="00176B04"/>
    <w:rsid w:val="00177131"/>
    <w:rsid w:val="00184387"/>
    <w:rsid w:val="001848DE"/>
    <w:rsid w:val="00186292"/>
    <w:rsid w:val="0019056F"/>
    <w:rsid w:val="00191148"/>
    <w:rsid w:val="00193082"/>
    <w:rsid w:val="00195CD3"/>
    <w:rsid w:val="001A1E06"/>
    <w:rsid w:val="001A2C2D"/>
    <w:rsid w:val="001A3343"/>
    <w:rsid w:val="001A7C9B"/>
    <w:rsid w:val="001B1461"/>
    <w:rsid w:val="001B31F3"/>
    <w:rsid w:val="001B3B1A"/>
    <w:rsid w:val="001B49C1"/>
    <w:rsid w:val="001B5A34"/>
    <w:rsid w:val="001B77A9"/>
    <w:rsid w:val="001C0E93"/>
    <w:rsid w:val="001C31D3"/>
    <w:rsid w:val="001C3E42"/>
    <w:rsid w:val="001C48DD"/>
    <w:rsid w:val="001C5525"/>
    <w:rsid w:val="001C7438"/>
    <w:rsid w:val="001D242F"/>
    <w:rsid w:val="001D3A57"/>
    <w:rsid w:val="001D607E"/>
    <w:rsid w:val="001E18A2"/>
    <w:rsid w:val="001E3DC4"/>
    <w:rsid w:val="001E6A24"/>
    <w:rsid w:val="001F38F4"/>
    <w:rsid w:val="001F3C37"/>
    <w:rsid w:val="001F5390"/>
    <w:rsid w:val="00202005"/>
    <w:rsid w:val="002044E9"/>
    <w:rsid w:val="0020614B"/>
    <w:rsid w:val="00206D98"/>
    <w:rsid w:val="00210EDF"/>
    <w:rsid w:val="002129B9"/>
    <w:rsid w:val="00215FE0"/>
    <w:rsid w:val="00222054"/>
    <w:rsid w:val="00222E62"/>
    <w:rsid w:val="00223462"/>
    <w:rsid w:val="00224895"/>
    <w:rsid w:val="00225EB0"/>
    <w:rsid w:val="00226982"/>
    <w:rsid w:val="00227B92"/>
    <w:rsid w:val="00227DCA"/>
    <w:rsid w:val="002333E4"/>
    <w:rsid w:val="0023436B"/>
    <w:rsid w:val="00240E6E"/>
    <w:rsid w:val="00243E1E"/>
    <w:rsid w:val="00244101"/>
    <w:rsid w:val="00244FFD"/>
    <w:rsid w:val="00247CEF"/>
    <w:rsid w:val="00251CDF"/>
    <w:rsid w:val="00252C02"/>
    <w:rsid w:val="00253521"/>
    <w:rsid w:val="00253D1A"/>
    <w:rsid w:val="00254858"/>
    <w:rsid w:val="00255426"/>
    <w:rsid w:val="00255F22"/>
    <w:rsid w:val="00260317"/>
    <w:rsid w:val="00261CEE"/>
    <w:rsid w:val="00262AFB"/>
    <w:rsid w:val="00264EC4"/>
    <w:rsid w:val="00266551"/>
    <w:rsid w:val="00267D00"/>
    <w:rsid w:val="00270EE9"/>
    <w:rsid w:val="00271290"/>
    <w:rsid w:val="00271AEB"/>
    <w:rsid w:val="0027406F"/>
    <w:rsid w:val="002742E7"/>
    <w:rsid w:val="00274AC2"/>
    <w:rsid w:val="00275B1E"/>
    <w:rsid w:val="0028025B"/>
    <w:rsid w:val="00280725"/>
    <w:rsid w:val="00280F65"/>
    <w:rsid w:val="00282DC7"/>
    <w:rsid w:val="00284C45"/>
    <w:rsid w:val="002869D9"/>
    <w:rsid w:val="002879B6"/>
    <w:rsid w:val="00290873"/>
    <w:rsid w:val="0029170C"/>
    <w:rsid w:val="002917AE"/>
    <w:rsid w:val="00291DDE"/>
    <w:rsid w:val="002942FE"/>
    <w:rsid w:val="00294579"/>
    <w:rsid w:val="00294F12"/>
    <w:rsid w:val="00295770"/>
    <w:rsid w:val="00297371"/>
    <w:rsid w:val="002A1507"/>
    <w:rsid w:val="002A2031"/>
    <w:rsid w:val="002A3B93"/>
    <w:rsid w:val="002A66DE"/>
    <w:rsid w:val="002A6C08"/>
    <w:rsid w:val="002B205A"/>
    <w:rsid w:val="002B4D48"/>
    <w:rsid w:val="002B61FE"/>
    <w:rsid w:val="002B6463"/>
    <w:rsid w:val="002B73DF"/>
    <w:rsid w:val="002C0C16"/>
    <w:rsid w:val="002C14C8"/>
    <w:rsid w:val="002C517C"/>
    <w:rsid w:val="002C5A5E"/>
    <w:rsid w:val="002C7879"/>
    <w:rsid w:val="002C7ECD"/>
    <w:rsid w:val="002D3E20"/>
    <w:rsid w:val="002D4907"/>
    <w:rsid w:val="002D7BE4"/>
    <w:rsid w:val="002D7F6D"/>
    <w:rsid w:val="002E210D"/>
    <w:rsid w:val="002E31F3"/>
    <w:rsid w:val="002E3884"/>
    <w:rsid w:val="002E5335"/>
    <w:rsid w:val="002E70DE"/>
    <w:rsid w:val="002F0034"/>
    <w:rsid w:val="002F05A9"/>
    <w:rsid w:val="002F1628"/>
    <w:rsid w:val="002F1E73"/>
    <w:rsid w:val="002F20DA"/>
    <w:rsid w:val="002F23A9"/>
    <w:rsid w:val="002F2F38"/>
    <w:rsid w:val="0030084E"/>
    <w:rsid w:val="0030085C"/>
    <w:rsid w:val="00301D76"/>
    <w:rsid w:val="00305AFC"/>
    <w:rsid w:val="00305FF8"/>
    <w:rsid w:val="00306B15"/>
    <w:rsid w:val="003107B8"/>
    <w:rsid w:val="00310A5A"/>
    <w:rsid w:val="00311B41"/>
    <w:rsid w:val="003122A7"/>
    <w:rsid w:val="003127A5"/>
    <w:rsid w:val="00314F38"/>
    <w:rsid w:val="003153A2"/>
    <w:rsid w:val="003161C5"/>
    <w:rsid w:val="003201FD"/>
    <w:rsid w:val="003203BC"/>
    <w:rsid w:val="00320C82"/>
    <w:rsid w:val="00321A3F"/>
    <w:rsid w:val="00327E3F"/>
    <w:rsid w:val="00331ED5"/>
    <w:rsid w:val="0033560D"/>
    <w:rsid w:val="00335B0B"/>
    <w:rsid w:val="00336D72"/>
    <w:rsid w:val="003374D1"/>
    <w:rsid w:val="0033751B"/>
    <w:rsid w:val="0034379A"/>
    <w:rsid w:val="00344F58"/>
    <w:rsid w:val="0034694B"/>
    <w:rsid w:val="0034712E"/>
    <w:rsid w:val="003479E0"/>
    <w:rsid w:val="003503CB"/>
    <w:rsid w:val="00350710"/>
    <w:rsid w:val="003533EB"/>
    <w:rsid w:val="00354404"/>
    <w:rsid w:val="0035628B"/>
    <w:rsid w:val="00356427"/>
    <w:rsid w:val="0035714A"/>
    <w:rsid w:val="0036086B"/>
    <w:rsid w:val="00361279"/>
    <w:rsid w:val="00361F94"/>
    <w:rsid w:val="00362BC5"/>
    <w:rsid w:val="0036662A"/>
    <w:rsid w:val="00370991"/>
    <w:rsid w:val="00377036"/>
    <w:rsid w:val="0038073F"/>
    <w:rsid w:val="00382790"/>
    <w:rsid w:val="00384FE2"/>
    <w:rsid w:val="00385AB9"/>
    <w:rsid w:val="00390AC8"/>
    <w:rsid w:val="00392AA6"/>
    <w:rsid w:val="00392FB5"/>
    <w:rsid w:val="003969B3"/>
    <w:rsid w:val="003A115B"/>
    <w:rsid w:val="003A1241"/>
    <w:rsid w:val="003A1B7C"/>
    <w:rsid w:val="003A28D3"/>
    <w:rsid w:val="003A5B1F"/>
    <w:rsid w:val="003A6428"/>
    <w:rsid w:val="003B0032"/>
    <w:rsid w:val="003B158B"/>
    <w:rsid w:val="003B29B1"/>
    <w:rsid w:val="003B5F3F"/>
    <w:rsid w:val="003C01F7"/>
    <w:rsid w:val="003C2CF4"/>
    <w:rsid w:val="003C3B66"/>
    <w:rsid w:val="003C46B1"/>
    <w:rsid w:val="003C46DC"/>
    <w:rsid w:val="003C7514"/>
    <w:rsid w:val="003D063D"/>
    <w:rsid w:val="003D0BC4"/>
    <w:rsid w:val="003D1368"/>
    <w:rsid w:val="003D40A8"/>
    <w:rsid w:val="003D4C60"/>
    <w:rsid w:val="003D5389"/>
    <w:rsid w:val="003E0E27"/>
    <w:rsid w:val="003E1A5B"/>
    <w:rsid w:val="003E227E"/>
    <w:rsid w:val="003E411B"/>
    <w:rsid w:val="003E436F"/>
    <w:rsid w:val="003F16D6"/>
    <w:rsid w:val="003F34BE"/>
    <w:rsid w:val="003F4133"/>
    <w:rsid w:val="003F572B"/>
    <w:rsid w:val="003F7221"/>
    <w:rsid w:val="003F737F"/>
    <w:rsid w:val="003F7AC6"/>
    <w:rsid w:val="003F7F35"/>
    <w:rsid w:val="00401D79"/>
    <w:rsid w:val="004027E7"/>
    <w:rsid w:val="00402B6F"/>
    <w:rsid w:val="00402CF7"/>
    <w:rsid w:val="00404240"/>
    <w:rsid w:val="004042F0"/>
    <w:rsid w:val="00404E6C"/>
    <w:rsid w:val="0040594C"/>
    <w:rsid w:val="004061D0"/>
    <w:rsid w:val="004108E3"/>
    <w:rsid w:val="00413774"/>
    <w:rsid w:val="00415B7C"/>
    <w:rsid w:val="00415FB7"/>
    <w:rsid w:val="00416B26"/>
    <w:rsid w:val="0042359B"/>
    <w:rsid w:val="00424C21"/>
    <w:rsid w:val="00425491"/>
    <w:rsid w:val="00426AF0"/>
    <w:rsid w:val="00431807"/>
    <w:rsid w:val="0043201C"/>
    <w:rsid w:val="0043312E"/>
    <w:rsid w:val="00435E3C"/>
    <w:rsid w:val="004379EF"/>
    <w:rsid w:val="0044095D"/>
    <w:rsid w:val="0044188B"/>
    <w:rsid w:val="00443952"/>
    <w:rsid w:val="0044544B"/>
    <w:rsid w:val="00447942"/>
    <w:rsid w:val="0045046D"/>
    <w:rsid w:val="00450668"/>
    <w:rsid w:val="00450695"/>
    <w:rsid w:val="00450BEB"/>
    <w:rsid w:val="00451F3F"/>
    <w:rsid w:val="004540F0"/>
    <w:rsid w:val="00454915"/>
    <w:rsid w:val="0045492C"/>
    <w:rsid w:val="00455FEE"/>
    <w:rsid w:val="00456E45"/>
    <w:rsid w:val="00457A53"/>
    <w:rsid w:val="00460760"/>
    <w:rsid w:val="00463F3A"/>
    <w:rsid w:val="004662DF"/>
    <w:rsid w:val="00467712"/>
    <w:rsid w:val="004701EA"/>
    <w:rsid w:val="00470F70"/>
    <w:rsid w:val="00475C15"/>
    <w:rsid w:val="004811FE"/>
    <w:rsid w:val="00481EE5"/>
    <w:rsid w:val="004821F3"/>
    <w:rsid w:val="00484257"/>
    <w:rsid w:val="00484920"/>
    <w:rsid w:val="00484F9B"/>
    <w:rsid w:val="004859A7"/>
    <w:rsid w:val="004921C3"/>
    <w:rsid w:val="00492213"/>
    <w:rsid w:val="0049340A"/>
    <w:rsid w:val="004A02E1"/>
    <w:rsid w:val="004A18E6"/>
    <w:rsid w:val="004A3E1D"/>
    <w:rsid w:val="004A40C8"/>
    <w:rsid w:val="004A5B67"/>
    <w:rsid w:val="004A5BD2"/>
    <w:rsid w:val="004A5C98"/>
    <w:rsid w:val="004A6174"/>
    <w:rsid w:val="004A751D"/>
    <w:rsid w:val="004B068F"/>
    <w:rsid w:val="004B166A"/>
    <w:rsid w:val="004B2B51"/>
    <w:rsid w:val="004B2F5C"/>
    <w:rsid w:val="004B3031"/>
    <w:rsid w:val="004B565D"/>
    <w:rsid w:val="004C2437"/>
    <w:rsid w:val="004C3DB4"/>
    <w:rsid w:val="004C4F73"/>
    <w:rsid w:val="004C7BD5"/>
    <w:rsid w:val="004D189C"/>
    <w:rsid w:val="004D31F0"/>
    <w:rsid w:val="004E1B76"/>
    <w:rsid w:val="004E63E8"/>
    <w:rsid w:val="004F20A9"/>
    <w:rsid w:val="004F3E3E"/>
    <w:rsid w:val="004F42E8"/>
    <w:rsid w:val="004F4444"/>
    <w:rsid w:val="004F5068"/>
    <w:rsid w:val="004F55EE"/>
    <w:rsid w:val="004F5875"/>
    <w:rsid w:val="004F7F6D"/>
    <w:rsid w:val="00500A7B"/>
    <w:rsid w:val="00501387"/>
    <w:rsid w:val="00501FA4"/>
    <w:rsid w:val="00504AB7"/>
    <w:rsid w:val="00505231"/>
    <w:rsid w:val="00514412"/>
    <w:rsid w:val="00515CA6"/>
    <w:rsid w:val="00516B4F"/>
    <w:rsid w:val="00520BD7"/>
    <w:rsid w:val="00523ACD"/>
    <w:rsid w:val="00523D68"/>
    <w:rsid w:val="005240BC"/>
    <w:rsid w:val="00526973"/>
    <w:rsid w:val="0053011B"/>
    <w:rsid w:val="0053034D"/>
    <w:rsid w:val="00531F05"/>
    <w:rsid w:val="00533811"/>
    <w:rsid w:val="0053437E"/>
    <w:rsid w:val="0053450C"/>
    <w:rsid w:val="0053574E"/>
    <w:rsid w:val="00537AE2"/>
    <w:rsid w:val="00540E81"/>
    <w:rsid w:val="00543DDF"/>
    <w:rsid w:val="00544EE6"/>
    <w:rsid w:val="00546F26"/>
    <w:rsid w:val="0055025B"/>
    <w:rsid w:val="005509F8"/>
    <w:rsid w:val="00555FF2"/>
    <w:rsid w:val="00556733"/>
    <w:rsid w:val="00557880"/>
    <w:rsid w:val="005606C0"/>
    <w:rsid w:val="00560FBF"/>
    <w:rsid w:val="00563F75"/>
    <w:rsid w:val="005641D1"/>
    <w:rsid w:val="005641EA"/>
    <w:rsid w:val="0057272E"/>
    <w:rsid w:val="0057279A"/>
    <w:rsid w:val="00576C5F"/>
    <w:rsid w:val="005830A3"/>
    <w:rsid w:val="00585243"/>
    <w:rsid w:val="00586B10"/>
    <w:rsid w:val="00587733"/>
    <w:rsid w:val="005974C0"/>
    <w:rsid w:val="00597631"/>
    <w:rsid w:val="00597DDE"/>
    <w:rsid w:val="005A014A"/>
    <w:rsid w:val="005A2C88"/>
    <w:rsid w:val="005A3417"/>
    <w:rsid w:val="005A3A84"/>
    <w:rsid w:val="005A47E1"/>
    <w:rsid w:val="005A4F1E"/>
    <w:rsid w:val="005A7B36"/>
    <w:rsid w:val="005B0BBB"/>
    <w:rsid w:val="005B2C67"/>
    <w:rsid w:val="005C0F46"/>
    <w:rsid w:val="005C2AC2"/>
    <w:rsid w:val="005C308E"/>
    <w:rsid w:val="005C3654"/>
    <w:rsid w:val="005C4016"/>
    <w:rsid w:val="005C4955"/>
    <w:rsid w:val="005C4B6A"/>
    <w:rsid w:val="005C7650"/>
    <w:rsid w:val="005D2303"/>
    <w:rsid w:val="005D2A7C"/>
    <w:rsid w:val="005D574B"/>
    <w:rsid w:val="005D7343"/>
    <w:rsid w:val="005D7822"/>
    <w:rsid w:val="005E3045"/>
    <w:rsid w:val="005E4231"/>
    <w:rsid w:val="005E5919"/>
    <w:rsid w:val="005E67B6"/>
    <w:rsid w:val="005F04B9"/>
    <w:rsid w:val="005F120D"/>
    <w:rsid w:val="005F4860"/>
    <w:rsid w:val="005F6598"/>
    <w:rsid w:val="005F66DC"/>
    <w:rsid w:val="005F75FB"/>
    <w:rsid w:val="00601160"/>
    <w:rsid w:val="00607F8F"/>
    <w:rsid w:val="00610263"/>
    <w:rsid w:val="0061101D"/>
    <w:rsid w:val="00611674"/>
    <w:rsid w:val="00611BF4"/>
    <w:rsid w:val="006124DD"/>
    <w:rsid w:val="006127CD"/>
    <w:rsid w:val="00612BEB"/>
    <w:rsid w:val="00615864"/>
    <w:rsid w:val="006161FD"/>
    <w:rsid w:val="00616896"/>
    <w:rsid w:val="00616DB9"/>
    <w:rsid w:val="00617933"/>
    <w:rsid w:val="00617A36"/>
    <w:rsid w:val="006214CB"/>
    <w:rsid w:val="006215EB"/>
    <w:rsid w:val="00623642"/>
    <w:rsid w:val="00624F5A"/>
    <w:rsid w:val="00625B89"/>
    <w:rsid w:val="006335CD"/>
    <w:rsid w:val="006355FC"/>
    <w:rsid w:val="006364D8"/>
    <w:rsid w:val="0063791E"/>
    <w:rsid w:val="00637D1D"/>
    <w:rsid w:val="00637FD9"/>
    <w:rsid w:val="00641949"/>
    <w:rsid w:val="00642065"/>
    <w:rsid w:val="00643517"/>
    <w:rsid w:val="006439E9"/>
    <w:rsid w:val="00644746"/>
    <w:rsid w:val="0064627F"/>
    <w:rsid w:val="00646EB1"/>
    <w:rsid w:val="0064774B"/>
    <w:rsid w:val="00653829"/>
    <w:rsid w:val="00655287"/>
    <w:rsid w:val="006553F2"/>
    <w:rsid w:val="00655B60"/>
    <w:rsid w:val="00656600"/>
    <w:rsid w:val="00656622"/>
    <w:rsid w:val="006627C8"/>
    <w:rsid w:val="00665003"/>
    <w:rsid w:val="00667F89"/>
    <w:rsid w:val="00670589"/>
    <w:rsid w:val="00671FED"/>
    <w:rsid w:val="00672E33"/>
    <w:rsid w:val="006754D5"/>
    <w:rsid w:val="0067743C"/>
    <w:rsid w:val="00677F60"/>
    <w:rsid w:val="00682249"/>
    <w:rsid w:val="00685972"/>
    <w:rsid w:val="00686EA8"/>
    <w:rsid w:val="006870B0"/>
    <w:rsid w:val="0069034A"/>
    <w:rsid w:val="0069396F"/>
    <w:rsid w:val="00695F3A"/>
    <w:rsid w:val="00697548"/>
    <w:rsid w:val="006A2BB3"/>
    <w:rsid w:val="006A31E4"/>
    <w:rsid w:val="006A3418"/>
    <w:rsid w:val="006A3E2F"/>
    <w:rsid w:val="006A43ED"/>
    <w:rsid w:val="006A4545"/>
    <w:rsid w:val="006B3486"/>
    <w:rsid w:val="006B4A24"/>
    <w:rsid w:val="006B4A42"/>
    <w:rsid w:val="006B60A6"/>
    <w:rsid w:val="006C5319"/>
    <w:rsid w:val="006C6CB8"/>
    <w:rsid w:val="006D219D"/>
    <w:rsid w:val="006D4BBE"/>
    <w:rsid w:val="006D6E23"/>
    <w:rsid w:val="006E0792"/>
    <w:rsid w:val="006E3349"/>
    <w:rsid w:val="006E5FF5"/>
    <w:rsid w:val="006F091B"/>
    <w:rsid w:val="006F21B1"/>
    <w:rsid w:val="006F2A44"/>
    <w:rsid w:val="00700853"/>
    <w:rsid w:val="00702A1B"/>
    <w:rsid w:val="007038B8"/>
    <w:rsid w:val="0070429F"/>
    <w:rsid w:val="00706E13"/>
    <w:rsid w:val="007077E6"/>
    <w:rsid w:val="00710AB6"/>
    <w:rsid w:val="00710DBA"/>
    <w:rsid w:val="0071412B"/>
    <w:rsid w:val="00715B79"/>
    <w:rsid w:val="00716AAF"/>
    <w:rsid w:val="00717C12"/>
    <w:rsid w:val="00723ED6"/>
    <w:rsid w:val="007277B0"/>
    <w:rsid w:val="00727CC4"/>
    <w:rsid w:val="0073054C"/>
    <w:rsid w:val="00732703"/>
    <w:rsid w:val="00733B1C"/>
    <w:rsid w:val="00733CE3"/>
    <w:rsid w:val="00735D92"/>
    <w:rsid w:val="00740138"/>
    <w:rsid w:val="007406BF"/>
    <w:rsid w:val="00741FF9"/>
    <w:rsid w:val="007455EA"/>
    <w:rsid w:val="00745E39"/>
    <w:rsid w:val="00747C8B"/>
    <w:rsid w:val="0075589C"/>
    <w:rsid w:val="0075610A"/>
    <w:rsid w:val="00756358"/>
    <w:rsid w:val="00756401"/>
    <w:rsid w:val="00756883"/>
    <w:rsid w:val="00757245"/>
    <w:rsid w:val="00760039"/>
    <w:rsid w:val="007637DE"/>
    <w:rsid w:val="00763DAA"/>
    <w:rsid w:val="007704B4"/>
    <w:rsid w:val="007713D9"/>
    <w:rsid w:val="007730FD"/>
    <w:rsid w:val="00776CF3"/>
    <w:rsid w:val="007775A8"/>
    <w:rsid w:val="00782012"/>
    <w:rsid w:val="00783960"/>
    <w:rsid w:val="00783F1E"/>
    <w:rsid w:val="00784F9C"/>
    <w:rsid w:val="007850AC"/>
    <w:rsid w:val="00786289"/>
    <w:rsid w:val="0078699C"/>
    <w:rsid w:val="00791BFE"/>
    <w:rsid w:val="007922B7"/>
    <w:rsid w:val="007922C0"/>
    <w:rsid w:val="00794AB1"/>
    <w:rsid w:val="007A496D"/>
    <w:rsid w:val="007A4CA1"/>
    <w:rsid w:val="007A6B9D"/>
    <w:rsid w:val="007B0025"/>
    <w:rsid w:val="007B085D"/>
    <w:rsid w:val="007B1C55"/>
    <w:rsid w:val="007B418E"/>
    <w:rsid w:val="007B4584"/>
    <w:rsid w:val="007B64EB"/>
    <w:rsid w:val="007B693A"/>
    <w:rsid w:val="007B7689"/>
    <w:rsid w:val="007C28DB"/>
    <w:rsid w:val="007C418E"/>
    <w:rsid w:val="007C4CB8"/>
    <w:rsid w:val="007C4FAF"/>
    <w:rsid w:val="007C53D5"/>
    <w:rsid w:val="007C69BA"/>
    <w:rsid w:val="007C6D3F"/>
    <w:rsid w:val="007C6F61"/>
    <w:rsid w:val="007D0BCE"/>
    <w:rsid w:val="007D1FFC"/>
    <w:rsid w:val="007D2786"/>
    <w:rsid w:val="007D358E"/>
    <w:rsid w:val="007D3E20"/>
    <w:rsid w:val="007D5648"/>
    <w:rsid w:val="007D61F9"/>
    <w:rsid w:val="007D7029"/>
    <w:rsid w:val="007E0BE6"/>
    <w:rsid w:val="007E2613"/>
    <w:rsid w:val="007E261B"/>
    <w:rsid w:val="007E33BB"/>
    <w:rsid w:val="007E4815"/>
    <w:rsid w:val="007E5D0D"/>
    <w:rsid w:val="007E6869"/>
    <w:rsid w:val="007E7A28"/>
    <w:rsid w:val="007E7D47"/>
    <w:rsid w:val="007F1F23"/>
    <w:rsid w:val="007F4BB6"/>
    <w:rsid w:val="007F56D7"/>
    <w:rsid w:val="007F7EDE"/>
    <w:rsid w:val="00801591"/>
    <w:rsid w:val="0080421B"/>
    <w:rsid w:val="00810D97"/>
    <w:rsid w:val="00813A91"/>
    <w:rsid w:val="008140FB"/>
    <w:rsid w:val="00814C8A"/>
    <w:rsid w:val="00816968"/>
    <w:rsid w:val="008176BB"/>
    <w:rsid w:val="008233AF"/>
    <w:rsid w:val="00824FC1"/>
    <w:rsid w:val="0082701E"/>
    <w:rsid w:val="00827C44"/>
    <w:rsid w:val="00827EFD"/>
    <w:rsid w:val="00831BE5"/>
    <w:rsid w:val="00831D15"/>
    <w:rsid w:val="00834D88"/>
    <w:rsid w:val="00835B1C"/>
    <w:rsid w:val="00840622"/>
    <w:rsid w:val="008446CF"/>
    <w:rsid w:val="00845538"/>
    <w:rsid w:val="008457A5"/>
    <w:rsid w:val="00847067"/>
    <w:rsid w:val="008504DA"/>
    <w:rsid w:val="0085085F"/>
    <w:rsid w:val="0085144C"/>
    <w:rsid w:val="00852DD9"/>
    <w:rsid w:val="00853424"/>
    <w:rsid w:val="00853E79"/>
    <w:rsid w:val="008563F4"/>
    <w:rsid w:val="008565C7"/>
    <w:rsid w:val="00856DD2"/>
    <w:rsid w:val="008602CF"/>
    <w:rsid w:val="00860ECD"/>
    <w:rsid w:val="0086116D"/>
    <w:rsid w:val="00861D0B"/>
    <w:rsid w:val="00861FFA"/>
    <w:rsid w:val="00862E13"/>
    <w:rsid w:val="0086302E"/>
    <w:rsid w:val="008649E4"/>
    <w:rsid w:val="00866D5D"/>
    <w:rsid w:val="00866F96"/>
    <w:rsid w:val="0086799A"/>
    <w:rsid w:val="00871C51"/>
    <w:rsid w:val="00871E66"/>
    <w:rsid w:val="00875017"/>
    <w:rsid w:val="00876521"/>
    <w:rsid w:val="008765CA"/>
    <w:rsid w:val="00876E52"/>
    <w:rsid w:val="00877523"/>
    <w:rsid w:val="00881B1F"/>
    <w:rsid w:val="00883F37"/>
    <w:rsid w:val="00886144"/>
    <w:rsid w:val="0088705C"/>
    <w:rsid w:val="00887ABB"/>
    <w:rsid w:val="00890AE2"/>
    <w:rsid w:val="00890BDB"/>
    <w:rsid w:val="00891753"/>
    <w:rsid w:val="00891C2C"/>
    <w:rsid w:val="00891E8E"/>
    <w:rsid w:val="00895862"/>
    <w:rsid w:val="008963F9"/>
    <w:rsid w:val="00896615"/>
    <w:rsid w:val="00897D82"/>
    <w:rsid w:val="00897E98"/>
    <w:rsid w:val="008A09FB"/>
    <w:rsid w:val="008A0E7F"/>
    <w:rsid w:val="008A19F1"/>
    <w:rsid w:val="008A3725"/>
    <w:rsid w:val="008A4594"/>
    <w:rsid w:val="008A5877"/>
    <w:rsid w:val="008A6CE2"/>
    <w:rsid w:val="008A6E89"/>
    <w:rsid w:val="008A7D0E"/>
    <w:rsid w:val="008B0ED7"/>
    <w:rsid w:val="008B4B42"/>
    <w:rsid w:val="008B4F6E"/>
    <w:rsid w:val="008B5099"/>
    <w:rsid w:val="008B6391"/>
    <w:rsid w:val="008C2672"/>
    <w:rsid w:val="008C3028"/>
    <w:rsid w:val="008C3586"/>
    <w:rsid w:val="008C3AEE"/>
    <w:rsid w:val="008C432B"/>
    <w:rsid w:val="008C4C7B"/>
    <w:rsid w:val="008C6540"/>
    <w:rsid w:val="008C6FF4"/>
    <w:rsid w:val="008C7D96"/>
    <w:rsid w:val="008D581E"/>
    <w:rsid w:val="008D5A77"/>
    <w:rsid w:val="008D6020"/>
    <w:rsid w:val="008D7CF3"/>
    <w:rsid w:val="008E01C4"/>
    <w:rsid w:val="008E0CB2"/>
    <w:rsid w:val="008E2B6D"/>
    <w:rsid w:val="008E37EF"/>
    <w:rsid w:val="008E3E87"/>
    <w:rsid w:val="008E6F2A"/>
    <w:rsid w:val="008E7357"/>
    <w:rsid w:val="008E79FC"/>
    <w:rsid w:val="008F342C"/>
    <w:rsid w:val="008F5BA7"/>
    <w:rsid w:val="00901B2D"/>
    <w:rsid w:val="00901D1C"/>
    <w:rsid w:val="00903866"/>
    <w:rsid w:val="00903987"/>
    <w:rsid w:val="00903F49"/>
    <w:rsid w:val="00904FA4"/>
    <w:rsid w:val="00906EC8"/>
    <w:rsid w:val="009077FA"/>
    <w:rsid w:val="00910F9A"/>
    <w:rsid w:val="00912C50"/>
    <w:rsid w:val="0091402A"/>
    <w:rsid w:val="00916E39"/>
    <w:rsid w:val="00916F47"/>
    <w:rsid w:val="00924A6D"/>
    <w:rsid w:val="00930A86"/>
    <w:rsid w:val="00931817"/>
    <w:rsid w:val="00932185"/>
    <w:rsid w:val="00932A7F"/>
    <w:rsid w:val="00932E05"/>
    <w:rsid w:val="00933D25"/>
    <w:rsid w:val="00940E4C"/>
    <w:rsid w:val="0094125C"/>
    <w:rsid w:val="0094236F"/>
    <w:rsid w:val="00943BD1"/>
    <w:rsid w:val="00944B66"/>
    <w:rsid w:val="009456DF"/>
    <w:rsid w:val="00946C74"/>
    <w:rsid w:val="009472B3"/>
    <w:rsid w:val="00947B99"/>
    <w:rsid w:val="00950E60"/>
    <w:rsid w:val="009528B9"/>
    <w:rsid w:val="00952CCA"/>
    <w:rsid w:val="0095626B"/>
    <w:rsid w:val="009562AC"/>
    <w:rsid w:val="0095640D"/>
    <w:rsid w:val="00960C32"/>
    <w:rsid w:val="00970CD5"/>
    <w:rsid w:val="009755E3"/>
    <w:rsid w:val="00975D49"/>
    <w:rsid w:val="00976C5E"/>
    <w:rsid w:val="00977349"/>
    <w:rsid w:val="00980A51"/>
    <w:rsid w:val="009831BD"/>
    <w:rsid w:val="00985DE5"/>
    <w:rsid w:val="00985F78"/>
    <w:rsid w:val="009863F5"/>
    <w:rsid w:val="00990EAC"/>
    <w:rsid w:val="00992A08"/>
    <w:rsid w:val="00992E73"/>
    <w:rsid w:val="00993514"/>
    <w:rsid w:val="00996BA0"/>
    <w:rsid w:val="009A12E7"/>
    <w:rsid w:val="009A1F7C"/>
    <w:rsid w:val="009A26E6"/>
    <w:rsid w:val="009A329D"/>
    <w:rsid w:val="009A3AF8"/>
    <w:rsid w:val="009A4765"/>
    <w:rsid w:val="009A4AD7"/>
    <w:rsid w:val="009A5672"/>
    <w:rsid w:val="009A6C62"/>
    <w:rsid w:val="009A6E41"/>
    <w:rsid w:val="009B438F"/>
    <w:rsid w:val="009B7095"/>
    <w:rsid w:val="009B7430"/>
    <w:rsid w:val="009C408A"/>
    <w:rsid w:val="009C5A6F"/>
    <w:rsid w:val="009C697E"/>
    <w:rsid w:val="009C7A94"/>
    <w:rsid w:val="009D0CE9"/>
    <w:rsid w:val="009D35AA"/>
    <w:rsid w:val="009D3E3D"/>
    <w:rsid w:val="009D6B28"/>
    <w:rsid w:val="009E157A"/>
    <w:rsid w:val="009E5535"/>
    <w:rsid w:val="009E5635"/>
    <w:rsid w:val="009E5F85"/>
    <w:rsid w:val="009E6907"/>
    <w:rsid w:val="009F3E4C"/>
    <w:rsid w:val="009F4469"/>
    <w:rsid w:val="009F4A0F"/>
    <w:rsid w:val="009F5C4E"/>
    <w:rsid w:val="009F65DA"/>
    <w:rsid w:val="009F685B"/>
    <w:rsid w:val="00A00F37"/>
    <w:rsid w:val="00A01C2B"/>
    <w:rsid w:val="00A0454F"/>
    <w:rsid w:val="00A04B69"/>
    <w:rsid w:val="00A068E8"/>
    <w:rsid w:val="00A1055D"/>
    <w:rsid w:val="00A105F5"/>
    <w:rsid w:val="00A1163B"/>
    <w:rsid w:val="00A12E31"/>
    <w:rsid w:val="00A164E0"/>
    <w:rsid w:val="00A17836"/>
    <w:rsid w:val="00A2002F"/>
    <w:rsid w:val="00A21EF0"/>
    <w:rsid w:val="00A256C5"/>
    <w:rsid w:val="00A27B92"/>
    <w:rsid w:val="00A3037D"/>
    <w:rsid w:val="00A318FA"/>
    <w:rsid w:val="00A31C97"/>
    <w:rsid w:val="00A33D43"/>
    <w:rsid w:val="00A35F8B"/>
    <w:rsid w:val="00A3627F"/>
    <w:rsid w:val="00A368DA"/>
    <w:rsid w:val="00A411FF"/>
    <w:rsid w:val="00A424BD"/>
    <w:rsid w:val="00A42512"/>
    <w:rsid w:val="00A42E55"/>
    <w:rsid w:val="00A42EF4"/>
    <w:rsid w:val="00A4431E"/>
    <w:rsid w:val="00A44A35"/>
    <w:rsid w:val="00A44DB0"/>
    <w:rsid w:val="00A50DA7"/>
    <w:rsid w:val="00A51120"/>
    <w:rsid w:val="00A52A8B"/>
    <w:rsid w:val="00A52E7E"/>
    <w:rsid w:val="00A532FB"/>
    <w:rsid w:val="00A54FBD"/>
    <w:rsid w:val="00A62867"/>
    <w:rsid w:val="00A6301A"/>
    <w:rsid w:val="00A649A7"/>
    <w:rsid w:val="00A65A0E"/>
    <w:rsid w:val="00A66521"/>
    <w:rsid w:val="00A7379B"/>
    <w:rsid w:val="00A73E14"/>
    <w:rsid w:val="00A7428C"/>
    <w:rsid w:val="00A744E0"/>
    <w:rsid w:val="00A75225"/>
    <w:rsid w:val="00A8125B"/>
    <w:rsid w:val="00A8467B"/>
    <w:rsid w:val="00A870D4"/>
    <w:rsid w:val="00A90700"/>
    <w:rsid w:val="00A90F99"/>
    <w:rsid w:val="00A92108"/>
    <w:rsid w:val="00A92E29"/>
    <w:rsid w:val="00A934B3"/>
    <w:rsid w:val="00A94CFF"/>
    <w:rsid w:val="00A955CF"/>
    <w:rsid w:val="00A97384"/>
    <w:rsid w:val="00AA03F3"/>
    <w:rsid w:val="00AA074F"/>
    <w:rsid w:val="00AA3154"/>
    <w:rsid w:val="00AA3B4D"/>
    <w:rsid w:val="00AA5279"/>
    <w:rsid w:val="00AA55A9"/>
    <w:rsid w:val="00AA64EF"/>
    <w:rsid w:val="00AA6F4E"/>
    <w:rsid w:val="00AA7531"/>
    <w:rsid w:val="00AB5144"/>
    <w:rsid w:val="00AB5840"/>
    <w:rsid w:val="00AB7674"/>
    <w:rsid w:val="00AC0345"/>
    <w:rsid w:val="00AC1FDC"/>
    <w:rsid w:val="00AC2DCA"/>
    <w:rsid w:val="00AC4C12"/>
    <w:rsid w:val="00AC5FAD"/>
    <w:rsid w:val="00AD0827"/>
    <w:rsid w:val="00AD1E29"/>
    <w:rsid w:val="00AD2B35"/>
    <w:rsid w:val="00AD39E4"/>
    <w:rsid w:val="00AD4DB1"/>
    <w:rsid w:val="00AD5349"/>
    <w:rsid w:val="00AD6AB9"/>
    <w:rsid w:val="00AD7E36"/>
    <w:rsid w:val="00AE11C5"/>
    <w:rsid w:val="00AE2E38"/>
    <w:rsid w:val="00AE388C"/>
    <w:rsid w:val="00AE49E2"/>
    <w:rsid w:val="00AE4AF7"/>
    <w:rsid w:val="00AE5907"/>
    <w:rsid w:val="00AE5AC8"/>
    <w:rsid w:val="00AE7348"/>
    <w:rsid w:val="00AF12A3"/>
    <w:rsid w:val="00AF13B2"/>
    <w:rsid w:val="00AF29BC"/>
    <w:rsid w:val="00AF4A1D"/>
    <w:rsid w:val="00AF4AD0"/>
    <w:rsid w:val="00B00C09"/>
    <w:rsid w:val="00B02542"/>
    <w:rsid w:val="00B04515"/>
    <w:rsid w:val="00B04A2A"/>
    <w:rsid w:val="00B06701"/>
    <w:rsid w:val="00B103DC"/>
    <w:rsid w:val="00B11183"/>
    <w:rsid w:val="00B13CAD"/>
    <w:rsid w:val="00B15435"/>
    <w:rsid w:val="00B17077"/>
    <w:rsid w:val="00B22F81"/>
    <w:rsid w:val="00B25138"/>
    <w:rsid w:val="00B259F7"/>
    <w:rsid w:val="00B2657D"/>
    <w:rsid w:val="00B33104"/>
    <w:rsid w:val="00B333A7"/>
    <w:rsid w:val="00B35432"/>
    <w:rsid w:val="00B3622B"/>
    <w:rsid w:val="00B365F2"/>
    <w:rsid w:val="00B36EB6"/>
    <w:rsid w:val="00B44BDC"/>
    <w:rsid w:val="00B4698E"/>
    <w:rsid w:val="00B51010"/>
    <w:rsid w:val="00B51277"/>
    <w:rsid w:val="00B5200D"/>
    <w:rsid w:val="00B521F5"/>
    <w:rsid w:val="00B61BE5"/>
    <w:rsid w:val="00B63113"/>
    <w:rsid w:val="00B64E6F"/>
    <w:rsid w:val="00B70068"/>
    <w:rsid w:val="00B721AA"/>
    <w:rsid w:val="00B73E83"/>
    <w:rsid w:val="00B73F2F"/>
    <w:rsid w:val="00B744B2"/>
    <w:rsid w:val="00B76A03"/>
    <w:rsid w:val="00B807BD"/>
    <w:rsid w:val="00B83E23"/>
    <w:rsid w:val="00B842C9"/>
    <w:rsid w:val="00B86595"/>
    <w:rsid w:val="00B8720D"/>
    <w:rsid w:val="00B92E6D"/>
    <w:rsid w:val="00B95827"/>
    <w:rsid w:val="00B9631C"/>
    <w:rsid w:val="00B96EF1"/>
    <w:rsid w:val="00BA118D"/>
    <w:rsid w:val="00BA1B88"/>
    <w:rsid w:val="00BA29F8"/>
    <w:rsid w:val="00BA4487"/>
    <w:rsid w:val="00BA5650"/>
    <w:rsid w:val="00BA6D52"/>
    <w:rsid w:val="00BA7F60"/>
    <w:rsid w:val="00BB0336"/>
    <w:rsid w:val="00BB05D4"/>
    <w:rsid w:val="00BB08F8"/>
    <w:rsid w:val="00BB4B46"/>
    <w:rsid w:val="00BB4BF5"/>
    <w:rsid w:val="00BB661E"/>
    <w:rsid w:val="00BB7F63"/>
    <w:rsid w:val="00BC2DF1"/>
    <w:rsid w:val="00BC33B4"/>
    <w:rsid w:val="00BC4D7D"/>
    <w:rsid w:val="00BC6AFF"/>
    <w:rsid w:val="00BC6E75"/>
    <w:rsid w:val="00BC7581"/>
    <w:rsid w:val="00BC7B9B"/>
    <w:rsid w:val="00BD22C7"/>
    <w:rsid w:val="00BD23F1"/>
    <w:rsid w:val="00BD4D2E"/>
    <w:rsid w:val="00BD5966"/>
    <w:rsid w:val="00BD7002"/>
    <w:rsid w:val="00BE2E56"/>
    <w:rsid w:val="00BE3298"/>
    <w:rsid w:val="00BE3F72"/>
    <w:rsid w:val="00BE4FE4"/>
    <w:rsid w:val="00BE759A"/>
    <w:rsid w:val="00BE7DCC"/>
    <w:rsid w:val="00BF22DB"/>
    <w:rsid w:val="00BF3300"/>
    <w:rsid w:val="00BF6683"/>
    <w:rsid w:val="00C014D4"/>
    <w:rsid w:val="00C01B0B"/>
    <w:rsid w:val="00C01EED"/>
    <w:rsid w:val="00C024DA"/>
    <w:rsid w:val="00C03F13"/>
    <w:rsid w:val="00C06E40"/>
    <w:rsid w:val="00C0762E"/>
    <w:rsid w:val="00C10A62"/>
    <w:rsid w:val="00C10D2D"/>
    <w:rsid w:val="00C10EF0"/>
    <w:rsid w:val="00C12FC5"/>
    <w:rsid w:val="00C13A69"/>
    <w:rsid w:val="00C144B7"/>
    <w:rsid w:val="00C222CB"/>
    <w:rsid w:val="00C23A92"/>
    <w:rsid w:val="00C257DD"/>
    <w:rsid w:val="00C30554"/>
    <w:rsid w:val="00C337AC"/>
    <w:rsid w:val="00C34DC9"/>
    <w:rsid w:val="00C35533"/>
    <w:rsid w:val="00C37A07"/>
    <w:rsid w:val="00C37DFE"/>
    <w:rsid w:val="00C41041"/>
    <w:rsid w:val="00C4263D"/>
    <w:rsid w:val="00C45204"/>
    <w:rsid w:val="00C458E3"/>
    <w:rsid w:val="00C459DA"/>
    <w:rsid w:val="00C472BB"/>
    <w:rsid w:val="00C50DC9"/>
    <w:rsid w:val="00C52011"/>
    <w:rsid w:val="00C535CD"/>
    <w:rsid w:val="00C5423D"/>
    <w:rsid w:val="00C56B7E"/>
    <w:rsid w:val="00C578AE"/>
    <w:rsid w:val="00C616A0"/>
    <w:rsid w:val="00C621BD"/>
    <w:rsid w:val="00C64F10"/>
    <w:rsid w:val="00C66ED1"/>
    <w:rsid w:val="00C709D5"/>
    <w:rsid w:val="00C7163D"/>
    <w:rsid w:val="00C73497"/>
    <w:rsid w:val="00C74AE7"/>
    <w:rsid w:val="00C802B4"/>
    <w:rsid w:val="00C83F74"/>
    <w:rsid w:val="00C8744A"/>
    <w:rsid w:val="00C9032D"/>
    <w:rsid w:val="00C9347A"/>
    <w:rsid w:val="00C93B09"/>
    <w:rsid w:val="00C94348"/>
    <w:rsid w:val="00C94571"/>
    <w:rsid w:val="00C969D0"/>
    <w:rsid w:val="00CA314A"/>
    <w:rsid w:val="00CA39DE"/>
    <w:rsid w:val="00CA4C81"/>
    <w:rsid w:val="00CA664B"/>
    <w:rsid w:val="00CA6AD7"/>
    <w:rsid w:val="00CA730D"/>
    <w:rsid w:val="00CA7AC4"/>
    <w:rsid w:val="00CB107C"/>
    <w:rsid w:val="00CB11E5"/>
    <w:rsid w:val="00CB1342"/>
    <w:rsid w:val="00CB27E2"/>
    <w:rsid w:val="00CB498D"/>
    <w:rsid w:val="00CB5987"/>
    <w:rsid w:val="00CB5B40"/>
    <w:rsid w:val="00CB5FD3"/>
    <w:rsid w:val="00CB6AD0"/>
    <w:rsid w:val="00CB741B"/>
    <w:rsid w:val="00CC10A7"/>
    <w:rsid w:val="00CC120B"/>
    <w:rsid w:val="00CC17D1"/>
    <w:rsid w:val="00CC22B5"/>
    <w:rsid w:val="00CC2669"/>
    <w:rsid w:val="00CC3A6F"/>
    <w:rsid w:val="00CC45AE"/>
    <w:rsid w:val="00CC4D53"/>
    <w:rsid w:val="00CD2606"/>
    <w:rsid w:val="00CD34EB"/>
    <w:rsid w:val="00CD3F91"/>
    <w:rsid w:val="00CD4953"/>
    <w:rsid w:val="00CD4F47"/>
    <w:rsid w:val="00CD646B"/>
    <w:rsid w:val="00CD781A"/>
    <w:rsid w:val="00CD78BB"/>
    <w:rsid w:val="00CE2664"/>
    <w:rsid w:val="00CE3650"/>
    <w:rsid w:val="00CE37C9"/>
    <w:rsid w:val="00CE498B"/>
    <w:rsid w:val="00CE52E5"/>
    <w:rsid w:val="00CE56E6"/>
    <w:rsid w:val="00CE7809"/>
    <w:rsid w:val="00CF112B"/>
    <w:rsid w:val="00CF41B6"/>
    <w:rsid w:val="00CF59E4"/>
    <w:rsid w:val="00CF6BA3"/>
    <w:rsid w:val="00D008D1"/>
    <w:rsid w:val="00D02181"/>
    <w:rsid w:val="00D02FBA"/>
    <w:rsid w:val="00D03BB3"/>
    <w:rsid w:val="00D10B1A"/>
    <w:rsid w:val="00D141D2"/>
    <w:rsid w:val="00D14B8A"/>
    <w:rsid w:val="00D21D17"/>
    <w:rsid w:val="00D23838"/>
    <w:rsid w:val="00D25F0E"/>
    <w:rsid w:val="00D25FC1"/>
    <w:rsid w:val="00D276DE"/>
    <w:rsid w:val="00D302AD"/>
    <w:rsid w:val="00D3137F"/>
    <w:rsid w:val="00D334CD"/>
    <w:rsid w:val="00D36D58"/>
    <w:rsid w:val="00D4031E"/>
    <w:rsid w:val="00D404BC"/>
    <w:rsid w:val="00D40C96"/>
    <w:rsid w:val="00D429D6"/>
    <w:rsid w:val="00D42A5C"/>
    <w:rsid w:val="00D43A81"/>
    <w:rsid w:val="00D43E74"/>
    <w:rsid w:val="00D44174"/>
    <w:rsid w:val="00D4433A"/>
    <w:rsid w:val="00D44745"/>
    <w:rsid w:val="00D4595F"/>
    <w:rsid w:val="00D45E13"/>
    <w:rsid w:val="00D4639B"/>
    <w:rsid w:val="00D4712A"/>
    <w:rsid w:val="00D47E0C"/>
    <w:rsid w:val="00D50BB3"/>
    <w:rsid w:val="00D520F6"/>
    <w:rsid w:val="00D522B8"/>
    <w:rsid w:val="00D52BF3"/>
    <w:rsid w:val="00D648D4"/>
    <w:rsid w:val="00D64EF9"/>
    <w:rsid w:val="00D67517"/>
    <w:rsid w:val="00D678D8"/>
    <w:rsid w:val="00D67DE8"/>
    <w:rsid w:val="00D700D3"/>
    <w:rsid w:val="00D70D31"/>
    <w:rsid w:val="00D74D23"/>
    <w:rsid w:val="00D80FD3"/>
    <w:rsid w:val="00D82153"/>
    <w:rsid w:val="00D831FA"/>
    <w:rsid w:val="00D83B2C"/>
    <w:rsid w:val="00D84ADC"/>
    <w:rsid w:val="00D85A24"/>
    <w:rsid w:val="00D905A3"/>
    <w:rsid w:val="00D919B4"/>
    <w:rsid w:val="00D94D97"/>
    <w:rsid w:val="00D952D3"/>
    <w:rsid w:val="00D95577"/>
    <w:rsid w:val="00D96019"/>
    <w:rsid w:val="00D96C35"/>
    <w:rsid w:val="00D9730E"/>
    <w:rsid w:val="00DA0197"/>
    <w:rsid w:val="00DA030D"/>
    <w:rsid w:val="00DA0B07"/>
    <w:rsid w:val="00DA0D67"/>
    <w:rsid w:val="00DA3004"/>
    <w:rsid w:val="00DA33A7"/>
    <w:rsid w:val="00DA4753"/>
    <w:rsid w:val="00DA66D7"/>
    <w:rsid w:val="00DB0026"/>
    <w:rsid w:val="00DB3CE5"/>
    <w:rsid w:val="00DB5871"/>
    <w:rsid w:val="00DB59D1"/>
    <w:rsid w:val="00DB59E7"/>
    <w:rsid w:val="00DC14F8"/>
    <w:rsid w:val="00DC30E7"/>
    <w:rsid w:val="00DC328F"/>
    <w:rsid w:val="00DC46BF"/>
    <w:rsid w:val="00DC4FFF"/>
    <w:rsid w:val="00DC7196"/>
    <w:rsid w:val="00DC7867"/>
    <w:rsid w:val="00DC7C8D"/>
    <w:rsid w:val="00DD178E"/>
    <w:rsid w:val="00DD1CC5"/>
    <w:rsid w:val="00DD2C72"/>
    <w:rsid w:val="00DD373A"/>
    <w:rsid w:val="00DD4780"/>
    <w:rsid w:val="00DD59D2"/>
    <w:rsid w:val="00DD6BE2"/>
    <w:rsid w:val="00DD7D2E"/>
    <w:rsid w:val="00DE1D9F"/>
    <w:rsid w:val="00DE2466"/>
    <w:rsid w:val="00DE28E5"/>
    <w:rsid w:val="00DE3241"/>
    <w:rsid w:val="00DE6962"/>
    <w:rsid w:val="00DE7CB1"/>
    <w:rsid w:val="00DF40BA"/>
    <w:rsid w:val="00DF43A3"/>
    <w:rsid w:val="00DF48A5"/>
    <w:rsid w:val="00DF6854"/>
    <w:rsid w:val="00DF6F3A"/>
    <w:rsid w:val="00E02153"/>
    <w:rsid w:val="00E02364"/>
    <w:rsid w:val="00E04758"/>
    <w:rsid w:val="00E0590C"/>
    <w:rsid w:val="00E06444"/>
    <w:rsid w:val="00E07980"/>
    <w:rsid w:val="00E10EEF"/>
    <w:rsid w:val="00E1127B"/>
    <w:rsid w:val="00E116F7"/>
    <w:rsid w:val="00E11A78"/>
    <w:rsid w:val="00E1220A"/>
    <w:rsid w:val="00E14709"/>
    <w:rsid w:val="00E1588F"/>
    <w:rsid w:val="00E15BF7"/>
    <w:rsid w:val="00E20E5B"/>
    <w:rsid w:val="00E21441"/>
    <w:rsid w:val="00E235D5"/>
    <w:rsid w:val="00E23CC0"/>
    <w:rsid w:val="00E23ED2"/>
    <w:rsid w:val="00E267E1"/>
    <w:rsid w:val="00E27746"/>
    <w:rsid w:val="00E27C17"/>
    <w:rsid w:val="00E3266C"/>
    <w:rsid w:val="00E331A8"/>
    <w:rsid w:val="00E33363"/>
    <w:rsid w:val="00E3349D"/>
    <w:rsid w:val="00E3371D"/>
    <w:rsid w:val="00E34014"/>
    <w:rsid w:val="00E3730D"/>
    <w:rsid w:val="00E44034"/>
    <w:rsid w:val="00E448BD"/>
    <w:rsid w:val="00E45D7B"/>
    <w:rsid w:val="00E47D04"/>
    <w:rsid w:val="00E512BA"/>
    <w:rsid w:val="00E53EE6"/>
    <w:rsid w:val="00E56286"/>
    <w:rsid w:val="00E615BB"/>
    <w:rsid w:val="00E649B2"/>
    <w:rsid w:val="00E6666E"/>
    <w:rsid w:val="00E66BC5"/>
    <w:rsid w:val="00E70714"/>
    <w:rsid w:val="00E70F05"/>
    <w:rsid w:val="00E7229A"/>
    <w:rsid w:val="00E74F35"/>
    <w:rsid w:val="00E75400"/>
    <w:rsid w:val="00E76B14"/>
    <w:rsid w:val="00E771A2"/>
    <w:rsid w:val="00E81B11"/>
    <w:rsid w:val="00E81B7D"/>
    <w:rsid w:val="00E83946"/>
    <w:rsid w:val="00E84B50"/>
    <w:rsid w:val="00E860D1"/>
    <w:rsid w:val="00E87905"/>
    <w:rsid w:val="00E87FC7"/>
    <w:rsid w:val="00E90CF7"/>
    <w:rsid w:val="00E92D53"/>
    <w:rsid w:val="00E94177"/>
    <w:rsid w:val="00E94A91"/>
    <w:rsid w:val="00E96640"/>
    <w:rsid w:val="00EA147E"/>
    <w:rsid w:val="00EA4343"/>
    <w:rsid w:val="00EA54BB"/>
    <w:rsid w:val="00EB00A5"/>
    <w:rsid w:val="00EB054F"/>
    <w:rsid w:val="00EB13F0"/>
    <w:rsid w:val="00EB2DED"/>
    <w:rsid w:val="00EB411C"/>
    <w:rsid w:val="00EB61C9"/>
    <w:rsid w:val="00EB79F7"/>
    <w:rsid w:val="00EB7DFE"/>
    <w:rsid w:val="00EB7E61"/>
    <w:rsid w:val="00EB7E6E"/>
    <w:rsid w:val="00EC2426"/>
    <w:rsid w:val="00EC58EB"/>
    <w:rsid w:val="00EC7254"/>
    <w:rsid w:val="00ED4D59"/>
    <w:rsid w:val="00ED580C"/>
    <w:rsid w:val="00EE121C"/>
    <w:rsid w:val="00EE70EA"/>
    <w:rsid w:val="00EF0188"/>
    <w:rsid w:val="00EF0C87"/>
    <w:rsid w:val="00EF2C7E"/>
    <w:rsid w:val="00EF2CF3"/>
    <w:rsid w:val="00EF350D"/>
    <w:rsid w:val="00EF4099"/>
    <w:rsid w:val="00EF5D72"/>
    <w:rsid w:val="00F01AED"/>
    <w:rsid w:val="00F02248"/>
    <w:rsid w:val="00F02F8E"/>
    <w:rsid w:val="00F062B6"/>
    <w:rsid w:val="00F06B44"/>
    <w:rsid w:val="00F074B1"/>
    <w:rsid w:val="00F100BE"/>
    <w:rsid w:val="00F10CA3"/>
    <w:rsid w:val="00F13427"/>
    <w:rsid w:val="00F13B79"/>
    <w:rsid w:val="00F13CFC"/>
    <w:rsid w:val="00F14EFB"/>
    <w:rsid w:val="00F17B07"/>
    <w:rsid w:val="00F237AF"/>
    <w:rsid w:val="00F25DCB"/>
    <w:rsid w:val="00F316AB"/>
    <w:rsid w:val="00F33E53"/>
    <w:rsid w:val="00F34FE1"/>
    <w:rsid w:val="00F35892"/>
    <w:rsid w:val="00F415D7"/>
    <w:rsid w:val="00F429B6"/>
    <w:rsid w:val="00F43C09"/>
    <w:rsid w:val="00F442DA"/>
    <w:rsid w:val="00F4478B"/>
    <w:rsid w:val="00F54FD2"/>
    <w:rsid w:val="00F55D81"/>
    <w:rsid w:val="00F55EBB"/>
    <w:rsid w:val="00F56841"/>
    <w:rsid w:val="00F6098F"/>
    <w:rsid w:val="00F60A12"/>
    <w:rsid w:val="00F623EE"/>
    <w:rsid w:val="00F63520"/>
    <w:rsid w:val="00F647BD"/>
    <w:rsid w:val="00F64E56"/>
    <w:rsid w:val="00F65D65"/>
    <w:rsid w:val="00F66487"/>
    <w:rsid w:val="00F665C4"/>
    <w:rsid w:val="00F711F0"/>
    <w:rsid w:val="00F73157"/>
    <w:rsid w:val="00F73D6D"/>
    <w:rsid w:val="00F745CE"/>
    <w:rsid w:val="00F75277"/>
    <w:rsid w:val="00F803EF"/>
    <w:rsid w:val="00F819C7"/>
    <w:rsid w:val="00F8399E"/>
    <w:rsid w:val="00F840F7"/>
    <w:rsid w:val="00F84BA9"/>
    <w:rsid w:val="00F86459"/>
    <w:rsid w:val="00F91BEE"/>
    <w:rsid w:val="00F92DB0"/>
    <w:rsid w:val="00F92F58"/>
    <w:rsid w:val="00F93E10"/>
    <w:rsid w:val="00F9408A"/>
    <w:rsid w:val="00F94878"/>
    <w:rsid w:val="00F96282"/>
    <w:rsid w:val="00FA165C"/>
    <w:rsid w:val="00FA34D1"/>
    <w:rsid w:val="00FA437F"/>
    <w:rsid w:val="00FB12A0"/>
    <w:rsid w:val="00FB182F"/>
    <w:rsid w:val="00FB1E1F"/>
    <w:rsid w:val="00FB2930"/>
    <w:rsid w:val="00FB3177"/>
    <w:rsid w:val="00FB32C4"/>
    <w:rsid w:val="00FB4A63"/>
    <w:rsid w:val="00FB5DEC"/>
    <w:rsid w:val="00FB605C"/>
    <w:rsid w:val="00FB6132"/>
    <w:rsid w:val="00FB72EF"/>
    <w:rsid w:val="00FC2AF1"/>
    <w:rsid w:val="00FC308B"/>
    <w:rsid w:val="00FC31A7"/>
    <w:rsid w:val="00FC338E"/>
    <w:rsid w:val="00FD0963"/>
    <w:rsid w:val="00FD1605"/>
    <w:rsid w:val="00FD24C9"/>
    <w:rsid w:val="00FD2591"/>
    <w:rsid w:val="00FD3140"/>
    <w:rsid w:val="00FD3F16"/>
    <w:rsid w:val="00FD7259"/>
    <w:rsid w:val="00FE0991"/>
    <w:rsid w:val="00FF0DF4"/>
    <w:rsid w:val="309CA4D2"/>
    <w:rsid w:val="50B4430A"/>
    <w:rsid w:val="564FB139"/>
    <w:rsid w:val="5C28457C"/>
    <w:rsid w:val="60F487F0"/>
    <w:rsid w:val="7E69D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6C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A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52A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52AE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52AE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52AE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52A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52AE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52AE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52AE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AE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52AE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52AED"/>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052AED"/>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052AED"/>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052AE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52AE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52AE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52AE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52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A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A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AE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52A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AED"/>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
    <w:basedOn w:val="Standaard"/>
    <w:link w:val="LijstalineaChar"/>
    <w:uiPriority w:val="34"/>
    <w:qFormat/>
    <w:rsid w:val="00052AED"/>
    <w:pPr>
      <w:ind w:left="720"/>
      <w:contextualSpacing/>
    </w:pPr>
  </w:style>
  <w:style w:type="character" w:styleId="Intensievebenadrukking">
    <w:name w:val="Intense Emphasis"/>
    <w:basedOn w:val="Standaardalinea-lettertype"/>
    <w:uiPriority w:val="21"/>
    <w:qFormat/>
    <w:rsid w:val="00052AED"/>
    <w:rPr>
      <w:i/>
      <w:iCs/>
      <w:color w:val="2E74B5" w:themeColor="accent1" w:themeShade="BF"/>
    </w:rPr>
  </w:style>
  <w:style w:type="paragraph" w:styleId="Duidelijkcitaat">
    <w:name w:val="Intense Quote"/>
    <w:basedOn w:val="Standaard"/>
    <w:next w:val="Standaard"/>
    <w:link w:val="DuidelijkcitaatChar"/>
    <w:uiPriority w:val="30"/>
    <w:qFormat/>
    <w:rsid w:val="00052A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52AED"/>
    <w:rPr>
      <w:i/>
      <w:iCs/>
      <w:color w:val="2E74B5" w:themeColor="accent1" w:themeShade="BF"/>
    </w:rPr>
  </w:style>
  <w:style w:type="character" w:styleId="Intensieveverwijzing">
    <w:name w:val="Intense Reference"/>
    <w:basedOn w:val="Standaardalinea-lettertype"/>
    <w:uiPriority w:val="32"/>
    <w:qFormat/>
    <w:rsid w:val="00052AED"/>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9E55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5535"/>
    <w:rPr>
      <w:sz w:val="20"/>
      <w:szCs w:val="20"/>
    </w:rPr>
  </w:style>
  <w:style w:type="character" w:styleId="Voetnootmarkering">
    <w:name w:val="footnote reference"/>
    <w:basedOn w:val="Standaardalinea-lettertype"/>
    <w:uiPriority w:val="99"/>
    <w:semiHidden/>
    <w:unhideWhenUsed/>
    <w:rsid w:val="009E5535"/>
    <w:rPr>
      <w:vertAlign w:val="superscript"/>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157688"/>
  </w:style>
  <w:style w:type="character" w:styleId="Hyperlink">
    <w:name w:val="Hyperlink"/>
    <w:basedOn w:val="Standaardalinea-lettertype"/>
    <w:uiPriority w:val="99"/>
    <w:unhideWhenUsed/>
    <w:rsid w:val="00AD7E36"/>
    <w:rPr>
      <w:color w:val="0000FF"/>
      <w:u w:val="single"/>
    </w:rPr>
  </w:style>
  <w:style w:type="character" w:styleId="Verwijzingopmerking">
    <w:name w:val="annotation reference"/>
    <w:basedOn w:val="Standaardalinea-lettertype"/>
    <w:uiPriority w:val="99"/>
    <w:semiHidden/>
    <w:unhideWhenUsed/>
    <w:rsid w:val="00034BCA"/>
    <w:rPr>
      <w:sz w:val="16"/>
      <w:szCs w:val="16"/>
    </w:rPr>
  </w:style>
  <w:style w:type="paragraph" w:styleId="Tekstopmerking">
    <w:name w:val="annotation text"/>
    <w:basedOn w:val="Standaard"/>
    <w:link w:val="TekstopmerkingChar"/>
    <w:uiPriority w:val="99"/>
    <w:unhideWhenUsed/>
    <w:rsid w:val="00034BCA"/>
    <w:pPr>
      <w:spacing w:line="240" w:lineRule="auto"/>
    </w:pPr>
    <w:rPr>
      <w:sz w:val="20"/>
      <w:szCs w:val="20"/>
    </w:rPr>
  </w:style>
  <w:style w:type="character" w:customStyle="1" w:styleId="TekstopmerkingChar">
    <w:name w:val="Tekst opmerking Char"/>
    <w:basedOn w:val="Standaardalinea-lettertype"/>
    <w:link w:val="Tekstopmerking"/>
    <w:uiPriority w:val="99"/>
    <w:rsid w:val="00034BCA"/>
    <w:rPr>
      <w:sz w:val="20"/>
      <w:szCs w:val="20"/>
    </w:rPr>
  </w:style>
  <w:style w:type="paragraph" w:styleId="Onderwerpvanopmerking">
    <w:name w:val="annotation subject"/>
    <w:basedOn w:val="Tekstopmerking"/>
    <w:next w:val="Tekstopmerking"/>
    <w:link w:val="OnderwerpvanopmerkingChar"/>
    <w:uiPriority w:val="99"/>
    <w:semiHidden/>
    <w:unhideWhenUsed/>
    <w:rsid w:val="00034BCA"/>
    <w:rPr>
      <w:b/>
      <w:bCs/>
    </w:rPr>
  </w:style>
  <w:style w:type="character" w:customStyle="1" w:styleId="OnderwerpvanopmerkingChar">
    <w:name w:val="Onderwerp van opmerking Char"/>
    <w:basedOn w:val="TekstopmerkingChar"/>
    <w:link w:val="Onderwerpvanopmerking"/>
    <w:uiPriority w:val="99"/>
    <w:semiHidden/>
    <w:rsid w:val="00034BCA"/>
    <w:rPr>
      <w:b/>
      <w:bCs/>
      <w:sz w:val="20"/>
      <w:szCs w:val="20"/>
    </w:rPr>
  </w:style>
  <w:style w:type="paragraph" w:styleId="Revisie">
    <w:name w:val="Revision"/>
    <w:hidden/>
    <w:uiPriority w:val="99"/>
    <w:semiHidden/>
    <w:rsid w:val="00087618"/>
    <w:pPr>
      <w:spacing w:after="0" w:line="240" w:lineRule="auto"/>
    </w:pPr>
  </w:style>
  <w:style w:type="character" w:styleId="GevolgdeHyperlink">
    <w:name w:val="FollowedHyperlink"/>
    <w:basedOn w:val="Standaardalinea-lettertype"/>
    <w:uiPriority w:val="99"/>
    <w:semiHidden/>
    <w:unhideWhenUsed/>
    <w:rsid w:val="003C46B1"/>
    <w:rPr>
      <w:color w:val="954F72" w:themeColor="followedHyperlink"/>
      <w:u w:val="single"/>
    </w:rPr>
  </w:style>
  <w:style w:type="paragraph" w:styleId="Koptekst">
    <w:name w:val="header"/>
    <w:basedOn w:val="Standaard"/>
    <w:link w:val="KoptekstChar"/>
    <w:uiPriority w:val="99"/>
    <w:unhideWhenUsed/>
    <w:rsid w:val="002F1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E73"/>
  </w:style>
  <w:style w:type="paragraph" w:styleId="Voettekst">
    <w:name w:val="footer"/>
    <w:basedOn w:val="Standaard"/>
    <w:link w:val="VoettekstChar"/>
    <w:uiPriority w:val="99"/>
    <w:unhideWhenUsed/>
    <w:rsid w:val="002F1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E73"/>
  </w:style>
  <w:style w:type="table" w:styleId="Tabelraster">
    <w:name w:val="Table Grid"/>
    <w:basedOn w:val="Standaardtabel"/>
    <w:uiPriority w:val="39"/>
    <w:rsid w:val="00F65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31807"/>
    <w:rPr>
      <w:color w:val="605E5C"/>
      <w:shd w:val="clear" w:color="auto" w:fill="E1DFDD"/>
    </w:rPr>
  </w:style>
  <w:style w:type="paragraph" w:customStyle="1" w:styleId="Huisstijl-Aanhef">
    <w:name w:val="Huisstijl - Aanhef"/>
    <w:basedOn w:val="Standaard"/>
    <w:rsid w:val="009831BD"/>
    <w:pPr>
      <w:widowControl w:val="0"/>
      <w:suppressAutoHyphens/>
      <w:autoSpaceDN w:val="0"/>
      <w:spacing w:before="100" w:after="240" w:line="240" w:lineRule="exact"/>
      <w:textAlignment w:val="baseline"/>
    </w:pPr>
    <w:rPr>
      <w:rFonts w:eastAsia="DejaVu Sans" w:cs="Lohit Hindi"/>
      <w:kern w:val="3"/>
      <w:szCs w:val="24"/>
      <w:lang w:val="nl-NL"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76058">
      <w:bodyDiv w:val="1"/>
      <w:marLeft w:val="0"/>
      <w:marRight w:val="0"/>
      <w:marTop w:val="0"/>
      <w:marBottom w:val="0"/>
      <w:divBdr>
        <w:top w:val="none" w:sz="0" w:space="0" w:color="auto"/>
        <w:left w:val="none" w:sz="0" w:space="0" w:color="auto"/>
        <w:bottom w:val="none" w:sz="0" w:space="0" w:color="auto"/>
        <w:right w:val="none" w:sz="0" w:space="0" w:color="auto"/>
      </w:divBdr>
    </w:div>
    <w:div w:id="1210998614">
      <w:bodyDiv w:val="1"/>
      <w:marLeft w:val="0"/>
      <w:marRight w:val="0"/>
      <w:marTop w:val="0"/>
      <w:marBottom w:val="0"/>
      <w:divBdr>
        <w:top w:val="none" w:sz="0" w:space="0" w:color="auto"/>
        <w:left w:val="none" w:sz="0" w:space="0" w:color="auto"/>
        <w:bottom w:val="none" w:sz="0" w:space="0" w:color="auto"/>
        <w:right w:val="none" w:sz="0" w:space="0" w:color="auto"/>
      </w:divBdr>
    </w:div>
    <w:div w:id="14704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c0c25d-2fb3-4d71-8d84-1c8be4f2cc2d}" enabled="0" method="" siteId="{e8c0c25d-2fb3-4d71-8d84-1c8be4f2cc2d}" removed="1"/>
</clbl:labelList>
</file>

<file path=docProps/app.xml><?xml version="1.0" encoding="utf-8"?>
<ap:Properties xmlns:vt="http://schemas.openxmlformats.org/officeDocument/2006/docPropsVTypes" xmlns:ap="http://schemas.openxmlformats.org/officeDocument/2006/extended-properties">
  <ap:Pages>8</ap:Pages>
  <ap:Words>4129</ap:Words>
  <ap:Characters>22713</ap:Characters>
  <ap:DocSecurity>0</ap:DocSecurity>
  <ap:Lines>189</ap:Lines>
  <ap:Paragraphs>53</ap:Paragraphs>
  <ap:ScaleCrop>false</ap:ScaleCrop>
  <ap:LinksUpToDate>false</ap:LinksUpToDate>
  <ap:CharactersWithSpaces>26789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2026-05-28T15:57:00.0000000Z</dcterms:created>
  <dcterms:modified xsi:type="dcterms:W3CDTF">2026-05-28T15:57:00.0000000Z</dcterms:modified>
  <version/>
  <category/>
</coreProperties>
</file>