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2026Z11213</w:t>
        <w:br/>
      </w:r>
      <w:proofErr w:type="spellEnd"/>
    </w:p>
    <w:p>
      <w:pPr>
        <w:pStyle w:val="Normal"/>
        <w:rPr>
          <w:b w:val="1"/>
          <w:bCs w:val="1"/>
        </w:rPr>
      </w:pPr>
      <w:r w:rsidR="250AE766">
        <w:rPr>
          <w:b w:val="0"/>
          <w:bCs w:val="0"/>
        </w:rPr>
        <w:t>(ingezonden 28 mei 2026)</w:t>
        <w:br/>
      </w:r>
    </w:p>
    <w:p>
      <w:r>
        <w:t xml:space="preserve">Vragen van het lid Bikker (ChristenUnie) aan de ministers van Justitie en Veiligheid en van Binnenlandse Zaken en Konionkrijksrelaties over het artikel ‘Ombudsman: gemeenten gaan boekje te buiten jegens anti-abortusdemonstranten’. </w:t>
      </w:r>
      <w:r>
        <w:br/>
      </w:r>
    </w:p>
    <w:p>
      <w:r>
        <w:t xml:space="preserve"> </w:t>
      </w:r>
      <w:r>
        <w:br/>
      </w:r>
    </w:p>
    <w:p>
      <w:pPr>
        <w:pStyle w:val="ListParagraph"/>
        <w:numPr>
          <w:ilvl w:val="0"/>
          <w:numId w:val="100508820"/>
        </w:numPr>
        <w:ind w:left="360"/>
      </w:pPr>
      <w:r>
        <w:t xml:space="preserve">Hebt u kennisgenomen van het artikel ‘Ombudsman: “gemeenten gaan boekje te buiten jegens anti-abortusdemonstranten”en van het onderzoek van de Nationale ombudsman over de mate waarin de overheid demonstratierecht behoorlijk beschermt en faciliteert? [1] en [2]</w:t>
      </w:r>
      <w:r>
        <w:br/>
      </w:r>
      <w:r>
        <w:t xml:space="preserve"> </w:t>
      </w:r>
      <w:r>
        <w:br/>
      </w:r>
    </w:p>
    <w:p>
      <w:pPr>
        <w:pStyle w:val="ListParagraph"/>
        <w:numPr>
          <w:ilvl w:val="0"/>
          <w:numId w:val="100508820"/>
        </w:numPr>
        <w:ind w:left="360"/>
      </w:pPr>
      <w:r>
        <w:t xml:space="preserve">Herkent u de volgende constatering van de Nationale ombudsman: “Ook aan anti-abortusdemonstranten leggen gemeenten soms voorschriften op die niet overeenkomen met het juridisch kader”? </w:t>
      </w:r>
      <w:r>
        <w:br/>
      </w:r>
      <w:r>
        <w:t xml:space="preserve"> </w:t>
      </w:r>
      <w:r>
        <w:br/>
      </w:r>
    </w:p>
    <w:p>
      <w:pPr>
        <w:pStyle w:val="ListParagraph"/>
        <w:numPr>
          <w:ilvl w:val="0"/>
          <w:numId w:val="100508820"/>
        </w:numPr>
        <w:ind w:left="360"/>
      </w:pPr>
      <w:r>
        <w:t xml:space="preserve">Kunt u toelichten om welke gemeenten het hier gaat en op welke wijze de door deze gemeenten opgelegde voorschriften niet in overeenstemming zijn met het juridisch kader? [3]</w:t>
      </w:r>
      <w:r>
        <w:br/>
      </w:r>
      <w:r>
        <w:t xml:space="preserve"> </w:t>
      </w:r>
      <w:r>
        <w:br/>
      </w:r>
    </w:p>
    <w:p>
      <w:pPr>
        <w:pStyle w:val="ListParagraph"/>
        <w:numPr>
          <w:ilvl w:val="0"/>
          <w:numId w:val="100508820"/>
        </w:numPr>
        <w:ind w:left="360"/>
      </w:pPr>
      <w:r>
        <w:t xml:space="preserve">Bent u van mening dat ook anti-abortusdemonstranten delen in dezelfde rechten als andere demonstranten, en dat dergelijke oneigenlijk opgelegde voorschriften daardoor zeer onwenselijk zijn? [4]</w:t>
      </w:r>
      <w:r>
        <w:br/>
      </w:r>
      <w:r>
        <w:t xml:space="preserve"> </w:t>
      </w:r>
      <w:r>
        <w:br/>
      </w:r>
    </w:p>
    <w:p>
      <w:pPr>
        <w:pStyle w:val="ListParagraph"/>
        <w:numPr>
          <w:ilvl w:val="0"/>
          <w:numId w:val="100508820"/>
        </w:numPr>
        <w:ind w:left="360"/>
      </w:pPr>
      <w:r>
        <w:t xml:space="preserve">Bent u bereid met deze gemeenten in gesprek te treden om herhaling te voorkomen, en gemeenten in bredere zin voor te lichten om te voorkomen dat zij met hun voorschriften inbreuk maken op het demonstratierecht, juist ook van deze groep demonstranten? </w:t>
      </w:r>
      <w:r>
        <w:br/>
      </w:r>
      <w:r>
        <w:t xml:space="preserve"> </w:t>
      </w:r>
      <w:r>
        <w:br/>
      </w:r>
    </w:p>
    <w:p>
      <w:pPr>
        <w:pStyle w:val="ListParagraph"/>
        <w:numPr>
          <w:ilvl w:val="0"/>
          <w:numId w:val="100508820"/>
        </w:numPr>
        <w:ind w:left="360"/>
      </w:pPr>
      <w:r>
        <w:t xml:space="preserve">Kunt u deze vragen binnen de gangbare termijn, maar in elk geval ruim voor het commissiedebat over het demonstratierecht, beantwoorden?</w:t>
      </w:r>
      <w:r>
        <w:br/>
      </w:r>
    </w:p>
    <w:p>
      <w:r>
        <w:t xml:space="preserve"> </w:t>
      </w:r>
      <w:r>
        <w:br/>
      </w:r>
    </w:p>
    <w:p>
      <w:r>
        <w:t xml:space="preserve"> </w:t>
      </w:r>
      <w:r>
        <w:br/>
      </w:r>
    </w:p>
    <w:p>
      <w:r>
        <w:t xml:space="preserve">[1] Reformatorisch Dagblad, 26 mei 2026, 'Ombudsman: Gemeenten gaan boekje te buiten jegens anti-abortusdemonstranten', www.rd.nl/artikel/1150454-ombudsman-gemeenten-gaan-boekje-te-buiten-jegens-anti-abortusdemonstranten</w:t>
      </w:r>
      <w:r>
        <w:br/>
      </w:r>
    </w:p>
    <w:p>
      <w:r>
        <w:t xml:space="preserve">[2] Nationale ombudsman, 26 mei 2026, 'Onderzoek naar de mate waarin de overheid demonstratierecht behoorlijk beschermt en faciliteert. Sta voor protest!', www.nationaleombudsman.nl/publicaties/onderzoeken/sta-voor-protest</w:t>
      </w:r>
      <w:r>
        <w:br/>
      </w:r>
    </w:p>
    <w:p>
      <w:r>
        <w:t xml:space="preserve">[3] Raad van State, 3 december 2025, Uitspraak 202303955/1/A3, www.raadvanstate.nl/uitspraken/@155019/202303955-1-a3/</w:t>
      </w:r>
      <w:r>
        <w:br/>
      </w:r>
    </w:p>
    <w:p>
      <w:r>
        <w:t xml:space="preserve">[4] WODC-onderzoek 'Het recht om te demonstreren in de democratische rechtsstaat', bijlage bij Kamerstuk 34324, nr. 39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770">
    <w:abstractNumId w:val="100508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