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2026Z11208</w:t>
        <w:br/>
      </w:r>
      <w:proofErr w:type="spellEnd"/>
    </w:p>
    <w:p>
      <w:pPr>
        <w:pStyle w:val="Normal"/>
        <w:rPr>
          <w:b w:val="1"/>
          <w:bCs w:val="1"/>
        </w:rPr>
      </w:pPr>
      <w:r w:rsidR="250AE766">
        <w:rPr>
          <w:b w:val="0"/>
          <w:bCs w:val="0"/>
        </w:rPr>
        <w:t>(ingezonden 28 mei 2026)</w:t>
        <w:br/>
      </w:r>
    </w:p>
    <w:p>
      <w:r>
        <w:t xml:space="preserve">Vragen van het lid Oualhadj (D66) aan de minister van Economische Zaken en Klimaat over het vooroplopen van Nederland in de halfgeleiderindustrie</w:t>
      </w:r>
      <w:r>
        <w:br/>
      </w:r>
    </w:p>
    <w:p>
      <w:pPr>
        <w:pStyle w:val="ListParagraph"/>
        <w:numPr>
          <w:ilvl w:val="0"/>
          <w:numId w:val="100508780"/>
        </w:numPr>
        <w:ind w:left="360"/>
      </w:pPr>
      <w:r>
        <w:t xml:space="preserve">Onderschrijft u de conclusie uit de European Semiconductor Demand Study van 21 mei 2026 dat de Europese chipvraag richting 2040 verdubbelt? Welke consequenties trekt zij daaruit? 1)</w:t>
      </w:r>
      <w:r>
        <w:br/>
      </w:r>
    </w:p>
    <w:p>
      <w:pPr>
        <w:pStyle w:val="ListParagraph"/>
        <w:numPr>
          <w:ilvl w:val="0"/>
          <w:numId w:val="100508780"/>
        </w:numPr>
        <w:ind w:left="360"/>
      </w:pPr>
      <w:r>
        <w:t xml:space="preserve">Klopt het dat de ambitie van de eerste Europese chipverordening een Europees marktaandeel van 20% was, en dat dit aandeel nu 8% bedraagt en bij de modernste chips zelfs 3%? Welke harde lessen trekt u hieruit?</w:t>
      </w:r>
      <w:r>
        <w:br/>
      </w:r>
    </w:p>
    <w:p>
      <w:pPr>
        <w:pStyle w:val="ListParagraph"/>
        <w:numPr>
          <w:ilvl w:val="0"/>
          <w:numId w:val="100508780"/>
        </w:numPr>
        <w:ind w:left="360"/>
      </w:pPr>
      <w:r>
        <w:t xml:space="preserve">Herinnert u zich uw eerdere antwoord dat het kabinet "de komende weken" met het veld tot een </w:t>
      </w:r>
      <w:r>
        <w:rPr>
          <w:i w:val="1"/>
          <w:iCs w:val="1"/>
        </w:rPr>
        <w:t xml:space="preserve">shortlist</w:t>
      </w:r>
      <w:r>
        <w:rPr/>
        <w:t xml:space="preserve"> van projecten zou komen, en kunt u bevestigen dat deze toezegging dateert van april 2026? Ligt deze </w:t>
      </w:r>
      <w:r>
        <w:rPr>
          <w:i w:val="1"/>
          <w:iCs w:val="1"/>
        </w:rPr>
        <w:t xml:space="preserve">shortlist</w:t>
      </w:r>
      <w:r>
        <w:rPr/>
        <w:t xml:space="preserve"> er, en bent u bereid deze per ommegaande met de Kamer te delen?</w:t>
      </w:r>
      <w:r>
        <w:br/>
      </w:r>
    </w:p>
    <w:p>
      <w:pPr>
        <w:pStyle w:val="ListParagraph"/>
        <w:numPr>
          <w:ilvl w:val="0"/>
          <w:numId w:val="100508780"/>
        </w:numPr>
        <w:ind w:left="360"/>
      </w:pPr>
      <w:r>
        <w:t xml:space="preserve">Welke financiële omvang is gekoppeld aan de projecten op de </w:t>
      </w:r>
      <w:r>
        <w:rPr>
          <w:i w:val="1"/>
          <w:iCs w:val="1"/>
        </w:rPr>
        <w:t xml:space="preserve">shortlist</w:t>
      </w:r>
      <w:r>
        <w:rPr/>
        <w:t xml:space="preserve">?</w:t>
      </w:r>
      <w:r>
        <w:br/>
      </w:r>
    </w:p>
    <w:p>
      <w:pPr>
        <w:pStyle w:val="ListParagraph"/>
        <w:numPr>
          <w:ilvl w:val="0"/>
          <w:numId w:val="100508780"/>
        </w:numPr>
        <w:ind w:left="360"/>
      </w:pPr>
      <w:r>
        <w:t xml:space="preserve">Kunt u bevestigen dat u eerder heeft gesteld dat privaat financieel </w:t>
      </w:r>
      <w:r>
        <w:rPr>
          <w:i w:val="1"/>
          <w:iCs w:val="1"/>
        </w:rPr>
        <w:t xml:space="preserve">commitment</w:t>
      </w:r>
      <w:r>
        <w:rPr/>
        <w:t xml:space="preserve"> essentieel is voor de uitvoering? Erkent u dat bedrijven juist wachten op een helder signaal van de overheid voordat zij investeren, en dat het huidige proces dit kip-en-ei-probleem in stand houdt? Hoe duidt u het in dit verband dat een project als ChipNL wel is opgenomen in de Nationale Technologiestrategie, maar zonder bijbehorende financiering?</w:t>
      </w:r>
      <w:r>
        <w:br/>
      </w:r>
    </w:p>
    <w:p>
      <w:pPr>
        <w:pStyle w:val="ListParagraph"/>
        <w:numPr>
          <w:ilvl w:val="0"/>
          <w:numId w:val="100508780"/>
        </w:numPr>
        <w:ind w:left="360"/>
      </w:pPr>
      <w:r>
        <w:t xml:space="preserve">Kunt u bevestigen dat u eerder heeft aangegeven dat geen scenario's zijn doorgerekend voor het wegvallen van private investeringen in sleuteltechnologieën? Acht u dit, gezien de nu beschikbare cijfers over de Europese marktpositie, nog wenselijk?</w:t>
      </w:r>
      <w:r>
        <w:br/>
      </w:r>
    </w:p>
    <w:p>
      <w:pPr>
        <w:pStyle w:val="ListParagraph"/>
        <w:numPr>
          <w:ilvl w:val="0"/>
          <w:numId w:val="100508780"/>
        </w:numPr>
        <w:ind w:left="360"/>
      </w:pPr>
      <w:r>
        <w:t xml:space="preserve">Kunt u bevestigen dat de Taskforce Toekomstige Welvaart en Vestigingsklimaat samen met </w:t>
      </w:r>
      <w:r>
        <w:rPr>
          <w:i w:val="1"/>
          <w:iCs w:val="1"/>
        </w:rPr>
        <w:t xml:space="preserve">stakeholders</w:t>
      </w:r>
      <w:r>
        <w:rPr/>
        <w:t xml:space="preserve"> zes hoogtechnologische markten zou stimuleren? Wanneer rapporteert deze </w:t>
      </w:r>
      <w:r>
        <w:rPr>
          <w:i w:val="1"/>
          <w:iCs w:val="1"/>
        </w:rPr>
        <w:t xml:space="preserve">taskforce</w:t>
      </w:r>
      <w:r>
        <w:rPr/>
        <w:t xml:space="preserve"> concreet aan de Kamer?</w:t>
      </w:r>
      <w:r>
        <w:br/>
      </w:r>
    </w:p>
    <w:p>
      <w:pPr>
        <w:pStyle w:val="ListParagraph"/>
        <w:numPr>
          <w:ilvl w:val="0"/>
          <w:numId w:val="100508780"/>
        </w:numPr>
        <w:ind w:left="360"/>
      </w:pPr>
      <w:r>
        <w:t xml:space="preserve">Hoe verhouden de Semicon Visie 2035, de Nationale Technologiestrategie, het werk van de Taskforce Toekomstige Welvaart en Vestigingsklimaat, en de IPCEI AST zich tot elkaar? Werken deze trajecten parallel, of dreigt dubbeling en vertraging?</w:t>
      </w:r>
      <w:r>
        <w:br/>
      </w:r>
    </w:p>
    <w:p>
      <w:pPr>
        <w:pStyle w:val="ListParagraph"/>
        <w:numPr>
          <w:ilvl w:val="0"/>
          <w:numId w:val="100508780"/>
        </w:numPr>
        <w:ind w:left="360"/>
      </w:pPr>
      <w:r>
        <w:t xml:space="preserve">Onderschrijft u dat Nederland binnen de EU een onevenredig grote rol vervult in cruciale schakels van de halfgeleiderketen, van lithografie tot design en </w:t>
      </w:r>
      <w:r>
        <w:rPr>
          <w:i w:val="1"/>
          <w:iCs w:val="1"/>
        </w:rPr>
        <w:t xml:space="preserve">mature node-productie</w:t>
      </w:r>
      <w:r>
        <w:rPr/>
        <w:t xml:space="preserve">? Hoe waarborgt u dat Nederland niet slechts reageert op het voorstel van de Europese Commissie, maar deze positie actief inzet om de richting van de Chipverordening 2.0 mede vorm te geven?</w:t>
      </w:r>
      <w:r>
        <w:br/>
      </w:r>
    </w:p>
    <w:p>
      <w:pPr>
        <w:pStyle w:val="ListParagraph"/>
        <w:numPr>
          <w:ilvl w:val="0"/>
          <w:numId w:val="100508780"/>
        </w:numPr>
        <w:ind w:left="360"/>
      </w:pPr>
      <w:r>
        <w:t xml:space="preserve">Bent u bereid het BNC-fiche over het voorstel over de chipverordening 2.0 met spoed (dus niet binnen zes, maar bijvoorbeeld twee weken) naar de Kamer te zenden, zodat tijdig een debat over de uitvoering van de Semicon Visie 2035 hieraan kan worden gekoppeld?</w:t>
      </w:r>
      <w:r>
        <w:br/>
      </w:r>
    </w:p>
    <w:p>
      <w:r>
        <w:t xml:space="preserve"> </w:t>
      </w:r>
      <w:r>
        <w:br/>
      </w:r>
    </w:p>
    <w:p>
      <w:r>
        <w:t xml:space="preserve">1) ZVEI, 21 mei 2026, 'Europe's Semiconductor Business Case'. (www.zvei.org/en/press-media/publications/zvei-study-europes-semiconductor-business-case)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7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770">
    <w:abstractNumId w:val="1005087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