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33139" w:rsidTr="00E604AA" w14:paraId="7DDA13C0" w14:textId="77777777">
        <w:trPr>
          <w:trHeight w:val="1514"/>
        </w:trPr>
        <w:tc>
          <w:tcPr>
            <w:tcW w:w="7522" w:type="dxa"/>
            <w:tcBorders>
              <w:top w:val="nil"/>
              <w:left w:val="nil"/>
              <w:bottom w:val="nil"/>
              <w:right w:val="nil"/>
            </w:tcBorders>
            <w:tcMar>
              <w:left w:w="0" w:type="dxa"/>
              <w:right w:w="0" w:type="dxa"/>
            </w:tcMar>
          </w:tcPr>
          <w:p w:rsidR="00DF551C" w:rsidP="00BE15AC" w:rsidRDefault="001D5F09" w14:paraId="3B968CCD" w14:textId="77777777">
            <w:r>
              <w:t>De voorzitter van de Tweede Kamer der Staten-Generaal</w:t>
            </w:r>
          </w:p>
          <w:p w:rsidRPr="00650C9D" w:rsidR="001475E9" w:rsidP="00650C9D" w:rsidRDefault="001D5F09" w14:paraId="534E4E90" w14:textId="77777777">
            <w:r>
              <w:t xml:space="preserve">Postbus </w:t>
            </w:r>
            <w:r w:rsidRPr="007F7207" w:rsidR="007F7207">
              <w:t xml:space="preserve"> </w:t>
            </w:r>
            <w:r>
              <w:t>20018</w:t>
            </w:r>
          </w:p>
          <w:p w:rsidRPr="007F7207" w:rsidR="007F7207" w:rsidP="007F7207" w:rsidRDefault="001D5F09" w14:paraId="7E28C9FE" w14:textId="77777777">
            <w:r>
              <w:t>2500 EA</w:t>
            </w:r>
            <w:r w:rsidR="003F573F">
              <w:t xml:space="preserve"> </w:t>
            </w:r>
            <w:r>
              <w:t xml:space="preserve"> DEN HAAG</w:t>
            </w:r>
            <w:r w:rsidR="00BE15AC">
              <w:t xml:space="preserve"> </w:t>
            </w:r>
          </w:p>
        </w:tc>
      </w:tr>
    </w:tbl>
    <w:p w:rsidR="00333139" w:rsidRDefault="00421942" w14:paraId="32349DF8" w14:textId="232FA966">
      <w:r>
        <w:rPr>
          <w:noProof/>
        </w:rPr>
        <mc:AlternateContent>
          <mc:Choice Requires="wps">
            <w:drawing>
              <wp:anchor distT="45720" distB="45720" distL="114300" distR="114300" simplePos="0" relativeHeight="251657216" behindDoc="0" locked="0" layoutInCell="1" allowOverlap="1" wp14:editId="0C30361F" wp14:anchorId="1C1D4079">
                <wp:simplePos x="0" y="0"/>
                <wp:positionH relativeFrom="column">
                  <wp:posOffset>4871720</wp:posOffset>
                </wp:positionH>
                <wp:positionV relativeFrom="page">
                  <wp:posOffset>1841500</wp:posOffset>
                </wp:positionV>
                <wp:extent cx="1543050" cy="288925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89250"/>
                        </a:xfrm>
                        <a:prstGeom prst="rect">
                          <a:avLst/>
                        </a:prstGeom>
                        <a:solidFill>
                          <a:srgbClr val="FFFFFF"/>
                        </a:solidFill>
                        <a:ln w="9525">
                          <a:noFill/>
                          <a:miter lim="800000"/>
                          <a:headEnd/>
                          <a:tailEnd/>
                        </a:ln>
                      </wps:spPr>
                      <wps:txbx>
                        <w:txbxContent>
                          <w:p w:rsidR="000E7D9D" w:rsidP="000E7D9D" w:rsidRDefault="001D5F09" w14:paraId="4413AF6C" w14:textId="77777777">
                            <w:pPr>
                              <w:spacing w:line="180" w:lineRule="atLeast"/>
                              <w:rPr>
                                <w:b/>
                                <w:sz w:val="13"/>
                                <w:szCs w:val="13"/>
                              </w:rPr>
                            </w:pPr>
                            <w:r>
                              <w:rPr>
                                <w:b/>
                                <w:sz w:val="13"/>
                                <w:szCs w:val="13"/>
                              </w:rPr>
                              <w:t>Erfgoed en Kunsten</w:t>
                            </w:r>
                          </w:p>
                          <w:p w:rsidR="000E7D9D" w:rsidP="000E7D9D" w:rsidRDefault="001D5F09" w14:paraId="423DA55D" w14:textId="77777777">
                            <w:pPr>
                              <w:pStyle w:val="Huisstijl-Gegeven"/>
                              <w:spacing w:after="0"/>
                            </w:pPr>
                            <w:r>
                              <w:t xml:space="preserve">Rijnstraat 50 </w:t>
                            </w:r>
                          </w:p>
                          <w:p w:rsidR="004425A7" w:rsidP="00E972A2" w:rsidRDefault="001D5F09" w14:paraId="51FDC689" w14:textId="77777777">
                            <w:pPr>
                              <w:pStyle w:val="Huisstijl-Gegeven"/>
                              <w:spacing w:after="0"/>
                            </w:pPr>
                            <w:r>
                              <w:t>Den Haag</w:t>
                            </w:r>
                          </w:p>
                          <w:p w:rsidR="004425A7" w:rsidP="00E972A2" w:rsidRDefault="001D5F09" w14:paraId="0FB6693D" w14:textId="77777777">
                            <w:pPr>
                              <w:pStyle w:val="Huisstijl-Gegeven"/>
                              <w:spacing w:after="0"/>
                            </w:pPr>
                            <w:r>
                              <w:t>Postbus 16375</w:t>
                            </w:r>
                          </w:p>
                          <w:p w:rsidR="004425A7" w:rsidP="00E972A2" w:rsidRDefault="001D5F09" w14:paraId="63EFF91D" w14:textId="77777777">
                            <w:pPr>
                              <w:pStyle w:val="Huisstijl-Gegeven"/>
                              <w:spacing w:after="0"/>
                            </w:pPr>
                            <w:r>
                              <w:t>2500 BJ Den Haag</w:t>
                            </w:r>
                          </w:p>
                          <w:p w:rsidR="004425A7" w:rsidP="00E972A2" w:rsidRDefault="001D5F09" w14:paraId="0834B0F8" w14:textId="77777777">
                            <w:pPr>
                              <w:pStyle w:val="Huisstijl-Gegeven"/>
                              <w:spacing w:after="90"/>
                            </w:pPr>
                            <w:r>
                              <w:t>www.rijksoverheid.nl</w:t>
                            </w:r>
                          </w:p>
                          <w:p w:rsidR="000E7D9D" w:rsidP="000E7D9D" w:rsidRDefault="001D5F09" w14:paraId="7766DCE7" w14:textId="77777777">
                            <w:pPr>
                              <w:rPr>
                                <w:b/>
                                <w:sz w:val="13"/>
                                <w:szCs w:val="13"/>
                              </w:rPr>
                            </w:pPr>
                            <w:r w:rsidRPr="00C54BBA">
                              <w:rPr>
                                <w:b/>
                                <w:sz w:val="13"/>
                                <w:szCs w:val="13"/>
                              </w:rPr>
                              <w:t>Onze referentie</w:t>
                            </w:r>
                          </w:p>
                          <w:p w:rsidR="000E7D9D" w:rsidP="000E7D9D" w:rsidRDefault="001D5F09" w14:paraId="4035748B" w14:textId="77777777">
                            <w:pPr>
                              <w:tabs>
                                <w:tab w:val="left" w:pos="5284"/>
                              </w:tabs>
                              <w:spacing w:line="360" w:lineRule="auto"/>
                              <w:rPr>
                                <w:sz w:val="13"/>
                                <w:szCs w:val="13"/>
                              </w:rPr>
                            </w:pPr>
                            <w:r>
                              <w:rPr>
                                <w:sz w:val="13"/>
                                <w:szCs w:val="13"/>
                                <w:lang w:val="en-US"/>
                              </w:rPr>
                              <w:t>63766220</w:t>
                            </w:r>
                          </w:p>
                          <w:p w:rsidR="000E7D9D" w:rsidP="000E7D9D" w:rsidRDefault="000E7D9D" w14:paraId="5DC4BE41" w14:textId="77777777">
                            <w:pPr>
                              <w:tabs>
                                <w:tab w:val="left" w:pos="5284"/>
                              </w:tabs>
                              <w:spacing w:line="360" w:lineRule="auto"/>
                              <w:rPr>
                                <w:sz w:val="13"/>
                                <w:szCs w:val="13"/>
                              </w:rPr>
                            </w:pPr>
                          </w:p>
                          <w:p w:rsidR="000E7D9D" w:rsidP="000E7D9D" w:rsidRDefault="000E7D9D" w14:paraId="6F1A55B2" w14:textId="77777777">
                            <w:pPr>
                              <w:tabs>
                                <w:tab w:val="left" w:pos="5284"/>
                              </w:tabs>
                              <w:spacing w:line="240" w:lineRule="auto"/>
                              <w:rPr>
                                <w:sz w:val="13"/>
                                <w:szCs w:val="13"/>
                                <w:lang w:val="en-US"/>
                              </w:rPr>
                            </w:pPr>
                          </w:p>
                          <w:p w:rsidR="000E7D9D" w:rsidP="000E7D9D" w:rsidRDefault="000E7D9D" w14:paraId="605690F0" w14:textId="77777777">
                            <w:pPr>
                              <w:tabs>
                                <w:tab w:val="left" w:pos="5284"/>
                              </w:tabs>
                              <w:spacing w:line="240" w:lineRule="auto"/>
                              <w:rPr>
                                <w:sz w:val="13"/>
                                <w:szCs w:val="13"/>
                                <w:lang w:val="en-US"/>
                              </w:rPr>
                            </w:pPr>
                          </w:p>
                          <w:p w:rsidR="000E7D9D" w:rsidP="000E7D9D" w:rsidRDefault="000E7D9D" w14:paraId="74032A04"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C1D4079">
                <v:stroke joinstyle="miter"/>
                <v:path gradientshapeok="t" o:connecttype="rect"/>
              </v:shapetype>
              <v:shape id="Tekstvak 3" style="position:absolute;margin-left:383.6pt;margin-top:145pt;width:121.5pt;height:22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">
                <v:textbox>
                  <w:txbxContent>
                    <w:p w:rsidR="000E7D9D" w:rsidP="000E7D9D" w:rsidRDefault="001D5F09" w14:paraId="4413AF6C" w14:textId="77777777">
                      <w:pPr>
                        <w:spacing w:line="180" w:lineRule="atLeast"/>
                        <w:rPr>
                          <w:b/>
                          <w:sz w:val="13"/>
                          <w:szCs w:val="13"/>
                        </w:rPr>
                      </w:pPr>
                      <w:r>
                        <w:rPr>
                          <w:b/>
                          <w:sz w:val="13"/>
                          <w:szCs w:val="13"/>
                        </w:rPr>
                        <w:t>Erfgoed en Kunsten</w:t>
                      </w:r>
                    </w:p>
                    <w:p w:rsidR="000E7D9D" w:rsidP="000E7D9D" w:rsidRDefault="001D5F09" w14:paraId="423DA55D" w14:textId="77777777">
                      <w:pPr>
                        <w:pStyle w:val="Huisstijl-Gegeven"/>
                        <w:spacing w:after="0"/>
                      </w:pPr>
                      <w:r>
                        <w:t xml:space="preserve">Rijnstraat 50 </w:t>
                      </w:r>
                    </w:p>
                    <w:p w:rsidR="004425A7" w:rsidP="00E972A2" w:rsidRDefault="001D5F09" w14:paraId="51FDC689" w14:textId="77777777">
                      <w:pPr>
                        <w:pStyle w:val="Huisstijl-Gegeven"/>
                        <w:spacing w:after="0"/>
                      </w:pPr>
                      <w:r>
                        <w:t>Den Haag</w:t>
                      </w:r>
                    </w:p>
                    <w:p w:rsidR="004425A7" w:rsidP="00E972A2" w:rsidRDefault="001D5F09" w14:paraId="0FB6693D" w14:textId="77777777">
                      <w:pPr>
                        <w:pStyle w:val="Huisstijl-Gegeven"/>
                        <w:spacing w:after="0"/>
                      </w:pPr>
                      <w:r>
                        <w:t>Postbus 16375</w:t>
                      </w:r>
                    </w:p>
                    <w:p w:rsidR="004425A7" w:rsidP="00E972A2" w:rsidRDefault="001D5F09" w14:paraId="63EFF91D" w14:textId="77777777">
                      <w:pPr>
                        <w:pStyle w:val="Huisstijl-Gegeven"/>
                        <w:spacing w:after="0"/>
                      </w:pPr>
                      <w:r>
                        <w:t>2500 BJ Den Haag</w:t>
                      </w:r>
                    </w:p>
                    <w:p w:rsidR="004425A7" w:rsidP="00E972A2" w:rsidRDefault="001D5F09" w14:paraId="0834B0F8" w14:textId="77777777">
                      <w:pPr>
                        <w:pStyle w:val="Huisstijl-Gegeven"/>
                        <w:spacing w:after="90"/>
                      </w:pPr>
                      <w:r>
                        <w:t>www.rijksoverheid.nl</w:t>
                      </w:r>
                    </w:p>
                    <w:p w:rsidR="000E7D9D" w:rsidP="000E7D9D" w:rsidRDefault="001D5F09" w14:paraId="7766DCE7" w14:textId="77777777">
                      <w:pPr>
                        <w:rPr>
                          <w:b/>
                          <w:sz w:val="13"/>
                          <w:szCs w:val="13"/>
                        </w:rPr>
                      </w:pPr>
                      <w:r w:rsidRPr="00C54BBA">
                        <w:rPr>
                          <w:b/>
                          <w:sz w:val="13"/>
                          <w:szCs w:val="13"/>
                        </w:rPr>
                        <w:t>Onze referentie</w:t>
                      </w:r>
                    </w:p>
                    <w:p w:rsidR="000E7D9D" w:rsidP="000E7D9D" w:rsidRDefault="001D5F09" w14:paraId="4035748B" w14:textId="77777777">
                      <w:pPr>
                        <w:tabs>
                          <w:tab w:val="left" w:pos="5284"/>
                        </w:tabs>
                        <w:spacing w:line="360" w:lineRule="auto"/>
                        <w:rPr>
                          <w:sz w:val="13"/>
                          <w:szCs w:val="13"/>
                        </w:rPr>
                      </w:pPr>
                      <w:r>
                        <w:rPr>
                          <w:sz w:val="13"/>
                          <w:szCs w:val="13"/>
                          <w:lang w:val="en-US"/>
                        </w:rPr>
                        <w:t>63766220</w:t>
                      </w:r>
                    </w:p>
                    <w:p w:rsidR="000E7D9D" w:rsidP="000E7D9D" w:rsidRDefault="000E7D9D" w14:paraId="5DC4BE41" w14:textId="77777777">
                      <w:pPr>
                        <w:tabs>
                          <w:tab w:val="left" w:pos="5284"/>
                        </w:tabs>
                        <w:spacing w:line="360" w:lineRule="auto"/>
                        <w:rPr>
                          <w:sz w:val="13"/>
                          <w:szCs w:val="13"/>
                        </w:rPr>
                      </w:pPr>
                    </w:p>
                    <w:p w:rsidR="000E7D9D" w:rsidP="000E7D9D" w:rsidRDefault="000E7D9D" w14:paraId="6F1A55B2" w14:textId="77777777">
                      <w:pPr>
                        <w:tabs>
                          <w:tab w:val="left" w:pos="5284"/>
                        </w:tabs>
                        <w:spacing w:line="240" w:lineRule="auto"/>
                        <w:rPr>
                          <w:sz w:val="13"/>
                          <w:szCs w:val="13"/>
                          <w:lang w:val="en-US"/>
                        </w:rPr>
                      </w:pPr>
                    </w:p>
                    <w:p w:rsidR="000E7D9D" w:rsidP="000E7D9D" w:rsidRDefault="000E7D9D" w14:paraId="605690F0" w14:textId="77777777">
                      <w:pPr>
                        <w:tabs>
                          <w:tab w:val="left" w:pos="5284"/>
                        </w:tabs>
                        <w:spacing w:line="240" w:lineRule="auto"/>
                        <w:rPr>
                          <w:sz w:val="13"/>
                          <w:szCs w:val="13"/>
                          <w:lang w:val="en-US"/>
                        </w:rPr>
                      </w:pPr>
                    </w:p>
                    <w:p w:rsidR="000E7D9D" w:rsidP="000E7D9D" w:rsidRDefault="000E7D9D" w14:paraId="74032A04" w14:textId="77777777">
                      <w:pPr>
                        <w:tabs>
                          <w:tab w:val="left" w:pos="5284"/>
                        </w:tabs>
                        <w:spacing w:line="240" w:lineRule="auto"/>
                        <w:rPr>
                          <w:sz w:val="13"/>
                          <w:szCs w:val="13"/>
                          <w:lang w:val="en-US"/>
                        </w:rPr>
                      </w:pPr>
                    </w:p>
                  </w:txbxContent>
                </v:textbox>
                <w10:wrap type="square" anchory="page"/>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33139" w:rsidTr="00556757" w14:paraId="5016FDB4" w14:textId="77777777">
        <w:trPr>
          <w:trHeight w:val="284" w:hRule="exact"/>
        </w:trPr>
        <w:tc>
          <w:tcPr>
            <w:tcW w:w="929" w:type="dxa"/>
            <w:hideMark/>
          </w:tcPr>
          <w:p w:rsidR="00556757" w:rsidRDefault="001D5F09" w14:paraId="279CF841" w14:textId="77777777">
            <w:r>
              <w:t>Datum</w:t>
            </w:r>
          </w:p>
        </w:tc>
        <w:tc>
          <w:tcPr>
            <w:tcW w:w="6581" w:type="dxa"/>
            <w:hideMark/>
          </w:tcPr>
          <w:p w:rsidR="00556757" w:rsidRDefault="00EA0ED6" w14:paraId="4BECA231" w14:textId="10762A44">
            <w:pPr>
              <w:tabs>
                <w:tab w:val="center" w:pos="3290"/>
              </w:tabs>
            </w:pPr>
            <w:r>
              <w:t>28 mei 2026</w:t>
            </w:r>
            <w:r w:rsidR="001D5F09">
              <w:tab/>
            </w:r>
          </w:p>
        </w:tc>
      </w:tr>
      <w:tr w:rsidR="00333139" w:rsidTr="00556757" w14:paraId="4A725017" w14:textId="77777777">
        <w:trPr>
          <w:trHeight w:val="369"/>
        </w:trPr>
        <w:tc>
          <w:tcPr>
            <w:tcW w:w="929" w:type="dxa"/>
            <w:hideMark/>
          </w:tcPr>
          <w:p w:rsidR="00556757" w:rsidRDefault="001D5F09" w14:paraId="1D0FBC4F" w14:textId="77777777">
            <w:r>
              <w:t>Betreft</w:t>
            </w:r>
          </w:p>
        </w:tc>
        <w:tc>
          <w:tcPr>
            <w:tcW w:w="6581" w:type="dxa"/>
            <w:hideMark/>
          </w:tcPr>
          <w:p w:rsidR="00556757" w:rsidP="007661C9" w:rsidRDefault="00421942" w14:paraId="7FB7D4F9" w14:textId="6169937D">
            <w:r>
              <w:t>De rol van vrijwilligers in de archeologie</w:t>
            </w:r>
            <w:r w:rsidR="001D5F09">
              <w:t xml:space="preserve"> </w:t>
            </w:r>
          </w:p>
        </w:tc>
      </w:tr>
    </w:tbl>
    <w:p w:rsidR="00421942" w:rsidP="00421942" w:rsidRDefault="00421942" w14:paraId="2E7F70B5" w14:textId="55AAEC98">
      <w:pPr>
        <w:rPr>
          <w:szCs w:val="18"/>
        </w:rPr>
      </w:pPr>
      <w:r>
        <w:t xml:space="preserve">Tijdens het Wetgevingsoverleg van 19 januari 2026 sprak uw Kamer de zorg uit dat de professionalisering in de archeologische sector ertoe </w:t>
      </w:r>
      <w:r w:rsidRPr="00C84BEB">
        <w:rPr>
          <w:szCs w:val="18"/>
        </w:rPr>
        <w:t xml:space="preserve">heeft geleid dat </w:t>
      </w:r>
      <w:r>
        <w:rPr>
          <w:szCs w:val="18"/>
        </w:rPr>
        <w:t xml:space="preserve">vrijwilligers in de archeologie </w:t>
      </w:r>
      <w:r w:rsidRPr="00C84BEB">
        <w:rPr>
          <w:szCs w:val="18"/>
        </w:rPr>
        <w:t>onvoldoende ruimte krijgen</w:t>
      </w:r>
      <w:r w:rsidR="00283BCA">
        <w:rPr>
          <w:szCs w:val="18"/>
        </w:rPr>
        <w:t xml:space="preserve">. Uw Kamer gaf ook </w:t>
      </w:r>
      <w:r w:rsidRPr="00283BCA" w:rsidR="00283BCA">
        <w:rPr>
          <w:szCs w:val="18"/>
        </w:rPr>
        <w:t xml:space="preserve">aan </w:t>
      </w:r>
      <w:r w:rsidRPr="00283BCA">
        <w:rPr>
          <w:szCs w:val="18"/>
        </w:rPr>
        <w:t xml:space="preserve">dat ten onrechte </w:t>
      </w:r>
      <w:r w:rsidRPr="00283BCA" w:rsidR="00283BCA">
        <w:rPr>
          <w:szCs w:val="18"/>
        </w:rPr>
        <w:t xml:space="preserve">zou </w:t>
      </w:r>
      <w:r w:rsidRPr="00283BCA">
        <w:rPr>
          <w:szCs w:val="18"/>
        </w:rPr>
        <w:t>word</w:t>
      </w:r>
      <w:r w:rsidRPr="00283BCA" w:rsidR="00283BCA">
        <w:rPr>
          <w:szCs w:val="18"/>
        </w:rPr>
        <w:t>en</w:t>
      </w:r>
      <w:r w:rsidRPr="00283BCA">
        <w:rPr>
          <w:szCs w:val="18"/>
        </w:rPr>
        <w:t xml:space="preserve"> aangenomen dat zij minder goed voor dit erfgoed kunnen zorgen. Mijn ambtsvoorganger Moes heeft vervolgens toegezegd hier schriftelijk nader op in te gaan. </w:t>
      </w:r>
      <w:r w:rsidR="00283BCA">
        <w:rPr>
          <w:szCs w:val="18"/>
        </w:rPr>
        <w:t>Bij deze</w:t>
      </w:r>
      <w:r w:rsidRPr="00283BCA">
        <w:rPr>
          <w:szCs w:val="18"/>
        </w:rPr>
        <w:t xml:space="preserve"> doe ik deze toezegging gestand.</w:t>
      </w:r>
      <w:r>
        <w:rPr>
          <w:szCs w:val="18"/>
        </w:rPr>
        <w:t xml:space="preserve"> </w:t>
      </w:r>
    </w:p>
    <w:p w:rsidR="00421942" w:rsidP="00421942" w:rsidRDefault="00421942" w14:paraId="6A13A29F" w14:textId="77777777">
      <w:pPr>
        <w:rPr>
          <w:szCs w:val="18"/>
        </w:rPr>
      </w:pPr>
    </w:p>
    <w:p w:rsidRPr="00F726BA" w:rsidR="00F726BA" w:rsidP="00421942" w:rsidRDefault="0047546D" w14:paraId="6A680060" w14:textId="61D3E0D0">
      <w:pPr>
        <w:rPr>
          <w:i/>
          <w:iCs/>
          <w:szCs w:val="18"/>
        </w:rPr>
      </w:pPr>
      <w:r>
        <w:rPr>
          <w:i/>
          <w:iCs/>
          <w:szCs w:val="18"/>
        </w:rPr>
        <w:t>De positie van v</w:t>
      </w:r>
      <w:r w:rsidR="00F726BA">
        <w:rPr>
          <w:i/>
          <w:iCs/>
          <w:szCs w:val="18"/>
        </w:rPr>
        <w:t xml:space="preserve">rijwilligers in </w:t>
      </w:r>
      <w:r>
        <w:rPr>
          <w:i/>
          <w:iCs/>
          <w:szCs w:val="18"/>
        </w:rPr>
        <w:t xml:space="preserve">het </w:t>
      </w:r>
      <w:r w:rsidR="00F726BA">
        <w:rPr>
          <w:i/>
          <w:iCs/>
          <w:szCs w:val="18"/>
        </w:rPr>
        <w:t>archeologie</w:t>
      </w:r>
      <w:r>
        <w:rPr>
          <w:i/>
          <w:iCs/>
          <w:szCs w:val="18"/>
        </w:rPr>
        <w:t>stelsel</w:t>
      </w:r>
    </w:p>
    <w:p w:rsidR="00264A43" w:rsidP="00283BCA" w:rsidRDefault="00F726BA" w14:paraId="22C7C9EE" w14:textId="6E88CE0D">
      <w:pPr>
        <w:rPr>
          <w:szCs w:val="18"/>
        </w:rPr>
      </w:pPr>
      <w:r>
        <w:rPr>
          <w:szCs w:val="18"/>
        </w:rPr>
        <w:t xml:space="preserve">Ondanks dat het archeologisch onderzoek in Nederland – en veel andere Europese landen – de afgelopen decennia sterk geprofessionaliseerd is, spelen vrijwilligers in de archeologie </w:t>
      </w:r>
      <w:r w:rsidR="0000384D">
        <w:rPr>
          <w:szCs w:val="18"/>
        </w:rPr>
        <w:t xml:space="preserve">nog altijd </w:t>
      </w:r>
      <w:r w:rsidR="00B54286">
        <w:rPr>
          <w:szCs w:val="18"/>
        </w:rPr>
        <w:t>een</w:t>
      </w:r>
      <w:r>
        <w:rPr>
          <w:szCs w:val="18"/>
        </w:rPr>
        <w:t xml:space="preserve"> belangrijke en waardevolle rol</w:t>
      </w:r>
      <w:r w:rsidR="00B54286">
        <w:rPr>
          <w:szCs w:val="18"/>
        </w:rPr>
        <w:t xml:space="preserve"> in het stelsel</w:t>
      </w:r>
      <w:r>
        <w:rPr>
          <w:szCs w:val="18"/>
        </w:rPr>
        <w:t xml:space="preserve">. </w:t>
      </w:r>
      <w:r w:rsidRPr="00F726BA" w:rsidR="00283BCA">
        <w:rPr>
          <w:szCs w:val="18"/>
        </w:rPr>
        <w:t xml:space="preserve">In het hele land zetten zij zich in voor het opsporen, documenteren, beschermen en presenteren van archeologisch erfgoed op land en onder water. Ze helpen mee bij </w:t>
      </w:r>
      <w:r w:rsidRPr="00FA73FC" w:rsidR="00FA73FC">
        <w:rPr>
          <w:szCs w:val="18"/>
        </w:rPr>
        <w:t>commerciële</w:t>
      </w:r>
      <w:r w:rsidR="001F349D">
        <w:rPr>
          <w:szCs w:val="18"/>
        </w:rPr>
        <w:t xml:space="preserve"> </w:t>
      </w:r>
      <w:r w:rsidRPr="00F726BA" w:rsidR="00283BCA">
        <w:rPr>
          <w:szCs w:val="18"/>
        </w:rPr>
        <w:t xml:space="preserve">opgravingen en andere vormen van </w:t>
      </w:r>
      <w:r w:rsidR="00FA73FC">
        <w:rPr>
          <w:szCs w:val="18"/>
        </w:rPr>
        <w:t>(veld)</w:t>
      </w:r>
      <w:r w:rsidRPr="00F726BA" w:rsidR="00283BCA">
        <w:rPr>
          <w:szCs w:val="18"/>
        </w:rPr>
        <w:t>onderzoek, het registreren van vondsten en het beheren van collecties</w:t>
      </w:r>
      <w:r w:rsidR="00F36AF7">
        <w:rPr>
          <w:szCs w:val="18"/>
        </w:rPr>
        <w:t xml:space="preserve"> en geven vanuit hun eigen interesse en drijfveren invulling aan (zelfstandig) onderzoek naar het verleden</w:t>
      </w:r>
      <w:r w:rsidRPr="00F726BA" w:rsidR="00283BCA">
        <w:rPr>
          <w:szCs w:val="18"/>
        </w:rPr>
        <w:t xml:space="preserve">. Via allerlei educatieve activiteiten, zoals lezingen en excursies, maken zij de verhalen uit de bodem toegankelijk voor een breed publiek en dragen zo bij aan het draagvlak voor erfgoedzorg. </w:t>
      </w:r>
    </w:p>
    <w:p w:rsidR="0047546D" w:rsidP="00283BCA" w:rsidRDefault="0047546D" w14:paraId="23E9391A" w14:textId="77777777">
      <w:pPr>
        <w:rPr>
          <w:szCs w:val="18"/>
        </w:rPr>
      </w:pPr>
    </w:p>
    <w:p w:rsidR="00E906F1" w:rsidP="00283BCA" w:rsidRDefault="0047546D" w14:paraId="3946740D" w14:textId="2983EB21">
      <w:pPr>
        <w:rPr>
          <w:szCs w:val="18"/>
        </w:rPr>
      </w:pPr>
      <w:r>
        <w:rPr>
          <w:szCs w:val="18"/>
        </w:rPr>
        <w:t xml:space="preserve">Om te garanderen dat </w:t>
      </w:r>
      <w:r w:rsidR="00156E16">
        <w:rPr>
          <w:szCs w:val="18"/>
        </w:rPr>
        <w:t>vrijwilligers</w:t>
      </w:r>
      <w:r>
        <w:rPr>
          <w:szCs w:val="18"/>
        </w:rPr>
        <w:t xml:space="preserve"> een actieve rol kunnen blijven spelen, spant mijn ministerie zich reeds </w:t>
      </w:r>
      <w:r w:rsidRPr="00F726BA" w:rsidR="00283BCA">
        <w:rPr>
          <w:szCs w:val="18"/>
        </w:rPr>
        <w:t>geruime tijd in om de positie van vrijwilligers in de archeologie te versterken</w:t>
      </w:r>
      <w:r w:rsidR="00B54286">
        <w:rPr>
          <w:szCs w:val="18"/>
        </w:rPr>
        <w:t>.</w:t>
      </w:r>
      <w:r>
        <w:rPr>
          <w:szCs w:val="18"/>
        </w:rPr>
        <w:t xml:space="preserve"> </w:t>
      </w:r>
      <w:r w:rsidRPr="00F726BA" w:rsidR="0024395B">
        <w:rPr>
          <w:szCs w:val="18"/>
        </w:rPr>
        <w:t>Uw Kamer werd hierover</w:t>
      </w:r>
      <w:r w:rsidR="007151F6">
        <w:rPr>
          <w:szCs w:val="18"/>
        </w:rPr>
        <w:t xml:space="preserve"> de afgelopen jaren</w:t>
      </w:r>
      <w:r w:rsidRPr="00F726BA" w:rsidR="0024395B">
        <w:rPr>
          <w:szCs w:val="18"/>
        </w:rPr>
        <w:t xml:space="preserve"> geïnformeerd in diverse brieven.</w:t>
      </w:r>
      <w:r w:rsidRPr="00F726BA" w:rsidR="0024395B">
        <w:rPr>
          <w:rStyle w:val="Voetnootmarkering"/>
          <w:szCs w:val="18"/>
        </w:rPr>
        <w:footnoteReference w:id="1"/>
      </w:r>
      <w:r w:rsidRPr="00F726BA" w:rsidR="0024395B">
        <w:rPr>
          <w:szCs w:val="18"/>
        </w:rPr>
        <w:t xml:space="preserve"> </w:t>
      </w:r>
      <w:r w:rsidR="00264A43">
        <w:rPr>
          <w:szCs w:val="18"/>
        </w:rPr>
        <w:t xml:space="preserve">In het kader van de ratificatie van het Verdrag van Faro wordt bovendien extra inzet gepleegd op het verkennen hoe participatie in de archeologie verder vorm kan krijgen. </w:t>
      </w:r>
    </w:p>
    <w:p w:rsidR="00F36AF7" w:rsidP="00283BCA" w:rsidRDefault="00F36AF7" w14:paraId="220E7B6B" w14:textId="77777777">
      <w:pPr>
        <w:rPr>
          <w:szCs w:val="18"/>
        </w:rPr>
      </w:pPr>
    </w:p>
    <w:p w:rsidR="0041222E" w:rsidRDefault="0041222E" w14:paraId="0B4FBA0E" w14:textId="77777777">
      <w:pPr>
        <w:spacing w:line="240" w:lineRule="auto"/>
        <w:rPr>
          <w:i/>
          <w:iCs/>
          <w:szCs w:val="18"/>
        </w:rPr>
      </w:pPr>
      <w:r>
        <w:rPr>
          <w:i/>
          <w:iCs/>
          <w:szCs w:val="18"/>
        </w:rPr>
        <w:br w:type="page"/>
      </w:r>
    </w:p>
    <w:p w:rsidRPr="00C84BEB" w:rsidR="00421942" w:rsidP="00421942" w:rsidRDefault="00421942" w14:paraId="0E52A9EC" w14:textId="0B63B627">
      <w:pPr>
        <w:rPr>
          <w:szCs w:val="18"/>
        </w:rPr>
      </w:pPr>
      <w:r>
        <w:rPr>
          <w:i/>
          <w:iCs/>
          <w:szCs w:val="18"/>
        </w:rPr>
        <w:lastRenderedPageBreak/>
        <w:t xml:space="preserve">Het belang van goede zorg voor archeologisch erfgoed </w:t>
      </w:r>
    </w:p>
    <w:p w:rsidRPr="00C84BEB" w:rsidR="00421942" w:rsidP="00421942" w:rsidRDefault="00421942" w14:paraId="144D7564" w14:textId="2F00C066">
      <w:pPr>
        <w:contextualSpacing/>
        <w:rPr>
          <w:szCs w:val="18"/>
        </w:rPr>
      </w:pPr>
      <w:r w:rsidRPr="00C84BEB">
        <w:rPr>
          <w:szCs w:val="18"/>
        </w:rPr>
        <w:t xml:space="preserve">Het archeologisch bodemarchief is een belangrijke bron van kennis over het menselijk verleden. Dit archief is als bron </w:t>
      </w:r>
      <w:r w:rsidR="0000384D">
        <w:rPr>
          <w:szCs w:val="18"/>
        </w:rPr>
        <w:t xml:space="preserve">echter </w:t>
      </w:r>
      <w:r w:rsidRPr="00C84BEB">
        <w:rPr>
          <w:szCs w:val="18"/>
        </w:rPr>
        <w:t xml:space="preserve">niet oneindig: wanneer een archeologische vindplaats wordt verstoord, kan de oorspronkelijke context nooit meer worden hersteld. Het is juist deze context die essentieel is om het verhaal dat in de bodem ligt opgeslagen te kunnen onderzoeken, reconstrueren en delen. </w:t>
      </w:r>
    </w:p>
    <w:p w:rsidR="00421942" w:rsidP="00421942" w:rsidRDefault="00421942" w14:paraId="7A9D28B5" w14:textId="77777777">
      <w:pPr>
        <w:contextualSpacing/>
        <w:rPr>
          <w:szCs w:val="18"/>
        </w:rPr>
      </w:pPr>
    </w:p>
    <w:p w:rsidRPr="00C84BEB" w:rsidR="00421942" w:rsidP="00421942" w:rsidRDefault="00421942" w14:paraId="7A2FAE79" w14:textId="77777777">
      <w:pPr>
        <w:contextualSpacing/>
        <w:rPr>
          <w:szCs w:val="18"/>
        </w:rPr>
      </w:pPr>
      <w:r>
        <w:rPr>
          <w:szCs w:val="18"/>
        </w:rPr>
        <w:t>V</w:t>
      </w:r>
      <w:r w:rsidRPr="00C84BEB">
        <w:rPr>
          <w:szCs w:val="18"/>
        </w:rPr>
        <w:t>anaf de tweede helft van de twintigste eeuw</w:t>
      </w:r>
      <w:r>
        <w:rPr>
          <w:szCs w:val="18"/>
        </w:rPr>
        <w:t xml:space="preserve"> riepen</w:t>
      </w:r>
      <w:r w:rsidRPr="00C84BEB">
        <w:rPr>
          <w:szCs w:val="18"/>
        </w:rPr>
        <w:t xml:space="preserve"> zowel professionele als </w:t>
      </w:r>
      <w:r>
        <w:rPr>
          <w:szCs w:val="18"/>
        </w:rPr>
        <w:t>vrijwillige archeologen,</w:t>
      </w:r>
      <w:r w:rsidRPr="00C84BEB">
        <w:rPr>
          <w:szCs w:val="18"/>
        </w:rPr>
        <w:t xml:space="preserve"> in heel Europa, </w:t>
      </w:r>
      <w:r>
        <w:rPr>
          <w:szCs w:val="18"/>
        </w:rPr>
        <w:t xml:space="preserve">daarom </w:t>
      </w:r>
      <w:r w:rsidRPr="00C84BEB">
        <w:rPr>
          <w:szCs w:val="18"/>
        </w:rPr>
        <w:t>op tot betere bescherming van het archeologisch erfgoed. Vindplaatsen gingen in hoog tempo en op grote schaal verloren als gevolg van de toenemende verstedelijking en bijbehorende, grootschalige bodemingrepen. In 1992 leidde dit tot het Verdrag van Valletta (vaak aangeduid als het Verdrag van Malta), dat door Nederland en 18 andere landen werd ondertekend.</w:t>
      </w:r>
      <w:r w:rsidRPr="00C84BEB">
        <w:rPr>
          <w:rStyle w:val="Voetnootmarkering"/>
          <w:szCs w:val="18"/>
        </w:rPr>
        <w:footnoteReference w:id="2"/>
      </w:r>
      <w:r w:rsidRPr="00C84BEB">
        <w:rPr>
          <w:szCs w:val="18"/>
        </w:rPr>
        <w:t xml:space="preserve"> Inmiddels zijn er 45 landen </w:t>
      </w:r>
      <w:r>
        <w:rPr>
          <w:szCs w:val="18"/>
        </w:rPr>
        <w:t xml:space="preserve">bij dit verdrag </w:t>
      </w:r>
      <w:r w:rsidRPr="00C84BEB">
        <w:rPr>
          <w:szCs w:val="18"/>
        </w:rPr>
        <w:t xml:space="preserve">aangesloten. </w:t>
      </w:r>
    </w:p>
    <w:p w:rsidRPr="00C84BEB" w:rsidR="00421942" w:rsidP="00421942" w:rsidRDefault="00421942" w14:paraId="12454894" w14:textId="77777777">
      <w:pPr>
        <w:contextualSpacing/>
        <w:rPr>
          <w:szCs w:val="18"/>
        </w:rPr>
      </w:pPr>
    </w:p>
    <w:p w:rsidRPr="00C84BEB" w:rsidR="00421942" w:rsidP="00421942" w:rsidRDefault="00421942" w14:paraId="20F60E79" w14:textId="7117C7E5">
      <w:pPr>
        <w:contextualSpacing/>
        <w:rPr>
          <w:szCs w:val="18"/>
        </w:rPr>
      </w:pPr>
      <w:r w:rsidRPr="00C84BEB">
        <w:rPr>
          <w:szCs w:val="18"/>
        </w:rPr>
        <w:t>Kernpunten uit het verdrag zijn het streven naar het behoud van archeologische vindplaatsen in de bodem (</w:t>
      </w:r>
      <w:r w:rsidRPr="00C84BEB">
        <w:rPr>
          <w:i/>
          <w:iCs/>
          <w:szCs w:val="18"/>
        </w:rPr>
        <w:t>in situ</w:t>
      </w:r>
      <w:r w:rsidRPr="00C84BEB">
        <w:rPr>
          <w:szCs w:val="18"/>
        </w:rPr>
        <w:t xml:space="preserve">) en de plicht om deze te laten onderzoeken en documenteren, wanneer dat niet mogelijk is. Net als </w:t>
      </w:r>
      <w:r w:rsidR="00232CFD">
        <w:rPr>
          <w:szCs w:val="18"/>
        </w:rPr>
        <w:t xml:space="preserve">het vergraven van een vindplaats in het kader van een bouwactiviteit, leidt ook het </w:t>
      </w:r>
      <w:r w:rsidRPr="00C84BEB">
        <w:rPr>
          <w:szCs w:val="18"/>
        </w:rPr>
        <w:t xml:space="preserve">archeologisch opgraven ervan tot vernietiging. Zulke opgravingen zijn dus onderdeel van een onomkeerbaar proces en moeten met de grootste zorgvuldigheid worden uitgevoerd. Conform het Verdrag van Valletta mag dit daarom alleen worden gedaan op wetenschappelijke wijze, door gekwalificeerde personen die daarvoor toestemming hebben gekregen. De uitgangspunten van het </w:t>
      </w:r>
      <w:r>
        <w:rPr>
          <w:szCs w:val="18"/>
        </w:rPr>
        <w:t>verdrag</w:t>
      </w:r>
      <w:r w:rsidRPr="00C84BEB">
        <w:rPr>
          <w:szCs w:val="18"/>
        </w:rPr>
        <w:t xml:space="preserve"> zijn geïmplementeerd via de </w:t>
      </w:r>
      <w:r>
        <w:rPr>
          <w:szCs w:val="18"/>
        </w:rPr>
        <w:t>(</w:t>
      </w:r>
      <w:r w:rsidR="00B3318C">
        <w:rPr>
          <w:szCs w:val="18"/>
        </w:rPr>
        <w:t>voorlopers</w:t>
      </w:r>
      <w:r>
        <w:rPr>
          <w:szCs w:val="18"/>
        </w:rPr>
        <w:t xml:space="preserve"> van de) </w:t>
      </w:r>
      <w:r w:rsidRPr="00C84BEB">
        <w:rPr>
          <w:szCs w:val="18"/>
        </w:rPr>
        <w:t>Erfgoedwet en de Omgevingswet.</w:t>
      </w:r>
    </w:p>
    <w:p w:rsidR="00421942" w:rsidP="00421942" w:rsidRDefault="00421942" w14:paraId="1A96098E" w14:textId="77777777">
      <w:pPr>
        <w:contextualSpacing/>
        <w:rPr>
          <w:szCs w:val="18"/>
        </w:rPr>
      </w:pPr>
    </w:p>
    <w:p w:rsidRPr="009445E9" w:rsidR="00421942" w:rsidP="00421942" w:rsidRDefault="00421942" w14:paraId="08F95F03" w14:textId="77777777">
      <w:pPr>
        <w:contextualSpacing/>
        <w:rPr>
          <w:i/>
          <w:iCs/>
          <w:szCs w:val="18"/>
        </w:rPr>
      </w:pPr>
      <w:r>
        <w:rPr>
          <w:i/>
          <w:iCs/>
          <w:szCs w:val="18"/>
        </w:rPr>
        <w:t>Niet iedereen mag archeologisch onderzoek uitvoeren</w:t>
      </w:r>
    </w:p>
    <w:p w:rsidR="00B57F21" w:rsidP="00421942" w:rsidRDefault="00421942" w14:paraId="722E7452" w14:textId="6EF7F3B3">
      <w:pPr>
        <w:contextualSpacing/>
        <w:rPr>
          <w:szCs w:val="18"/>
        </w:rPr>
      </w:pPr>
      <w:r w:rsidRPr="00C84BEB">
        <w:rPr>
          <w:szCs w:val="18"/>
        </w:rPr>
        <w:t xml:space="preserve">In de praktijk betekent </w:t>
      </w:r>
      <w:r>
        <w:rPr>
          <w:szCs w:val="18"/>
        </w:rPr>
        <w:t>het bovenstaande</w:t>
      </w:r>
      <w:r w:rsidRPr="00C84BEB">
        <w:rPr>
          <w:szCs w:val="18"/>
        </w:rPr>
        <w:t xml:space="preserve">, dat alleen iemand die een opleiding tot archeoloog heeft gevolgd en werkzaam is bij een instelling die is gecertificeerd voor het uitvoeren van archeologisch onderzoek, een archeologische opgraving mag uitvoeren. </w:t>
      </w:r>
      <w:r w:rsidR="007151F6">
        <w:rPr>
          <w:szCs w:val="18"/>
        </w:rPr>
        <w:t>Wel mogen v</w:t>
      </w:r>
      <w:r w:rsidR="00B57F21">
        <w:rPr>
          <w:szCs w:val="18"/>
        </w:rPr>
        <w:t>rijwilligers deelnemen aan dergelijke opgravingen door gecertificeerde partijen, omdat zij hun werkzaamheden dan uitvoeren onder toezicht van een professionele archeoloog.</w:t>
      </w:r>
    </w:p>
    <w:p w:rsidR="00B57F21" w:rsidP="00421942" w:rsidRDefault="00B57F21" w14:paraId="13956A00" w14:textId="77777777">
      <w:pPr>
        <w:contextualSpacing/>
        <w:rPr>
          <w:szCs w:val="18"/>
        </w:rPr>
      </w:pPr>
    </w:p>
    <w:p w:rsidR="0041222E" w:rsidP="00421942" w:rsidRDefault="00F711B4" w14:paraId="635BAA11" w14:textId="77777777">
      <w:pPr>
        <w:contextualSpacing/>
        <w:rPr>
          <w:szCs w:val="18"/>
        </w:rPr>
      </w:pPr>
      <w:r>
        <w:rPr>
          <w:szCs w:val="18"/>
        </w:rPr>
        <w:t xml:space="preserve">Het belang van vrijwilligers in de archeologie, die zelf onderzoek willen verrichten, wordt </w:t>
      </w:r>
      <w:r w:rsidR="00B57F21">
        <w:rPr>
          <w:szCs w:val="18"/>
        </w:rPr>
        <w:t>ook</w:t>
      </w:r>
      <w:r>
        <w:rPr>
          <w:szCs w:val="18"/>
        </w:rPr>
        <w:t xml:space="preserve"> duidelijk erkend in de </w:t>
      </w:r>
      <w:r w:rsidR="00B57F21">
        <w:rPr>
          <w:szCs w:val="18"/>
        </w:rPr>
        <w:t>Erfgoed</w:t>
      </w:r>
      <w:r>
        <w:rPr>
          <w:szCs w:val="18"/>
        </w:rPr>
        <w:t xml:space="preserve">wet. Deze bevat </w:t>
      </w:r>
      <w:r w:rsidR="007151F6">
        <w:rPr>
          <w:szCs w:val="18"/>
        </w:rPr>
        <w:t>namelijk</w:t>
      </w:r>
      <w:r>
        <w:rPr>
          <w:szCs w:val="18"/>
        </w:rPr>
        <w:t xml:space="preserve"> een aantal uitzonderingen </w:t>
      </w:r>
      <w:r w:rsidR="00B57F21">
        <w:rPr>
          <w:szCs w:val="18"/>
        </w:rPr>
        <w:t>op</w:t>
      </w:r>
      <w:r>
        <w:rPr>
          <w:szCs w:val="18"/>
        </w:rPr>
        <w:t xml:space="preserve"> het opgravingsverbod</w:t>
      </w:r>
      <w:r w:rsidR="00B57F21">
        <w:rPr>
          <w:szCs w:val="18"/>
        </w:rPr>
        <w:t>, die in samenspraak met de vrijwilligers tot stand zijn gekomen</w:t>
      </w:r>
      <w:r>
        <w:rPr>
          <w:szCs w:val="18"/>
        </w:rPr>
        <w:t xml:space="preserve">. </w:t>
      </w:r>
      <w:r w:rsidR="00B57F21">
        <w:rPr>
          <w:szCs w:val="18"/>
        </w:rPr>
        <w:t>H</w:t>
      </w:r>
      <w:r w:rsidRPr="00C84BEB" w:rsidR="00421942">
        <w:rPr>
          <w:szCs w:val="18"/>
        </w:rPr>
        <w:t>et opgravingsverbod</w:t>
      </w:r>
      <w:r w:rsidR="00B57F21">
        <w:rPr>
          <w:szCs w:val="18"/>
        </w:rPr>
        <w:t xml:space="preserve"> is</w:t>
      </w:r>
      <w:r w:rsidRPr="00C84BEB" w:rsidR="00421942">
        <w:rPr>
          <w:szCs w:val="18"/>
        </w:rPr>
        <w:t xml:space="preserve"> bijvoorbeeld niet van toepassing op de activiteiten van metaaldetectoramateurs, zolang zij </w:t>
      </w:r>
      <w:r w:rsidR="00897351">
        <w:rPr>
          <w:szCs w:val="18"/>
        </w:rPr>
        <w:t xml:space="preserve">(onder andere) </w:t>
      </w:r>
      <w:r w:rsidRPr="00C84BEB" w:rsidR="00421942">
        <w:rPr>
          <w:szCs w:val="18"/>
        </w:rPr>
        <w:t xml:space="preserve">niet dieper dan 30 cm </w:t>
      </w:r>
      <w:r w:rsidR="00277930">
        <w:rPr>
          <w:szCs w:val="18"/>
        </w:rPr>
        <w:t>onder</w:t>
      </w:r>
      <w:r w:rsidR="00FA73FC">
        <w:rPr>
          <w:szCs w:val="18"/>
        </w:rPr>
        <w:t xml:space="preserve"> het</w:t>
      </w:r>
      <w:r w:rsidR="00277930">
        <w:rPr>
          <w:szCs w:val="18"/>
        </w:rPr>
        <w:t xml:space="preserve"> maaiveld </w:t>
      </w:r>
      <w:r w:rsidRPr="00C84BEB" w:rsidR="00421942">
        <w:rPr>
          <w:szCs w:val="18"/>
        </w:rPr>
        <w:t xml:space="preserve">graven. </w:t>
      </w:r>
      <w:r w:rsidR="00AE07DC">
        <w:rPr>
          <w:szCs w:val="18"/>
        </w:rPr>
        <w:t>Daarnaast</w:t>
      </w:r>
      <w:r w:rsidRPr="00C84BEB" w:rsidR="00AE07DC">
        <w:rPr>
          <w:szCs w:val="18"/>
        </w:rPr>
        <w:t xml:space="preserve"> </w:t>
      </w:r>
      <w:r w:rsidRPr="00C84BEB" w:rsidR="00421942">
        <w:rPr>
          <w:szCs w:val="18"/>
        </w:rPr>
        <w:t xml:space="preserve">mogen vrijwilligers opgravingen uitvoeren op terreinen waarvan het </w:t>
      </w:r>
      <w:r w:rsidR="00B3318C">
        <w:rPr>
          <w:szCs w:val="18"/>
        </w:rPr>
        <w:t>c</w:t>
      </w:r>
      <w:r w:rsidRPr="00C84BEB" w:rsidR="00421942">
        <w:rPr>
          <w:szCs w:val="18"/>
        </w:rPr>
        <w:t xml:space="preserve">ollege van burgemeester en wethouders heeft vastgesteld dat nader archeologische onderzoek niet is vereist. </w:t>
      </w:r>
    </w:p>
    <w:p w:rsidR="0041222E" w:rsidRDefault="0041222E" w14:paraId="436E37A3" w14:textId="77777777">
      <w:pPr>
        <w:spacing w:line="240" w:lineRule="auto"/>
        <w:rPr>
          <w:szCs w:val="18"/>
        </w:rPr>
      </w:pPr>
      <w:r>
        <w:rPr>
          <w:szCs w:val="18"/>
        </w:rPr>
        <w:br w:type="page"/>
      </w:r>
    </w:p>
    <w:p w:rsidR="00421942" w:rsidP="00421942" w:rsidRDefault="00421942" w14:paraId="78137F27" w14:textId="4E984A7B">
      <w:pPr>
        <w:contextualSpacing/>
        <w:rPr>
          <w:szCs w:val="18"/>
        </w:rPr>
      </w:pPr>
      <w:r w:rsidRPr="00C84BEB">
        <w:rPr>
          <w:szCs w:val="18"/>
        </w:rPr>
        <w:lastRenderedPageBreak/>
        <w:t xml:space="preserve">Vrijwilligers in de onderwaterarcheologie kunnen bij </w:t>
      </w:r>
      <w:r>
        <w:rPr>
          <w:szCs w:val="18"/>
        </w:rPr>
        <w:t>de minister van OCW</w:t>
      </w:r>
      <w:r w:rsidRPr="00C84BEB">
        <w:rPr>
          <w:szCs w:val="18"/>
        </w:rPr>
        <w:t xml:space="preserve"> een ontheffing van het opgravingsverbod aanvragen voor het </w:t>
      </w:r>
      <w:r>
        <w:rPr>
          <w:szCs w:val="18"/>
        </w:rPr>
        <w:t>verrichten</w:t>
      </w:r>
      <w:r w:rsidRPr="00C84BEB">
        <w:rPr>
          <w:szCs w:val="18"/>
        </w:rPr>
        <w:t xml:space="preserve"> van kleine </w:t>
      </w:r>
      <w:proofErr w:type="spellStart"/>
      <w:r w:rsidRPr="00C84BEB" w:rsidR="004A71EB">
        <w:rPr>
          <w:szCs w:val="18"/>
        </w:rPr>
        <w:t>onderzoekshandelingen</w:t>
      </w:r>
      <w:proofErr w:type="spellEnd"/>
      <w:r w:rsidRPr="00C84BEB">
        <w:rPr>
          <w:szCs w:val="18"/>
        </w:rPr>
        <w:t xml:space="preserve">. </w:t>
      </w:r>
    </w:p>
    <w:p w:rsidR="006E4751" w:rsidP="00421942" w:rsidRDefault="006E4751" w14:paraId="519EC990" w14:textId="77777777">
      <w:pPr>
        <w:contextualSpacing/>
        <w:rPr>
          <w:szCs w:val="18"/>
        </w:rPr>
      </w:pPr>
    </w:p>
    <w:p w:rsidRPr="00C84BEB" w:rsidR="00421942" w:rsidP="00421942" w:rsidRDefault="00421942" w14:paraId="1F01F42E" w14:textId="62AAD4D6">
      <w:pPr>
        <w:contextualSpacing/>
        <w:rPr>
          <w:szCs w:val="18"/>
        </w:rPr>
      </w:pPr>
      <w:r w:rsidRPr="00C84BEB">
        <w:rPr>
          <w:szCs w:val="18"/>
        </w:rPr>
        <w:t>Net als aan archeologisch onderzoek dat professioneel wordt uitgevoerd, zijn</w:t>
      </w:r>
      <w:r>
        <w:rPr>
          <w:szCs w:val="18"/>
        </w:rPr>
        <w:t>,</w:t>
      </w:r>
      <w:r w:rsidRPr="00C84BEB">
        <w:rPr>
          <w:szCs w:val="18"/>
        </w:rPr>
        <w:t xml:space="preserve"> in het belang van de archeologische monumentenzorg</w:t>
      </w:r>
      <w:r>
        <w:rPr>
          <w:szCs w:val="18"/>
        </w:rPr>
        <w:t>,</w:t>
      </w:r>
      <w:r w:rsidRPr="00C84BEB">
        <w:rPr>
          <w:szCs w:val="18"/>
        </w:rPr>
        <w:t xml:space="preserve"> aan de uitzonderingen voor vrijwilligers specifieke voorwaarden verbonden. Het overtreden van het opgravingsverbod, of van de voorwaarden die horen bij een uitzondering daar</w:t>
      </w:r>
      <w:r>
        <w:rPr>
          <w:szCs w:val="18"/>
        </w:rPr>
        <w:t>op</w:t>
      </w:r>
      <w:r w:rsidRPr="00C84BEB">
        <w:rPr>
          <w:szCs w:val="18"/>
        </w:rPr>
        <w:t xml:space="preserve">, leidt </w:t>
      </w:r>
      <w:bookmarkStart w:name="d16e190" w:id="0"/>
      <w:bookmarkEnd w:id="0"/>
      <w:r w:rsidRPr="00C84BEB">
        <w:rPr>
          <w:szCs w:val="18"/>
        </w:rPr>
        <w:t xml:space="preserve">onherroepelijk tot verlies van archeologische vindplaatsen en informatie. Het is dan ook van belang om hier strikt op te handhaven. </w:t>
      </w:r>
    </w:p>
    <w:p w:rsidR="00421942" w:rsidP="00421942" w:rsidRDefault="00421942" w14:paraId="290149AD" w14:textId="77777777">
      <w:pPr>
        <w:contextualSpacing/>
        <w:rPr>
          <w:szCs w:val="18"/>
        </w:rPr>
      </w:pPr>
    </w:p>
    <w:p w:rsidRPr="00900D67" w:rsidR="00421942" w:rsidP="00421942" w:rsidRDefault="00421942" w14:paraId="317437D5" w14:textId="77777777">
      <w:pPr>
        <w:contextualSpacing/>
        <w:rPr>
          <w:i/>
          <w:iCs/>
          <w:szCs w:val="18"/>
        </w:rPr>
      </w:pPr>
      <w:r>
        <w:rPr>
          <w:i/>
          <w:iCs/>
          <w:szCs w:val="18"/>
        </w:rPr>
        <w:t>De gevolgen van illegale opgravingen</w:t>
      </w:r>
    </w:p>
    <w:p w:rsidR="00421942" w:rsidP="00421942" w:rsidRDefault="00421942" w14:paraId="528EB2E1" w14:textId="03C85787">
      <w:pPr>
        <w:contextualSpacing/>
        <w:rPr>
          <w:szCs w:val="18"/>
        </w:rPr>
      </w:pPr>
      <w:r>
        <w:rPr>
          <w:szCs w:val="18"/>
        </w:rPr>
        <w:t xml:space="preserve">Er zijn diverse voorbeelden van de negatieve gevolgen van archeologische opgravingen die worden uitgevoerd door personen die daar niet voor gekwalificeerd zijn. </w:t>
      </w:r>
    </w:p>
    <w:p w:rsidR="00421942" w:rsidP="00421942" w:rsidRDefault="00421942" w14:paraId="47714D09" w14:textId="77777777">
      <w:pPr>
        <w:contextualSpacing/>
        <w:rPr>
          <w:szCs w:val="18"/>
        </w:rPr>
      </w:pPr>
    </w:p>
    <w:p w:rsidRPr="00C84BEB" w:rsidR="00421942" w:rsidP="00421942" w:rsidRDefault="00421942" w14:paraId="60A5304E" w14:textId="4EB40EFA">
      <w:pPr>
        <w:contextualSpacing/>
        <w:rPr>
          <w:szCs w:val="18"/>
        </w:rPr>
      </w:pPr>
      <w:r>
        <w:rPr>
          <w:szCs w:val="18"/>
        </w:rPr>
        <w:t>I</w:t>
      </w:r>
      <w:r w:rsidRPr="00C84BEB">
        <w:rPr>
          <w:szCs w:val="18"/>
        </w:rPr>
        <w:t>n Heumen (provincie Gelderland)</w:t>
      </w:r>
      <w:r>
        <w:rPr>
          <w:szCs w:val="18"/>
        </w:rPr>
        <w:t xml:space="preserve"> werd </w:t>
      </w:r>
      <w:r w:rsidRPr="00C84BEB">
        <w:rPr>
          <w:szCs w:val="18"/>
        </w:rPr>
        <w:t>in 2018</w:t>
      </w:r>
      <w:r>
        <w:rPr>
          <w:szCs w:val="18"/>
        </w:rPr>
        <w:t xml:space="preserve"> </w:t>
      </w:r>
      <w:r w:rsidRPr="00C84BEB">
        <w:rPr>
          <w:szCs w:val="18"/>
        </w:rPr>
        <w:t>een zeldzaam wagengraf uit circa 450 v.Chr.</w:t>
      </w:r>
      <w:r>
        <w:rPr>
          <w:szCs w:val="18"/>
        </w:rPr>
        <w:t xml:space="preserve"> illegaal opgegraven</w:t>
      </w:r>
      <w:r w:rsidRPr="00C84BEB">
        <w:rPr>
          <w:szCs w:val="18"/>
        </w:rPr>
        <w:t>.</w:t>
      </w:r>
      <w:r w:rsidRPr="00C84BEB">
        <w:rPr>
          <w:rStyle w:val="Voetnootmarkering"/>
          <w:szCs w:val="18"/>
        </w:rPr>
        <w:footnoteReference w:id="3"/>
      </w:r>
      <w:r w:rsidRPr="00C84BEB">
        <w:rPr>
          <w:szCs w:val="18"/>
        </w:rPr>
        <w:t xml:space="preserve"> Een metaaldetector</w:t>
      </w:r>
      <w:r w:rsidR="00277930">
        <w:rPr>
          <w:szCs w:val="18"/>
        </w:rPr>
        <w:t>zoeker</w:t>
      </w:r>
      <w:r w:rsidRPr="00C84BEB">
        <w:rPr>
          <w:szCs w:val="18"/>
        </w:rPr>
        <w:t xml:space="preserve"> groef een kuil van circa 60 cm (veel dieper dus dan de toegestane 30 cm) om een kluwe</w:t>
      </w:r>
      <w:r>
        <w:rPr>
          <w:szCs w:val="18"/>
        </w:rPr>
        <w:t>n</w:t>
      </w:r>
      <w:r w:rsidRPr="00C84BEB">
        <w:rPr>
          <w:szCs w:val="18"/>
        </w:rPr>
        <w:t xml:space="preserve"> van ijzer en brons </w:t>
      </w:r>
      <w:r>
        <w:rPr>
          <w:szCs w:val="18"/>
        </w:rPr>
        <w:t>naar boven te halen</w:t>
      </w:r>
      <w:r w:rsidRPr="00C84BEB">
        <w:rPr>
          <w:szCs w:val="18"/>
        </w:rPr>
        <w:t xml:space="preserve">. Later bleek het te gaan om onderdelen van een </w:t>
      </w:r>
      <w:r>
        <w:rPr>
          <w:szCs w:val="18"/>
        </w:rPr>
        <w:t xml:space="preserve">zeer zeldzame </w:t>
      </w:r>
      <w:r w:rsidRPr="00C84BEB">
        <w:rPr>
          <w:szCs w:val="18"/>
        </w:rPr>
        <w:t xml:space="preserve">strijdwagen. Omdat deze vondst ondeskundig werd geborgen, kon de precieze ligging van de objecten niet meer worden vastgesteld. Hierdoor is belangrijke en unieke informatie over het grafritueel en de datering van het graf </w:t>
      </w:r>
      <w:r>
        <w:rPr>
          <w:szCs w:val="18"/>
        </w:rPr>
        <w:t xml:space="preserve">onherroepelijk </w:t>
      </w:r>
      <w:r w:rsidRPr="00C84BEB">
        <w:rPr>
          <w:szCs w:val="18"/>
        </w:rPr>
        <w:t>verloren gegaan. De zaak leidde tot een strafrechtelijk onderzoek en een veroordeling via het Openbaar Ministerie</w:t>
      </w:r>
      <w:r>
        <w:rPr>
          <w:szCs w:val="18"/>
        </w:rPr>
        <w:t xml:space="preserve"> (OM)</w:t>
      </w:r>
      <w:r w:rsidRPr="00C84BEB">
        <w:rPr>
          <w:szCs w:val="18"/>
        </w:rPr>
        <w:t xml:space="preserve">. </w:t>
      </w:r>
    </w:p>
    <w:p w:rsidRPr="00C84BEB" w:rsidR="00421942" w:rsidP="00421942" w:rsidRDefault="00421942" w14:paraId="3C3AF89A" w14:textId="77777777">
      <w:pPr>
        <w:contextualSpacing/>
        <w:rPr>
          <w:szCs w:val="18"/>
        </w:rPr>
      </w:pPr>
    </w:p>
    <w:p w:rsidR="00421942" w:rsidP="00421942" w:rsidRDefault="00421942" w14:paraId="3D6004BC" w14:textId="6CAF629C">
      <w:pPr>
        <w:contextualSpacing/>
        <w:rPr>
          <w:szCs w:val="18"/>
        </w:rPr>
      </w:pPr>
      <w:r w:rsidRPr="00C84BEB">
        <w:rPr>
          <w:szCs w:val="18"/>
        </w:rPr>
        <w:t xml:space="preserve">In Meerlo (provincie Limburg) </w:t>
      </w:r>
      <w:r>
        <w:rPr>
          <w:szCs w:val="18"/>
        </w:rPr>
        <w:t xml:space="preserve">werd, eveneens in 2018, </w:t>
      </w:r>
      <w:r w:rsidRPr="00C84BEB">
        <w:rPr>
          <w:szCs w:val="18"/>
        </w:rPr>
        <w:t xml:space="preserve">met een graafmachine illegaal het wrak van een Britse Supermarine </w:t>
      </w:r>
      <w:proofErr w:type="spellStart"/>
      <w:r w:rsidRPr="00C84BEB">
        <w:rPr>
          <w:szCs w:val="18"/>
        </w:rPr>
        <w:t>Spitfire</w:t>
      </w:r>
      <w:proofErr w:type="spellEnd"/>
      <w:r>
        <w:rPr>
          <w:szCs w:val="18"/>
        </w:rPr>
        <w:t xml:space="preserve"> opgegraven</w:t>
      </w:r>
      <w:r w:rsidRPr="00C84BEB">
        <w:rPr>
          <w:szCs w:val="18"/>
        </w:rPr>
        <w:t>, die daar op 28 mei 1944 was neergestort.</w:t>
      </w:r>
      <w:r w:rsidRPr="00C84BEB">
        <w:rPr>
          <w:rStyle w:val="Voetnootmarkering"/>
          <w:szCs w:val="18"/>
        </w:rPr>
        <w:footnoteReference w:id="4"/>
      </w:r>
      <w:r w:rsidRPr="00C84BEB">
        <w:rPr>
          <w:szCs w:val="18"/>
        </w:rPr>
        <w:t xml:space="preserve"> </w:t>
      </w:r>
      <w:r>
        <w:rPr>
          <w:szCs w:val="18"/>
        </w:rPr>
        <w:t>O</w:t>
      </w:r>
      <w:r w:rsidRPr="00C84BEB">
        <w:rPr>
          <w:szCs w:val="18"/>
        </w:rPr>
        <w:t xml:space="preserve">nder andere </w:t>
      </w:r>
      <w:r w:rsidR="0000384D">
        <w:rPr>
          <w:szCs w:val="18"/>
        </w:rPr>
        <w:t xml:space="preserve">zuurstoftanks, </w:t>
      </w:r>
      <w:r w:rsidRPr="00C84BEB">
        <w:rPr>
          <w:szCs w:val="18"/>
        </w:rPr>
        <w:t>het motorblok, landkaarten, een parachute</w:t>
      </w:r>
      <w:r w:rsidR="0000384D">
        <w:rPr>
          <w:szCs w:val="18"/>
        </w:rPr>
        <w:t xml:space="preserve"> en </w:t>
      </w:r>
      <w:r w:rsidRPr="00C84BEB">
        <w:rPr>
          <w:szCs w:val="18"/>
        </w:rPr>
        <w:t>een reddingsvest</w:t>
      </w:r>
      <w:r w:rsidR="0000384D">
        <w:rPr>
          <w:szCs w:val="18"/>
        </w:rPr>
        <w:t xml:space="preserve"> </w:t>
      </w:r>
      <w:r>
        <w:rPr>
          <w:szCs w:val="18"/>
        </w:rPr>
        <w:t>werden geborgen</w:t>
      </w:r>
      <w:r w:rsidRPr="00C84BEB">
        <w:rPr>
          <w:szCs w:val="18"/>
        </w:rPr>
        <w:t xml:space="preserve">. Dat daarbij niet alleen uit interesse </w:t>
      </w:r>
      <w:r>
        <w:rPr>
          <w:szCs w:val="18"/>
        </w:rPr>
        <w:t>werd gehandeld</w:t>
      </w:r>
      <w:r w:rsidRPr="00C84BEB">
        <w:rPr>
          <w:szCs w:val="18"/>
        </w:rPr>
        <w:t>, bleek uit het feit dat diverse onderdelen te koop werden aangeboden, iets wat onder het Verdrag van Valletta ten strengste verboden is.</w:t>
      </w:r>
      <w:r>
        <w:rPr>
          <w:szCs w:val="18"/>
        </w:rPr>
        <w:t xml:space="preserve"> </w:t>
      </w:r>
      <w:r w:rsidRPr="00C84BEB">
        <w:rPr>
          <w:szCs w:val="18"/>
        </w:rPr>
        <w:t xml:space="preserve">De verstoring van de vindplaats leidde tot verlies van informatie die belangrijk is om vast te stellen wat zich heeft afgespeeld tijdens, voorafgaand en direct na het neerstorten van het vliegtuig. Hiermee is niet alleen kennis over een belangrijke periode in onze geschiedenis verloren gegaan, maar </w:t>
      </w:r>
      <w:r>
        <w:rPr>
          <w:szCs w:val="18"/>
        </w:rPr>
        <w:t xml:space="preserve">is </w:t>
      </w:r>
      <w:r w:rsidRPr="00C84BEB">
        <w:rPr>
          <w:szCs w:val="18"/>
        </w:rPr>
        <w:t xml:space="preserve">ook de mogelijkheid </w:t>
      </w:r>
      <w:r>
        <w:rPr>
          <w:szCs w:val="18"/>
        </w:rPr>
        <w:t xml:space="preserve">verdwenen </w:t>
      </w:r>
      <w:r w:rsidRPr="00C84BEB">
        <w:rPr>
          <w:szCs w:val="18"/>
        </w:rPr>
        <w:t xml:space="preserve">voor de nabestaanden om </w:t>
      </w:r>
      <w:r w:rsidR="00277930">
        <w:rPr>
          <w:szCs w:val="18"/>
        </w:rPr>
        <w:t>meer te weten te komen over</w:t>
      </w:r>
      <w:r w:rsidRPr="00C84BEB">
        <w:rPr>
          <w:szCs w:val="18"/>
        </w:rPr>
        <w:t xml:space="preserve"> wat zich op die bewuste dag precies heeft afgespeeld. De rechter – die de betrokkenen in 2022 veroordeelde tot taakstraffen en een voorwaardelijke gevangenisstraf – stelde bovendien dat hier tevens sprake is van diefstal, omdat de resten van het vliegtuig formeel eigendom zijn van het Verenigd Koninkrijk.   </w:t>
      </w:r>
    </w:p>
    <w:p w:rsidR="00421942" w:rsidP="00421942" w:rsidRDefault="00421942" w14:paraId="27A28381" w14:textId="77777777">
      <w:pPr>
        <w:contextualSpacing/>
        <w:rPr>
          <w:szCs w:val="18"/>
        </w:rPr>
      </w:pPr>
    </w:p>
    <w:p w:rsidR="0041222E" w:rsidRDefault="0041222E" w14:paraId="74B29CF3" w14:textId="77777777">
      <w:pPr>
        <w:spacing w:line="240" w:lineRule="auto"/>
        <w:rPr>
          <w:szCs w:val="18"/>
        </w:rPr>
      </w:pPr>
      <w:r>
        <w:rPr>
          <w:szCs w:val="18"/>
        </w:rPr>
        <w:br w:type="page"/>
      </w:r>
    </w:p>
    <w:p w:rsidR="00421942" w:rsidP="00421942" w:rsidRDefault="00421942" w14:paraId="209BB239" w14:textId="59498650">
      <w:pPr>
        <w:contextualSpacing/>
        <w:rPr>
          <w:szCs w:val="18"/>
        </w:rPr>
      </w:pPr>
      <w:r>
        <w:rPr>
          <w:szCs w:val="18"/>
        </w:rPr>
        <w:lastRenderedPageBreak/>
        <w:t xml:space="preserve">Dit soort activiteiten spelen zich niet alleen op land af, maar ook onder water. Het bekendste voorbeeld is ongetwijfeld de casus van het Palmhoutwrak, waarover regisseur Arnold van Bruggen voor de NTR de goed bekeken documentaire </w:t>
      </w:r>
      <w:r>
        <w:rPr>
          <w:i/>
          <w:iCs/>
          <w:szCs w:val="18"/>
        </w:rPr>
        <w:t>De jurk en het scheepswrak</w:t>
      </w:r>
      <w:r>
        <w:rPr>
          <w:szCs w:val="18"/>
        </w:rPr>
        <w:t xml:space="preserve"> maakte. Sportduikers hebben hier </w:t>
      </w:r>
      <w:r w:rsidR="008C1818">
        <w:rPr>
          <w:szCs w:val="18"/>
        </w:rPr>
        <w:t xml:space="preserve">in hun enthousiasme </w:t>
      </w:r>
      <w:r>
        <w:rPr>
          <w:szCs w:val="18"/>
        </w:rPr>
        <w:t>veel vondsten naar boven gehaald, waarbij grote delen van de constructie van het schip flink zijn beschadigd.</w:t>
      </w:r>
      <w:r>
        <w:rPr>
          <w:rStyle w:val="Voetnootmarkering"/>
          <w:szCs w:val="18"/>
        </w:rPr>
        <w:footnoteReference w:id="5"/>
      </w:r>
      <w:r>
        <w:rPr>
          <w:szCs w:val="18"/>
        </w:rPr>
        <w:t xml:space="preserve"> Doordat er diepe kuilen in het wrak zijn gegraven en grote objecten zijn verwijderd, is bovendien verdere erosie opgetreden</w:t>
      </w:r>
      <w:r w:rsidR="008C1818">
        <w:rPr>
          <w:szCs w:val="18"/>
        </w:rPr>
        <w:t>, waardoor het schip en de inhoud verder beschadigd zijn geraakt</w:t>
      </w:r>
      <w:r>
        <w:rPr>
          <w:szCs w:val="18"/>
        </w:rPr>
        <w:t xml:space="preserve">. De vondsten zelf zijn in meer of mindere mate beschadigd, doordat ze onprofessioneel zijn behandeld. Ook de context van de vondsten binnen het schip is niet gedocumenteerd, waardoor veel belangrijke informatie verloren is gegaan en verschillende vragen </w:t>
      </w:r>
      <w:r w:rsidR="00B3318C">
        <w:rPr>
          <w:szCs w:val="18"/>
        </w:rPr>
        <w:t xml:space="preserve">aanzienlijk lastiger – of misschien wel nooit meer – beantwoord </w:t>
      </w:r>
      <w:r>
        <w:rPr>
          <w:szCs w:val="18"/>
        </w:rPr>
        <w:t>zullen kunnen worden</w:t>
      </w:r>
      <w:r w:rsidR="00B3318C">
        <w:rPr>
          <w:szCs w:val="18"/>
        </w:rPr>
        <w:t xml:space="preserve">, zoals vragen over </w:t>
      </w:r>
      <w:r w:rsidR="008C1818">
        <w:rPr>
          <w:szCs w:val="18"/>
        </w:rPr>
        <w:t xml:space="preserve">de herkomst van de lading, waaronder </w:t>
      </w:r>
      <w:r w:rsidR="00897351">
        <w:rPr>
          <w:szCs w:val="18"/>
        </w:rPr>
        <w:t>de beroemde jurk</w:t>
      </w:r>
      <w:r w:rsidR="00B3318C">
        <w:rPr>
          <w:szCs w:val="18"/>
        </w:rPr>
        <w:t>.</w:t>
      </w:r>
    </w:p>
    <w:p w:rsidR="00107B09" w:rsidP="00421942" w:rsidRDefault="00107B09" w14:paraId="54D12E6D" w14:textId="77777777">
      <w:pPr>
        <w:contextualSpacing/>
        <w:rPr>
          <w:szCs w:val="18"/>
        </w:rPr>
      </w:pPr>
    </w:p>
    <w:p w:rsidRPr="00900D67" w:rsidR="00421942" w:rsidP="00421942" w:rsidRDefault="00421942" w14:paraId="213166B7" w14:textId="700AEB9C">
      <w:pPr>
        <w:contextualSpacing/>
        <w:rPr>
          <w:i/>
          <w:iCs/>
          <w:szCs w:val="18"/>
        </w:rPr>
      </w:pPr>
      <w:r>
        <w:rPr>
          <w:i/>
          <w:iCs/>
          <w:szCs w:val="18"/>
        </w:rPr>
        <w:t>Samenwerking leidt tot waardevol onderzoek</w:t>
      </w:r>
    </w:p>
    <w:p w:rsidR="00421942" w:rsidP="00421942" w:rsidRDefault="00421942" w14:paraId="7F3E38F8" w14:textId="356DFE84">
      <w:pPr>
        <w:contextualSpacing/>
        <w:rPr>
          <w:szCs w:val="18"/>
        </w:rPr>
      </w:pPr>
      <w:r>
        <w:rPr>
          <w:szCs w:val="18"/>
        </w:rPr>
        <w:t>G</w:t>
      </w:r>
      <w:r w:rsidRPr="00C84BEB">
        <w:rPr>
          <w:szCs w:val="18"/>
        </w:rPr>
        <w:t>elukkig</w:t>
      </w:r>
      <w:r>
        <w:rPr>
          <w:szCs w:val="18"/>
        </w:rPr>
        <w:t xml:space="preserve"> zijn er</w:t>
      </w:r>
      <w:r w:rsidRPr="00C84BEB">
        <w:rPr>
          <w:szCs w:val="18"/>
        </w:rPr>
        <w:t xml:space="preserve"> ook </w:t>
      </w:r>
      <w:r w:rsidR="00107B09">
        <w:rPr>
          <w:szCs w:val="18"/>
        </w:rPr>
        <w:t>vele</w:t>
      </w:r>
      <w:r w:rsidRPr="00C84BEB" w:rsidR="00107B09">
        <w:rPr>
          <w:szCs w:val="18"/>
        </w:rPr>
        <w:t xml:space="preserve"> </w:t>
      </w:r>
      <w:r w:rsidRPr="00C84BEB">
        <w:rPr>
          <w:szCs w:val="18"/>
        </w:rPr>
        <w:t xml:space="preserve">voorbeelden waarbij vondsten die worden gedaan door </w:t>
      </w:r>
      <w:r>
        <w:rPr>
          <w:szCs w:val="18"/>
        </w:rPr>
        <w:t>vrijwilligers in de archeologie</w:t>
      </w:r>
      <w:r w:rsidRPr="00C84BEB">
        <w:rPr>
          <w:szCs w:val="18"/>
        </w:rPr>
        <w:t xml:space="preserve"> juist bijdragen aan een goede omgang met archeologische resten en het opbouwen van kennis over ons verleden. </w:t>
      </w:r>
      <w:r>
        <w:rPr>
          <w:szCs w:val="18"/>
        </w:rPr>
        <w:t xml:space="preserve">Deze voorbeelden laten zien </w:t>
      </w:r>
      <w:r w:rsidRPr="00C84BEB">
        <w:rPr>
          <w:szCs w:val="18"/>
        </w:rPr>
        <w:t xml:space="preserve">dat daarbij vooral de samenwerking </w:t>
      </w:r>
      <w:r>
        <w:rPr>
          <w:szCs w:val="18"/>
        </w:rPr>
        <w:t>tussen vrijwillige en</w:t>
      </w:r>
      <w:r w:rsidRPr="00C84BEB">
        <w:rPr>
          <w:szCs w:val="18"/>
        </w:rPr>
        <w:t xml:space="preserve"> professionele archeologen cruciaal is. </w:t>
      </w:r>
    </w:p>
    <w:p w:rsidR="00421942" w:rsidP="00421942" w:rsidRDefault="00421942" w14:paraId="111C6EAB" w14:textId="77777777">
      <w:pPr>
        <w:contextualSpacing/>
        <w:rPr>
          <w:szCs w:val="18"/>
        </w:rPr>
      </w:pPr>
    </w:p>
    <w:p w:rsidR="001F349D" w:rsidP="00421942" w:rsidRDefault="00421942" w14:paraId="5B9B9F8F" w14:textId="664E0FD9">
      <w:pPr>
        <w:contextualSpacing/>
        <w:rPr>
          <w:szCs w:val="18"/>
        </w:rPr>
      </w:pPr>
      <w:r>
        <w:rPr>
          <w:szCs w:val="18"/>
        </w:rPr>
        <w:t>Dat is bijvoorbeeld het geval bij het onderzoek naar Doggerland, de grootste archeologische vindplaats van Europa</w:t>
      </w:r>
      <w:r w:rsidR="00A60531">
        <w:rPr>
          <w:szCs w:val="18"/>
        </w:rPr>
        <w:t xml:space="preserve">. Hier leefden </w:t>
      </w:r>
      <w:r>
        <w:rPr>
          <w:szCs w:val="18"/>
        </w:rPr>
        <w:t>mensen vanaf circa 900.000 tot 8000 jaar geleden, toen het gebied onder de Noordzee</w:t>
      </w:r>
      <w:r w:rsidRPr="00227E76">
        <w:rPr>
          <w:szCs w:val="18"/>
        </w:rPr>
        <w:t xml:space="preserve"> </w:t>
      </w:r>
      <w:r>
        <w:rPr>
          <w:szCs w:val="18"/>
        </w:rPr>
        <w:t>verdween.</w:t>
      </w:r>
      <w:r w:rsidR="004067EA">
        <w:rPr>
          <w:rStyle w:val="Voetnootmarkering"/>
          <w:szCs w:val="18"/>
        </w:rPr>
        <w:footnoteReference w:id="6"/>
      </w:r>
      <w:r>
        <w:rPr>
          <w:szCs w:val="18"/>
        </w:rPr>
        <w:t xml:space="preserve"> </w:t>
      </w:r>
      <w:r w:rsidR="00AE07DC">
        <w:rPr>
          <w:szCs w:val="18"/>
        </w:rPr>
        <w:t>De</w:t>
      </w:r>
      <w:r>
        <w:rPr>
          <w:szCs w:val="18"/>
        </w:rPr>
        <w:t xml:space="preserve"> talloze unieke en uitzonderlijk goed geconserveerde voorwerpen en fossielen</w:t>
      </w:r>
      <w:r w:rsidR="004067EA">
        <w:rPr>
          <w:szCs w:val="18"/>
        </w:rPr>
        <w:t xml:space="preserve"> van Doggerland, </w:t>
      </w:r>
      <w:r>
        <w:rPr>
          <w:szCs w:val="18"/>
        </w:rPr>
        <w:t xml:space="preserve">worden al decennialang door vrijwilligers verzameld. </w:t>
      </w:r>
      <w:r w:rsidR="004067EA">
        <w:rPr>
          <w:szCs w:val="18"/>
        </w:rPr>
        <w:t xml:space="preserve">Omdat </w:t>
      </w:r>
      <w:r>
        <w:rPr>
          <w:szCs w:val="18"/>
        </w:rPr>
        <w:t xml:space="preserve">zij steeds vaker contact zochten met professionele archeologen, </w:t>
      </w:r>
      <w:r w:rsidR="004067EA">
        <w:rPr>
          <w:szCs w:val="18"/>
        </w:rPr>
        <w:t xml:space="preserve">is </w:t>
      </w:r>
      <w:r>
        <w:rPr>
          <w:szCs w:val="18"/>
        </w:rPr>
        <w:t xml:space="preserve">een grote groep zoekers en wetenschappers met elkaar verbonden geraakt via diverse (informele) netwerken, waarin vondsten worden gedaan, </w:t>
      </w:r>
      <w:r w:rsidRPr="004067EA">
        <w:rPr>
          <w:szCs w:val="18"/>
        </w:rPr>
        <w:t xml:space="preserve">gedeeld en onderzocht. Dit heeft geleid tot </w:t>
      </w:r>
      <w:r w:rsidRPr="004067EA" w:rsidR="005D7589">
        <w:rPr>
          <w:szCs w:val="18"/>
        </w:rPr>
        <w:t xml:space="preserve">spectaculaire ontdekkingen, zoals botfragmenten van de eerste Neanderthaler en van de oudste moderne mens die in Nederland zijn aangetroffen. </w:t>
      </w:r>
      <w:r w:rsidRPr="004067EA">
        <w:rPr>
          <w:szCs w:val="18"/>
        </w:rPr>
        <w:t>De verzamelaars zijn onmisbaar voor diverse grote onderzoeksprojecten die worden uitgevoerd door bijvoorbeeld Naturalis</w:t>
      </w:r>
      <w:r w:rsidRPr="004067EA" w:rsidR="004067EA">
        <w:rPr>
          <w:szCs w:val="18"/>
        </w:rPr>
        <w:t>, Universiteit Groningen</w:t>
      </w:r>
      <w:r w:rsidRPr="004067EA">
        <w:rPr>
          <w:szCs w:val="18"/>
        </w:rPr>
        <w:t xml:space="preserve"> en het RMO, waarin zij worden betrokken als volwaardige onderzoekers. De vondsten van Doggerland worden regelmatig</w:t>
      </w:r>
      <w:r w:rsidRPr="004067EA" w:rsidR="004067EA">
        <w:rPr>
          <w:szCs w:val="18"/>
        </w:rPr>
        <w:t xml:space="preserve"> (</w:t>
      </w:r>
      <w:proofErr w:type="spellStart"/>
      <w:r w:rsidRPr="004067EA" w:rsidR="004067EA">
        <w:rPr>
          <w:szCs w:val="18"/>
        </w:rPr>
        <w:t>inter</w:t>
      </w:r>
      <w:proofErr w:type="spellEnd"/>
      <w:r w:rsidRPr="004067EA" w:rsidR="004067EA">
        <w:rPr>
          <w:szCs w:val="18"/>
        </w:rPr>
        <w:t>)nationaal</w:t>
      </w:r>
      <w:r w:rsidRPr="004067EA">
        <w:rPr>
          <w:szCs w:val="18"/>
        </w:rPr>
        <w:t xml:space="preserve"> belicht</w:t>
      </w:r>
      <w:r w:rsidRPr="004067EA" w:rsidR="004067EA">
        <w:rPr>
          <w:szCs w:val="18"/>
        </w:rPr>
        <w:t xml:space="preserve">. Zo wijdde het Rijksmuseum van Oudheden (RMO) er in 2021 een grote tentoonstelling aan en verschenen er artikelen in </w:t>
      </w:r>
      <w:r w:rsidR="00A60531">
        <w:rPr>
          <w:szCs w:val="18"/>
        </w:rPr>
        <w:t xml:space="preserve">de </w:t>
      </w:r>
      <w:r>
        <w:rPr>
          <w:szCs w:val="18"/>
        </w:rPr>
        <w:t>vermaarde wetenschappelijke tijdschrift</w:t>
      </w:r>
      <w:r w:rsidR="004067EA">
        <w:rPr>
          <w:szCs w:val="18"/>
        </w:rPr>
        <w:t xml:space="preserve">en </w:t>
      </w:r>
      <w:proofErr w:type="spellStart"/>
      <w:r w:rsidR="004067EA">
        <w:rPr>
          <w:i/>
          <w:iCs/>
          <w:szCs w:val="18"/>
        </w:rPr>
        <w:t>Antiquity</w:t>
      </w:r>
      <w:proofErr w:type="spellEnd"/>
      <w:r w:rsidR="004067EA">
        <w:rPr>
          <w:szCs w:val="18"/>
        </w:rPr>
        <w:t xml:space="preserve"> en</w:t>
      </w:r>
      <w:r>
        <w:rPr>
          <w:szCs w:val="18"/>
        </w:rPr>
        <w:t xml:space="preserve"> </w:t>
      </w:r>
      <w:r w:rsidRPr="00D72FB5">
        <w:rPr>
          <w:i/>
          <w:iCs/>
          <w:szCs w:val="18"/>
        </w:rPr>
        <w:t>Nature</w:t>
      </w:r>
      <w:r>
        <w:rPr>
          <w:szCs w:val="18"/>
        </w:rPr>
        <w:t xml:space="preserve">. </w:t>
      </w:r>
    </w:p>
    <w:p w:rsidR="00421942" w:rsidP="00421942" w:rsidRDefault="00421942" w14:paraId="280F7710" w14:textId="77777777">
      <w:pPr>
        <w:contextualSpacing/>
        <w:rPr>
          <w:color w:val="000000" w:themeColor="text1"/>
          <w:szCs w:val="18"/>
        </w:rPr>
      </w:pPr>
    </w:p>
    <w:p w:rsidR="0041222E" w:rsidRDefault="0041222E" w14:paraId="6B7278A0" w14:textId="77777777">
      <w:pPr>
        <w:spacing w:line="240" w:lineRule="auto"/>
        <w:rPr>
          <w:color w:val="000000" w:themeColor="text1"/>
          <w:szCs w:val="18"/>
        </w:rPr>
      </w:pPr>
      <w:r>
        <w:rPr>
          <w:color w:val="000000" w:themeColor="text1"/>
          <w:szCs w:val="18"/>
        </w:rPr>
        <w:br w:type="page"/>
      </w:r>
    </w:p>
    <w:p w:rsidRPr="002E2587" w:rsidR="00421942" w:rsidP="00421942" w:rsidRDefault="00421942" w14:paraId="74577BD9" w14:textId="1CD9D2A3">
      <w:pPr>
        <w:contextualSpacing/>
        <w:rPr>
          <w:color w:val="000000" w:themeColor="text1"/>
          <w:szCs w:val="18"/>
        </w:rPr>
      </w:pPr>
      <w:r w:rsidRPr="002E2587">
        <w:rPr>
          <w:color w:val="000000" w:themeColor="text1"/>
          <w:szCs w:val="18"/>
        </w:rPr>
        <w:lastRenderedPageBreak/>
        <w:t>Ook twee</w:t>
      </w:r>
      <w:r w:rsidR="001F349D">
        <w:rPr>
          <w:color w:val="000000" w:themeColor="text1"/>
          <w:szCs w:val="18"/>
        </w:rPr>
        <w:t xml:space="preserve"> omvangrijke</w:t>
      </w:r>
      <w:r w:rsidRPr="002E2587">
        <w:rPr>
          <w:color w:val="000000" w:themeColor="text1"/>
          <w:szCs w:val="18"/>
        </w:rPr>
        <w:t xml:space="preserve"> </w:t>
      </w:r>
      <w:r w:rsidR="001F349D">
        <w:rPr>
          <w:color w:val="000000" w:themeColor="text1"/>
          <w:szCs w:val="18"/>
        </w:rPr>
        <w:t>metaal</w:t>
      </w:r>
      <w:r w:rsidRPr="002E2587">
        <w:rPr>
          <w:color w:val="000000" w:themeColor="text1"/>
          <w:szCs w:val="18"/>
        </w:rPr>
        <w:t xml:space="preserve">vondsten uit de Romeinse tijd (12 v.Chr. – 450 </w:t>
      </w:r>
      <w:proofErr w:type="spellStart"/>
      <w:r w:rsidRPr="002E2587">
        <w:rPr>
          <w:color w:val="000000" w:themeColor="text1"/>
          <w:szCs w:val="18"/>
        </w:rPr>
        <w:t>n.Chr</w:t>
      </w:r>
      <w:proofErr w:type="spellEnd"/>
      <w:r w:rsidRPr="002E2587">
        <w:rPr>
          <w:color w:val="000000" w:themeColor="text1"/>
          <w:szCs w:val="18"/>
        </w:rPr>
        <w:t>.) die door metaaldetectoramateurs werden gedaan in Bunnik</w:t>
      </w:r>
      <w:r w:rsidRPr="002E2587">
        <w:rPr>
          <w:rStyle w:val="Voetnootmarkering"/>
          <w:color w:val="000000" w:themeColor="text1"/>
          <w:szCs w:val="18"/>
        </w:rPr>
        <w:footnoteReference w:id="7"/>
      </w:r>
      <w:r w:rsidRPr="002E2587">
        <w:rPr>
          <w:color w:val="000000" w:themeColor="text1"/>
          <w:szCs w:val="18"/>
        </w:rPr>
        <w:t xml:space="preserve"> (2023, provincie </w:t>
      </w:r>
      <w:r w:rsidR="00897351">
        <w:rPr>
          <w:color w:val="000000" w:themeColor="text1"/>
          <w:szCs w:val="18"/>
        </w:rPr>
        <w:t>Utrecht</w:t>
      </w:r>
      <w:r w:rsidRPr="002E2587">
        <w:rPr>
          <w:color w:val="000000" w:themeColor="text1"/>
          <w:szCs w:val="18"/>
        </w:rPr>
        <w:t>, ruim 400 gouden en zilveren munten) en Buggenum</w:t>
      </w:r>
      <w:r w:rsidRPr="002E2587">
        <w:rPr>
          <w:rStyle w:val="Voetnootmarkering"/>
          <w:color w:val="000000" w:themeColor="text1"/>
          <w:szCs w:val="18"/>
        </w:rPr>
        <w:footnoteReference w:id="8"/>
      </w:r>
      <w:r w:rsidRPr="002E2587">
        <w:rPr>
          <w:color w:val="000000" w:themeColor="text1"/>
          <w:szCs w:val="18"/>
        </w:rPr>
        <w:t xml:space="preserve"> (2023, provincie Limburg, ruim 4000 koperen munten) getuigen van de meerwaarde van dergelijke vormen van samenwerking. Doordat de personen die deze munten aantroffen hun vondsten snel hebben gemeld bij officiële instanties, konden ze met passende wetenschappelijke technieken (gedeeltelijk nog </w:t>
      </w:r>
      <w:r w:rsidRPr="002E2587">
        <w:rPr>
          <w:i/>
          <w:iCs/>
          <w:color w:val="000000" w:themeColor="text1"/>
          <w:szCs w:val="18"/>
        </w:rPr>
        <w:t>in situ</w:t>
      </w:r>
      <w:r w:rsidRPr="002E2587">
        <w:rPr>
          <w:color w:val="000000" w:themeColor="text1"/>
          <w:szCs w:val="18"/>
        </w:rPr>
        <w:t xml:space="preserve">) worden onderzocht en geconserveerd. Het onderzoek naar de munten heeft diverse nieuwe inzichten opgeleverd, bijvoorbeeld rondom de belangrijke rol die de Neder-Germaanse </w:t>
      </w:r>
      <w:r w:rsidRPr="002E2587">
        <w:rPr>
          <w:i/>
          <w:iCs/>
          <w:color w:val="000000" w:themeColor="text1"/>
          <w:szCs w:val="18"/>
        </w:rPr>
        <w:t>limes</w:t>
      </w:r>
      <w:r w:rsidRPr="002E2587">
        <w:rPr>
          <w:color w:val="000000" w:themeColor="text1"/>
          <w:szCs w:val="18"/>
        </w:rPr>
        <w:t xml:space="preserve"> (de toenmalige grens van het Romeinse rijk) speelde voor de Romeinse invasies van </w:t>
      </w:r>
      <w:proofErr w:type="spellStart"/>
      <w:r w:rsidRPr="002E2587">
        <w:rPr>
          <w:color w:val="000000" w:themeColor="text1"/>
          <w:szCs w:val="18"/>
        </w:rPr>
        <w:t>Britannia</w:t>
      </w:r>
      <w:proofErr w:type="spellEnd"/>
      <w:r w:rsidRPr="002E2587">
        <w:rPr>
          <w:color w:val="000000" w:themeColor="text1"/>
          <w:szCs w:val="18"/>
        </w:rPr>
        <w:t xml:space="preserve"> (het tegenwoordige Engeland). De munten zijn bovendien toegankelijk geworden voor het brede publiek, doordat ze zijn opgenomen in de vaste tentoonstellingen van respectievelijk het RMO en het Limburgs museum.  </w:t>
      </w:r>
    </w:p>
    <w:p w:rsidRPr="00C84BEB" w:rsidR="00421942" w:rsidP="00421942" w:rsidRDefault="00421942" w14:paraId="5B372845" w14:textId="77777777">
      <w:pPr>
        <w:contextualSpacing/>
        <w:rPr>
          <w:szCs w:val="18"/>
        </w:rPr>
      </w:pPr>
    </w:p>
    <w:p w:rsidRPr="00C84BEB" w:rsidR="00421942" w:rsidP="00421942" w:rsidRDefault="00421942" w14:paraId="6E10C365" w14:textId="3C14AA19">
      <w:pPr>
        <w:contextualSpacing/>
        <w:rPr>
          <w:szCs w:val="18"/>
        </w:rPr>
      </w:pPr>
      <w:r w:rsidRPr="00C84BEB">
        <w:rPr>
          <w:szCs w:val="18"/>
        </w:rPr>
        <w:t>Een ander mooi voorbeeld is de zoektocht naar de plek waar de slag bij Ane (provincie Overijssel) heeft plaatsgevonden.</w:t>
      </w:r>
      <w:r w:rsidRPr="00C84BEB">
        <w:rPr>
          <w:rStyle w:val="Voetnootmarkering"/>
          <w:szCs w:val="18"/>
        </w:rPr>
        <w:footnoteReference w:id="9"/>
      </w:r>
      <w:r w:rsidRPr="00C84BEB">
        <w:rPr>
          <w:szCs w:val="18"/>
        </w:rPr>
        <w:t xml:space="preserve"> </w:t>
      </w:r>
      <w:r>
        <w:rPr>
          <w:szCs w:val="18"/>
        </w:rPr>
        <w:t>Hier werd i</w:t>
      </w:r>
      <w:r w:rsidRPr="00C84BEB">
        <w:rPr>
          <w:szCs w:val="18"/>
        </w:rPr>
        <w:t>n 1227 het leger van de bisschop van Utrecht verslagen door een troepenmacht van Drentse boeren. Deze slag was onderdeel van een reeks historische gebeurtenissen die bepalend zijn geweest voor de identiteit van het noordoosten van</w:t>
      </w:r>
      <w:r>
        <w:rPr>
          <w:szCs w:val="18"/>
        </w:rPr>
        <w:t xml:space="preserve"> het</w:t>
      </w:r>
      <w:r w:rsidRPr="00C84BEB">
        <w:rPr>
          <w:szCs w:val="18"/>
        </w:rPr>
        <w:t xml:space="preserve"> huidige Nederland. Ondanks het belang van deze historische veldslag, is er in wetenschappelijke kringen nooit breed onderzoek naar gedaan. Een lokaal initiatief van een groep vrijwilligers om de exacte plek van de veldslag te lokaliseren, heeft </w:t>
      </w:r>
      <w:r>
        <w:rPr>
          <w:szCs w:val="18"/>
        </w:rPr>
        <w:t xml:space="preserve">er inmiddels toe geleid dat een </w:t>
      </w:r>
      <w:r w:rsidRPr="00C84BEB">
        <w:rPr>
          <w:szCs w:val="18"/>
        </w:rPr>
        <w:t>brede groep van vrijwilligers</w:t>
      </w:r>
      <w:r>
        <w:rPr>
          <w:szCs w:val="18"/>
        </w:rPr>
        <w:t xml:space="preserve"> </w:t>
      </w:r>
      <w:r w:rsidRPr="00C84BEB">
        <w:rPr>
          <w:szCs w:val="18"/>
        </w:rPr>
        <w:t xml:space="preserve">en wetenschappers </w:t>
      </w:r>
      <w:r>
        <w:rPr>
          <w:szCs w:val="18"/>
        </w:rPr>
        <w:t xml:space="preserve">gezamenlijk </w:t>
      </w:r>
      <w:r w:rsidRPr="00C84BEB">
        <w:rPr>
          <w:szCs w:val="18"/>
        </w:rPr>
        <w:t xml:space="preserve">onderzoek </w:t>
      </w:r>
      <w:r>
        <w:rPr>
          <w:szCs w:val="18"/>
        </w:rPr>
        <w:t>uitvoert</w:t>
      </w:r>
      <w:r w:rsidRPr="00C84BEB">
        <w:rPr>
          <w:szCs w:val="18"/>
        </w:rPr>
        <w:t xml:space="preserve">. Extra bijzonder hierbij is de samenwerking tussen lokale metaaldetectorzoekers en veteranen van de stichting </w:t>
      </w:r>
      <w:r w:rsidRPr="00E91D40">
        <w:rPr>
          <w:szCs w:val="18"/>
        </w:rPr>
        <w:t xml:space="preserve">Recovery on </w:t>
      </w:r>
      <w:proofErr w:type="spellStart"/>
      <w:r w:rsidRPr="00E91D40">
        <w:rPr>
          <w:szCs w:val="18"/>
        </w:rPr>
        <w:t>the</w:t>
      </w:r>
      <w:proofErr w:type="spellEnd"/>
      <w:r w:rsidRPr="00E91D40">
        <w:rPr>
          <w:szCs w:val="18"/>
        </w:rPr>
        <w:t xml:space="preserve"> Battlefield</w:t>
      </w:r>
      <w:r w:rsidRPr="00C84BEB">
        <w:rPr>
          <w:szCs w:val="18"/>
        </w:rPr>
        <w:t>. Deze organisatie helpt veteranen en militairen</w:t>
      </w:r>
      <w:r>
        <w:rPr>
          <w:szCs w:val="18"/>
        </w:rPr>
        <w:t xml:space="preserve"> bij </w:t>
      </w:r>
      <w:r w:rsidRPr="00C84BEB">
        <w:rPr>
          <w:szCs w:val="18"/>
        </w:rPr>
        <w:t>herstel en re-integratie door hen te laten deelnemen aan archeologische projecten op historische slagvelden</w:t>
      </w:r>
      <w:r w:rsidRPr="00A60531">
        <w:rPr>
          <w:szCs w:val="18"/>
        </w:rPr>
        <w:t>.</w:t>
      </w:r>
      <w:r w:rsidRPr="00C84BEB">
        <w:rPr>
          <w:szCs w:val="18"/>
        </w:rPr>
        <w:t xml:space="preserve"> </w:t>
      </w:r>
    </w:p>
    <w:p w:rsidRPr="00C84BEB" w:rsidR="00421942" w:rsidP="00421942" w:rsidRDefault="00421942" w14:paraId="1424DBDA" w14:textId="77777777">
      <w:pPr>
        <w:contextualSpacing/>
        <w:rPr>
          <w:szCs w:val="18"/>
        </w:rPr>
      </w:pPr>
    </w:p>
    <w:p w:rsidR="00421942" w:rsidP="00421942" w:rsidRDefault="00283BCA" w14:paraId="6512EBDF" w14:textId="64C31B30">
      <w:pPr>
        <w:contextualSpacing/>
        <w:rPr>
          <w:szCs w:val="18"/>
        </w:rPr>
      </w:pPr>
      <w:r>
        <w:rPr>
          <w:szCs w:val="18"/>
        </w:rPr>
        <w:t>D</w:t>
      </w:r>
      <w:r w:rsidRPr="00C84BEB" w:rsidR="00421942">
        <w:rPr>
          <w:szCs w:val="18"/>
        </w:rPr>
        <w:t>e maritieme archeologie kent</w:t>
      </w:r>
      <w:r>
        <w:rPr>
          <w:szCs w:val="18"/>
        </w:rPr>
        <w:t xml:space="preserve"> ook</w:t>
      </w:r>
      <w:r w:rsidRPr="00C84BEB" w:rsidR="00421942">
        <w:rPr>
          <w:szCs w:val="18"/>
        </w:rPr>
        <w:t xml:space="preserve"> tal van </w:t>
      </w:r>
      <w:r w:rsidR="00421942">
        <w:rPr>
          <w:szCs w:val="18"/>
        </w:rPr>
        <w:t>goede</w:t>
      </w:r>
      <w:r w:rsidRPr="00C84BEB" w:rsidR="00421942">
        <w:rPr>
          <w:szCs w:val="18"/>
        </w:rPr>
        <w:t xml:space="preserve"> voorbeelden. Zoals het onderzoek dat </w:t>
      </w:r>
      <w:r w:rsidR="00421942">
        <w:rPr>
          <w:szCs w:val="18"/>
        </w:rPr>
        <w:t>de</w:t>
      </w:r>
      <w:r w:rsidRPr="00C84BEB" w:rsidR="00421942">
        <w:rPr>
          <w:szCs w:val="18"/>
        </w:rPr>
        <w:t xml:space="preserve"> </w:t>
      </w:r>
      <w:r w:rsidRPr="00C84BEB" w:rsidR="00421942">
        <w:rPr>
          <w:rFonts w:eastAsiaTheme="minorHAnsi" w:cstheme="minorBidi"/>
          <w:szCs w:val="18"/>
        </w:rPr>
        <w:t xml:space="preserve">Stichting </w:t>
      </w:r>
      <w:proofErr w:type="spellStart"/>
      <w:r w:rsidRPr="00C84BEB" w:rsidR="00421942">
        <w:rPr>
          <w:rFonts w:eastAsiaTheme="minorHAnsi" w:cstheme="minorBidi"/>
          <w:szCs w:val="18"/>
        </w:rPr>
        <w:t>Archeos</w:t>
      </w:r>
      <w:proofErr w:type="spellEnd"/>
      <w:r w:rsidRPr="00C84BEB" w:rsidR="00421942">
        <w:rPr>
          <w:rFonts w:eastAsiaTheme="minorHAnsi" w:cstheme="minorBidi"/>
          <w:szCs w:val="18"/>
        </w:rPr>
        <w:t xml:space="preserve"> Fryslân</w:t>
      </w:r>
      <w:r w:rsidRPr="00C84BEB" w:rsidR="00421942">
        <w:rPr>
          <w:szCs w:val="18"/>
        </w:rPr>
        <w:t xml:space="preserve"> </w:t>
      </w:r>
      <w:r w:rsidR="00421942">
        <w:rPr>
          <w:szCs w:val="18"/>
        </w:rPr>
        <w:t>uitvoert</w:t>
      </w:r>
      <w:r w:rsidRPr="00C84BEB" w:rsidR="00421942">
        <w:rPr>
          <w:szCs w:val="18"/>
        </w:rPr>
        <w:t xml:space="preserve"> naar het </w:t>
      </w:r>
      <w:r w:rsidRPr="00635749" w:rsidR="00421942">
        <w:rPr>
          <w:i/>
          <w:iCs/>
          <w:szCs w:val="18"/>
        </w:rPr>
        <w:t>Double Dutch</w:t>
      </w:r>
      <w:r w:rsidRPr="00C84BEB" w:rsidR="00421942">
        <w:rPr>
          <w:szCs w:val="18"/>
        </w:rPr>
        <w:t>-wrak bij Kornwerderzand (</w:t>
      </w:r>
      <w:r w:rsidR="00421942">
        <w:rPr>
          <w:szCs w:val="18"/>
        </w:rPr>
        <w:t xml:space="preserve">provincie </w:t>
      </w:r>
      <w:r w:rsidRPr="00C84BEB" w:rsidR="00421942">
        <w:rPr>
          <w:szCs w:val="18"/>
        </w:rPr>
        <w:t>Friesland).</w:t>
      </w:r>
      <w:r w:rsidRPr="00C84BEB" w:rsidR="00421942">
        <w:rPr>
          <w:rStyle w:val="Voetnootmarkering"/>
          <w:szCs w:val="18"/>
        </w:rPr>
        <w:footnoteReference w:id="10"/>
      </w:r>
      <w:r w:rsidRPr="00C84BEB" w:rsidR="00421942">
        <w:rPr>
          <w:szCs w:val="18"/>
        </w:rPr>
        <w:t xml:space="preserve"> </w:t>
      </w:r>
      <w:r>
        <w:rPr>
          <w:szCs w:val="18"/>
        </w:rPr>
        <w:t>Vrijwilligers</w:t>
      </w:r>
      <w:r w:rsidR="00421942">
        <w:rPr>
          <w:szCs w:val="18"/>
        </w:rPr>
        <w:t xml:space="preserve"> van de</w:t>
      </w:r>
      <w:r w:rsidRPr="00C84BEB" w:rsidR="00421942">
        <w:rPr>
          <w:szCs w:val="18"/>
        </w:rPr>
        <w:t xml:space="preserve"> stichting </w:t>
      </w:r>
      <w:r w:rsidR="00421942">
        <w:rPr>
          <w:szCs w:val="18"/>
        </w:rPr>
        <w:t>hebben</w:t>
      </w:r>
      <w:r w:rsidRPr="00C84BEB" w:rsidR="00421942">
        <w:rPr>
          <w:szCs w:val="18"/>
        </w:rPr>
        <w:t xml:space="preserve"> dit wrak in 2023 onderzocht en daarbij </w:t>
      </w:r>
      <w:r w:rsidR="00421942">
        <w:rPr>
          <w:szCs w:val="18"/>
        </w:rPr>
        <w:t>hun</w:t>
      </w:r>
      <w:r w:rsidRPr="00C84BEB" w:rsidR="00421942">
        <w:rPr>
          <w:szCs w:val="18"/>
        </w:rPr>
        <w:t xml:space="preserve"> waarnemingen en beeldmateriaal</w:t>
      </w:r>
      <w:r w:rsidR="00421942">
        <w:rPr>
          <w:szCs w:val="18"/>
        </w:rPr>
        <w:t xml:space="preserve"> gedeeld en besproken met experts van de RCE. Op deze manier </w:t>
      </w:r>
      <w:r w:rsidRPr="00C84BEB" w:rsidR="00421942">
        <w:rPr>
          <w:szCs w:val="18"/>
        </w:rPr>
        <w:t>konden uitspraken worden gedaan over het soort schip (vermoedelijk een 17</w:t>
      </w:r>
      <w:r w:rsidRPr="00C84BEB" w:rsidR="00421942">
        <w:rPr>
          <w:szCs w:val="18"/>
          <w:vertAlign w:val="superscript"/>
        </w:rPr>
        <w:t>e</w:t>
      </w:r>
      <w:r w:rsidRPr="00C84BEB" w:rsidR="00421942">
        <w:rPr>
          <w:szCs w:val="18"/>
        </w:rPr>
        <w:t xml:space="preserve"> eeuw Nederlands </w:t>
      </w:r>
      <w:r w:rsidR="00421942">
        <w:rPr>
          <w:szCs w:val="18"/>
        </w:rPr>
        <w:t>‘</w:t>
      </w:r>
      <w:r w:rsidRPr="00C84BEB" w:rsidR="00421942">
        <w:rPr>
          <w:szCs w:val="18"/>
        </w:rPr>
        <w:t>katschip</w:t>
      </w:r>
      <w:r w:rsidR="00421942">
        <w:rPr>
          <w:szCs w:val="18"/>
        </w:rPr>
        <w:t>’</w:t>
      </w:r>
      <w:r w:rsidRPr="00C84BEB" w:rsidR="00421942">
        <w:rPr>
          <w:szCs w:val="18"/>
        </w:rPr>
        <w:t xml:space="preserve"> dat werd gebruikt voor houttransporten vanuit Noorwegen), de fysieke kwaliteit van de vindplaats en eventuele bedreigingen. In overleg met </w:t>
      </w:r>
      <w:r w:rsidRPr="008E35D3" w:rsidR="00421942">
        <w:rPr>
          <w:szCs w:val="18"/>
        </w:rPr>
        <w:t xml:space="preserve">de lokale overheid is afgesproken dat de vrijwilligers een grote rol kunnen gaan spelen in het afdekken (met steigergaas beschermen) van de vindplaats en het monitoren daarvan. Bovendien </w:t>
      </w:r>
      <w:r w:rsidR="001E0779">
        <w:rPr>
          <w:szCs w:val="18"/>
        </w:rPr>
        <w:t>heeft</w:t>
      </w:r>
      <w:r w:rsidRPr="008E35D3" w:rsidR="00421942">
        <w:rPr>
          <w:szCs w:val="18"/>
        </w:rPr>
        <w:t xml:space="preserve"> museum </w:t>
      </w:r>
      <w:r w:rsidRPr="008E35D3" w:rsidR="008E35D3">
        <w:rPr>
          <w:szCs w:val="18"/>
        </w:rPr>
        <w:t xml:space="preserve">het </w:t>
      </w:r>
      <w:proofErr w:type="spellStart"/>
      <w:r w:rsidRPr="008E35D3" w:rsidR="008E35D3">
        <w:rPr>
          <w:szCs w:val="18"/>
        </w:rPr>
        <w:t>Hannemahuis</w:t>
      </w:r>
      <w:proofErr w:type="spellEnd"/>
      <w:r w:rsidRPr="008E35D3" w:rsidR="008E35D3">
        <w:rPr>
          <w:szCs w:val="18"/>
        </w:rPr>
        <w:t xml:space="preserve"> </w:t>
      </w:r>
      <w:r w:rsidRPr="008E35D3" w:rsidR="00421942">
        <w:rPr>
          <w:szCs w:val="18"/>
        </w:rPr>
        <w:t xml:space="preserve">in Harlingen </w:t>
      </w:r>
      <w:r w:rsidR="001E0779">
        <w:rPr>
          <w:szCs w:val="18"/>
        </w:rPr>
        <w:t>aangegeven</w:t>
      </w:r>
      <w:r w:rsidRPr="008E35D3" w:rsidR="00421942">
        <w:rPr>
          <w:szCs w:val="18"/>
        </w:rPr>
        <w:t xml:space="preserve"> graag de vondsten van het onderzoek </w:t>
      </w:r>
      <w:r w:rsidR="001E0779">
        <w:rPr>
          <w:szCs w:val="18"/>
        </w:rPr>
        <w:t>op te willen nemen i</w:t>
      </w:r>
      <w:r w:rsidRPr="008E35D3" w:rsidR="00421942">
        <w:rPr>
          <w:szCs w:val="18"/>
        </w:rPr>
        <w:t xml:space="preserve">n een tentoonstelling. </w:t>
      </w:r>
    </w:p>
    <w:p w:rsidR="00421942" w:rsidP="00421942" w:rsidRDefault="00421942" w14:paraId="21EFB443" w14:textId="77777777">
      <w:pPr>
        <w:contextualSpacing/>
        <w:rPr>
          <w:szCs w:val="18"/>
        </w:rPr>
      </w:pPr>
    </w:p>
    <w:p w:rsidR="0041222E" w:rsidRDefault="0041222E" w14:paraId="783E8378" w14:textId="77777777">
      <w:pPr>
        <w:spacing w:line="240" w:lineRule="auto"/>
        <w:rPr>
          <w:szCs w:val="18"/>
        </w:rPr>
      </w:pPr>
      <w:r>
        <w:rPr>
          <w:szCs w:val="18"/>
        </w:rPr>
        <w:br w:type="page"/>
      </w:r>
    </w:p>
    <w:p w:rsidRPr="00C84BEB" w:rsidR="00421942" w:rsidP="00421942" w:rsidRDefault="00421942" w14:paraId="03E3378C" w14:textId="5A5E8C70">
      <w:pPr>
        <w:contextualSpacing/>
        <w:rPr>
          <w:szCs w:val="18"/>
        </w:rPr>
      </w:pPr>
      <w:r>
        <w:rPr>
          <w:szCs w:val="18"/>
        </w:rPr>
        <w:lastRenderedPageBreak/>
        <w:t xml:space="preserve">Ook de hierboven genoemde casus van het Palmhoutwrak kent positieve kanten. </w:t>
      </w:r>
      <w:r w:rsidR="00283BCA">
        <w:rPr>
          <w:szCs w:val="18"/>
        </w:rPr>
        <w:t xml:space="preserve">Naar aanleiding hiervan zijn het </w:t>
      </w:r>
      <w:r>
        <w:rPr>
          <w:szCs w:val="18"/>
        </w:rPr>
        <w:t>contact</w:t>
      </w:r>
      <w:r w:rsidR="00283BCA">
        <w:rPr>
          <w:szCs w:val="18"/>
        </w:rPr>
        <w:t xml:space="preserve"> en de samenwerking</w:t>
      </w:r>
      <w:r>
        <w:rPr>
          <w:szCs w:val="18"/>
        </w:rPr>
        <w:t xml:space="preserve"> tussen professionele archeologen en </w:t>
      </w:r>
      <w:r w:rsidR="00283BCA">
        <w:rPr>
          <w:szCs w:val="18"/>
        </w:rPr>
        <w:t xml:space="preserve">diverse </w:t>
      </w:r>
      <w:r>
        <w:rPr>
          <w:szCs w:val="18"/>
        </w:rPr>
        <w:t>vrijwillige duikers op Texel geïntensiveerd en sterk verbeterd. De</w:t>
      </w:r>
      <w:r w:rsidR="00283BCA">
        <w:rPr>
          <w:szCs w:val="18"/>
        </w:rPr>
        <w:t xml:space="preserve"> zaak heeft </w:t>
      </w:r>
      <w:r>
        <w:rPr>
          <w:szCs w:val="18"/>
        </w:rPr>
        <w:t>ook bijgedragen aan het creëren van de</w:t>
      </w:r>
      <w:r w:rsidR="00283BCA">
        <w:rPr>
          <w:szCs w:val="18"/>
        </w:rPr>
        <w:t xml:space="preserve"> hierboven genoemde mogelijkheid om ontheffing van h</w:t>
      </w:r>
      <w:r>
        <w:rPr>
          <w:szCs w:val="18"/>
        </w:rPr>
        <w:t>et opgravingsverbod</w:t>
      </w:r>
      <w:r w:rsidR="00283BCA">
        <w:rPr>
          <w:szCs w:val="18"/>
        </w:rPr>
        <w:t xml:space="preserve"> te verlenen</w:t>
      </w:r>
      <w:r>
        <w:rPr>
          <w:szCs w:val="18"/>
        </w:rPr>
        <w:t xml:space="preserve"> </w:t>
      </w:r>
      <w:r w:rsidR="0000384D">
        <w:rPr>
          <w:szCs w:val="18"/>
        </w:rPr>
        <w:t>aan</w:t>
      </w:r>
      <w:r>
        <w:rPr>
          <w:szCs w:val="18"/>
        </w:rPr>
        <w:t xml:space="preserve"> v</w:t>
      </w:r>
      <w:r w:rsidRPr="00C84BEB">
        <w:rPr>
          <w:szCs w:val="18"/>
        </w:rPr>
        <w:t>rijwilligers in de onderwaterarcheologie</w:t>
      </w:r>
      <w:r w:rsidR="00283BCA">
        <w:rPr>
          <w:szCs w:val="18"/>
        </w:rPr>
        <w:t>, waarmee zij zelfstandig k</w:t>
      </w:r>
      <w:r w:rsidRPr="00C84BEB">
        <w:rPr>
          <w:szCs w:val="18"/>
        </w:rPr>
        <w:t xml:space="preserve">leine </w:t>
      </w:r>
      <w:proofErr w:type="spellStart"/>
      <w:r w:rsidRPr="00C84BEB">
        <w:rPr>
          <w:szCs w:val="18"/>
        </w:rPr>
        <w:t>onderzoekshandelingen</w:t>
      </w:r>
      <w:proofErr w:type="spellEnd"/>
      <w:r w:rsidR="00283BCA">
        <w:rPr>
          <w:szCs w:val="18"/>
        </w:rPr>
        <w:t xml:space="preserve"> kunnen verrichten</w:t>
      </w:r>
      <w:r w:rsidR="001E0779">
        <w:rPr>
          <w:szCs w:val="18"/>
        </w:rPr>
        <w:t xml:space="preserve"> en een grotere bijdrage kunnen leveren aan de erfgoedzorg</w:t>
      </w:r>
      <w:r w:rsidRPr="00C84BEB">
        <w:rPr>
          <w:szCs w:val="18"/>
        </w:rPr>
        <w:t xml:space="preserve">. </w:t>
      </w:r>
    </w:p>
    <w:p w:rsidRPr="00C84BEB" w:rsidR="00421942" w:rsidP="00421942" w:rsidRDefault="00421942" w14:paraId="3ED6BB18" w14:textId="77777777">
      <w:pPr>
        <w:contextualSpacing/>
        <w:rPr>
          <w:szCs w:val="18"/>
        </w:rPr>
      </w:pPr>
    </w:p>
    <w:p w:rsidRPr="00900D67" w:rsidR="00421942" w:rsidP="00421942" w:rsidRDefault="0047546D" w14:paraId="4ED45B43" w14:textId="11571EBA">
      <w:pPr>
        <w:contextualSpacing/>
        <w:rPr>
          <w:i/>
          <w:iCs/>
          <w:szCs w:val="18"/>
        </w:rPr>
      </w:pPr>
      <w:r>
        <w:rPr>
          <w:i/>
          <w:iCs/>
          <w:szCs w:val="18"/>
        </w:rPr>
        <w:t>Tot slot</w:t>
      </w:r>
    </w:p>
    <w:p w:rsidR="0076372A" w:rsidP="00421942" w:rsidRDefault="0000384D" w14:paraId="43633F7E" w14:textId="7FCE5EE4">
      <w:pPr>
        <w:contextualSpacing/>
        <w:rPr>
          <w:szCs w:val="18"/>
        </w:rPr>
      </w:pPr>
      <w:r>
        <w:rPr>
          <w:szCs w:val="18"/>
        </w:rPr>
        <w:t>Uit deze</w:t>
      </w:r>
      <w:r w:rsidRPr="00C84BEB" w:rsidR="00421942">
        <w:rPr>
          <w:szCs w:val="18"/>
        </w:rPr>
        <w:t xml:space="preserve"> voorbeelden </w:t>
      </w:r>
      <w:r>
        <w:rPr>
          <w:szCs w:val="18"/>
        </w:rPr>
        <w:t>blijkt</w:t>
      </w:r>
      <w:r w:rsidRPr="00C84BEB" w:rsidR="00421942">
        <w:rPr>
          <w:szCs w:val="18"/>
        </w:rPr>
        <w:t xml:space="preserve"> duidelijk</w:t>
      </w:r>
      <w:r>
        <w:rPr>
          <w:szCs w:val="18"/>
        </w:rPr>
        <w:t xml:space="preserve"> </w:t>
      </w:r>
      <w:r w:rsidR="00156E16">
        <w:rPr>
          <w:szCs w:val="18"/>
        </w:rPr>
        <w:t xml:space="preserve">dat de inzet van vrijwillige archeologen van grote waarde is voor het beschermen, behouden en onderzoeken van archeologisch erfgoed. </w:t>
      </w:r>
      <w:r w:rsidR="00E906F1">
        <w:rPr>
          <w:szCs w:val="18"/>
        </w:rPr>
        <w:t xml:space="preserve">Wekelijks zijn vrijwilligers actief op opgravingen, uitgevoerd door professionele bedrijven of voeren ze zelfstandig onderzoek uit binnen de ruimte die het archeologisch bestel daarvoor biedt. </w:t>
      </w:r>
      <w:r w:rsidR="00156E16">
        <w:rPr>
          <w:szCs w:val="18"/>
        </w:rPr>
        <w:t xml:space="preserve">Ik hecht er veel waarde aan dat zij een </w:t>
      </w:r>
      <w:r w:rsidR="00E906F1">
        <w:rPr>
          <w:szCs w:val="18"/>
        </w:rPr>
        <w:t xml:space="preserve">dergelijke </w:t>
      </w:r>
      <w:r w:rsidR="00156E16">
        <w:rPr>
          <w:szCs w:val="18"/>
        </w:rPr>
        <w:t>actieve rol kunnen blijven spelen</w:t>
      </w:r>
      <w:r w:rsidR="00E906F1">
        <w:rPr>
          <w:szCs w:val="18"/>
        </w:rPr>
        <w:t>.</w:t>
      </w:r>
      <w:r w:rsidR="00156E16">
        <w:rPr>
          <w:szCs w:val="18"/>
        </w:rPr>
        <w:t xml:space="preserve">  </w:t>
      </w:r>
    </w:p>
    <w:p w:rsidR="001F349D" w:rsidP="00421942" w:rsidRDefault="001F349D" w14:paraId="070DDCDA" w14:textId="77777777">
      <w:pPr>
        <w:contextualSpacing/>
        <w:rPr>
          <w:szCs w:val="18"/>
        </w:rPr>
      </w:pPr>
    </w:p>
    <w:p w:rsidR="00421942" w:rsidP="003A7160" w:rsidRDefault="00283BCA" w14:paraId="2C867E17" w14:textId="1CF849FC">
      <w:r>
        <w:t>Ik hoop u hiermee voldoende geïnformeerd te hebben.</w:t>
      </w:r>
    </w:p>
    <w:p w:rsidR="00283BCA" w:rsidP="003A7160" w:rsidRDefault="00283BCA" w14:paraId="4CE644BC" w14:textId="77777777"/>
    <w:p w:rsidR="00184B30" w:rsidP="00A60B58" w:rsidRDefault="00184B30" w14:paraId="00222EE9" w14:textId="77777777"/>
    <w:p w:rsidR="00CA48EF" w:rsidP="00A60B58" w:rsidRDefault="0041222E" w14:paraId="3A6E5924" w14:textId="5AE63A93">
      <w:pPr>
        <w:rPr>
          <w:szCs w:val="20"/>
        </w:rPr>
      </w:pPr>
      <w:r>
        <w:rPr>
          <w:szCs w:val="20"/>
        </w:rPr>
        <w:t>D</w:t>
      </w:r>
      <w:r w:rsidRPr="004B4901" w:rsidR="001D5F09">
        <w:rPr>
          <w:szCs w:val="20"/>
        </w:rPr>
        <w:t>e minister van On</w:t>
      </w:r>
      <w:r w:rsidR="001D5F09">
        <w:rPr>
          <w:szCs w:val="20"/>
        </w:rPr>
        <w:t>derwijs, Cultuur en Wetenschap</w:t>
      </w:r>
      <w:r w:rsidR="00440341">
        <w:rPr>
          <w:szCs w:val="20"/>
        </w:rPr>
        <w:t>,</w:t>
      </w:r>
    </w:p>
    <w:p w:rsidR="00530470" w:rsidP="003A64ED" w:rsidRDefault="00530470" w14:paraId="365E9245" w14:textId="77777777">
      <w:pPr>
        <w:rPr>
          <w:szCs w:val="20"/>
        </w:rPr>
      </w:pPr>
    </w:p>
    <w:p w:rsidR="00283BCA" w:rsidP="003A64ED" w:rsidRDefault="00283BCA" w14:paraId="3BC03A2C" w14:textId="77777777">
      <w:pPr>
        <w:rPr>
          <w:szCs w:val="20"/>
        </w:rPr>
      </w:pPr>
    </w:p>
    <w:p w:rsidR="00530470" w:rsidP="003A64ED" w:rsidRDefault="00530470" w14:paraId="651E4146" w14:textId="77777777">
      <w:pPr>
        <w:rPr>
          <w:szCs w:val="20"/>
        </w:rPr>
      </w:pPr>
    </w:p>
    <w:p w:rsidR="00530470" w:rsidP="003A64ED" w:rsidRDefault="00530470" w14:paraId="54BAFCF6" w14:textId="77777777">
      <w:pPr>
        <w:rPr>
          <w:szCs w:val="20"/>
        </w:rPr>
      </w:pPr>
    </w:p>
    <w:p w:rsidRPr="000E7D9D" w:rsidR="00D57D9F" w:rsidP="000E7D9D" w:rsidRDefault="001D5F09" w14:paraId="7358435D" w14:textId="129CA2B1">
      <w:r w:rsidRPr="006C6CF8">
        <w:rPr>
          <w:szCs w:val="20"/>
          <w:lang w:eastAsia="en-US"/>
        </w:rPr>
        <w:t>Rianne Letschert</w:t>
      </w:r>
    </w:p>
    <w:sectPr w:rsidRPr="000E7D9D" w:rsidR="00D57D9F"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2A01" w14:textId="77777777" w:rsidR="005F0738" w:rsidRDefault="001D5F09">
      <w:r>
        <w:separator/>
      </w:r>
    </w:p>
    <w:p w14:paraId="4BC35682" w14:textId="77777777" w:rsidR="005F0738" w:rsidRDefault="005F0738"/>
  </w:endnote>
  <w:endnote w:type="continuationSeparator" w:id="0">
    <w:p w14:paraId="1F5FC3D1" w14:textId="77777777" w:rsidR="005F0738" w:rsidRDefault="001D5F09">
      <w:r>
        <w:continuationSeparator/>
      </w:r>
    </w:p>
    <w:p w14:paraId="37E7E159"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40D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33139" w14:paraId="0FC1F5D0" w14:textId="77777777" w:rsidTr="004C7E1D">
      <w:trPr>
        <w:trHeight w:hRule="exact" w:val="357"/>
      </w:trPr>
      <w:tc>
        <w:tcPr>
          <w:tcW w:w="7603" w:type="dxa"/>
        </w:tcPr>
        <w:p w14:paraId="6229E2F9" w14:textId="77777777" w:rsidR="002F71BB" w:rsidRPr="004C7E1D" w:rsidRDefault="002F71BB" w:rsidP="004C7E1D">
          <w:pPr>
            <w:spacing w:line="180" w:lineRule="exact"/>
            <w:rPr>
              <w:sz w:val="13"/>
              <w:szCs w:val="13"/>
            </w:rPr>
          </w:pPr>
        </w:p>
      </w:tc>
      <w:tc>
        <w:tcPr>
          <w:tcW w:w="2172" w:type="dxa"/>
        </w:tcPr>
        <w:p w14:paraId="7BF5621D" w14:textId="7063EEE2" w:rsidR="002F71BB" w:rsidRPr="004C7E1D" w:rsidRDefault="001D5F09"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E2F99">
            <w:rPr>
              <w:szCs w:val="13"/>
            </w:rPr>
            <w:t>6</w:t>
          </w:r>
          <w:r w:rsidRPr="004C7E1D">
            <w:rPr>
              <w:szCs w:val="13"/>
            </w:rPr>
            <w:fldChar w:fldCharType="end"/>
          </w:r>
        </w:p>
      </w:tc>
    </w:tr>
  </w:tbl>
  <w:p w14:paraId="1EFFE90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33139" w14:paraId="7C87BB5B" w14:textId="77777777" w:rsidTr="004C7E1D">
      <w:trPr>
        <w:trHeight w:hRule="exact" w:val="357"/>
      </w:trPr>
      <w:tc>
        <w:tcPr>
          <w:tcW w:w="7709" w:type="dxa"/>
        </w:tcPr>
        <w:p w14:paraId="53DBE268" w14:textId="77777777" w:rsidR="00D17084" w:rsidRPr="004C7E1D" w:rsidRDefault="00D17084" w:rsidP="004C7E1D">
          <w:pPr>
            <w:spacing w:line="180" w:lineRule="exact"/>
            <w:rPr>
              <w:sz w:val="13"/>
              <w:szCs w:val="13"/>
            </w:rPr>
          </w:pPr>
        </w:p>
      </w:tc>
      <w:tc>
        <w:tcPr>
          <w:tcW w:w="2060" w:type="dxa"/>
        </w:tcPr>
        <w:p w14:paraId="3589A4E5" w14:textId="40F8D232" w:rsidR="00D17084" w:rsidRPr="004C7E1D" w:rsidRDefault="001D5F09"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E2F99">
            <w:rPr>
              <w:szCs w:val="13"/>
            </w:rPr>
            <w:t>6</w:t>
          </w:r>
          <w:r w:rsidRPr="004C7E1D">
            <w:rPr>
              <w:szCs w:val="13"/>
            </w:rPr>
            <w:fldChar w:fldCharType="end"/>
          </w:r>
        </w:p>
      </w:tc>
    </w:tr>
  </w:tbl>
  <w:p w14:paraId="7E2B8DE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D04E8" w14:textId="77777777" w:rsidR="005F0738" w:rsidRDefault="001D5F09">
      <w:r>
        <w:separator/>
      </w:r>
    </w:p>
    <w:p w14:paraId="3141DD39" w14:textId="77777777" w:rsidR="005F0738" w:rsidRDefault="005F0738"/>
  </w:footnote>
  <w:footnote w:type="continuationSeparator" w:id="0">
    <w:p w14:paraId="4C06BA68" w14:textId="77777777" w:rsidR="005F0738" w:rsidRDefault="001D5F09">
      <w:r>
        <w:continuationSeparator/>
      </w:r>
    </w:p>
    <w:p w14:paraId="392A175A" w14:textId="77777777" w:rsidR="005F0738" w:rsidRDefault="005F0738"/>
  </w:footnote>
  <w:footnote w:id="1">
    <w:p w14:paraId="380EC795" w14:textId="77777777" w:rsidR="0024395B" w:rsidRDefault="0024395B" w:rsidP="0024395B">
      <w:pPr>
        <w:pStyle w:val="Voetnoottekst"/>
        <w:spacing w:line="240" w:lineRule="auto"/>
      </w:pPr>
      <w:r w:rsidRPr="00C250F7">
        <w:rPr>
          <w:rStyle w:val="Voetnootmarkering"/>
        </w:rPr>
        <w:footnoteRef/>
      </w:r>
      <w:r w:rsidRPr="00C250F7">
        <w:t xml:space="preserve"> </w:t>
      </w:r>
      <w:proofErr w:type="spellStart"/>
      <w:r>
        <w:t>O.a</w:t>
      </w:r>
      <w:proofErr w:type="spellEnd"/>
      <w:r>
        <w:t xml:space="preserve"> </w:t>
      </w:r>
      <w:r w:rsidRPr="00C250F7">
        <w:t>Kamerstuk 32820, nr. 528,  Kamerstuk 32820, nr. 564, Kamerstuk 32820, nr. 544, Kamerstuk 32820, nr. 565.</w:t>
      </w:r>
      <w:r>
        <w:t xml:space="preserve">  </w:t>
      </w:r>
    </w:p>
  </w:footnote>
  <w:footnote w:id="2">
    <w:p w14:paraId="06FE098B" w14:textId="77777777" w:rsidR="00421942" w:rsidRPr="00FF362C" w:rsidRDefault="00421942" w:rsidP="00421942">
      <w:pPr>
        <w:pStyle w:val="Voetnoottekst"/>
        <w:spacing w:line="240" w:lineRule="auto"/>
        <w:rPr>
          <w:i/>
          <w:iCs/>
        </w:rPr>
      </w:pPr>
      <w:r w:rsidRPr="00FF362C">
        <w:rPr>
          <w:rStyle w:val="Voetnootmarkering"/>
        </w:rPr>
        <w:footnoteRef/>
      </w:r>
      <w:r w:rsidRPr="00FF362C">
        <w:t xml:space="preserve"> </w:t>
      </w:r>
      <w:r w:rsidRPr="00FF362C">
        <w:rPr>
          <w:i/>
          <w:iCs/>
        </w:rPr>
        <w:t>Europees Verdrag inzake de bescherming van het archeologisch erfgoed (herzien)</w:t>
      </w:r>
      <w:r w:rsidRPr="00FF362C">
        <w:t xml:space="preserve">, </w:t>
      </w:r>
      <w:r>
        <w:t xml:space="preserve">Raad van Europa, </w:t>
      </w:r>
      <w:r w:rsidRPr="00FF362C">
        <w:t>Valletta, 16-01-</w:t>
      </w:r>
      <w:r>
        <w:t>1</w:t>
      </w:r>
      <w:r w:rsidRPr="00FF362C">
        <w:t>992</w:t>
      </w:r>
      <w:r w:rsidRPr="00FF362C">
        <w:rPr>
          <w:i/>
          <w:iCs/>
        </w:rPr>
        <w:t xml:space="preserve">. </w:t>
      </w:r>
    </w:p>
  </w:footnote>
  <w:footnote w:id="3">
    <w:p w14:paraId="71286056" w14:textId="77777777" w:rsidR="00421942" w:rsidRDefault="00421942" w:rsidP="00421942">
      <w:pPr>
        <w:pStyle w:val="Voetnoottekst"/>
        <w:spacing w:line="240" w:lineRule="auto"/>
      </w:pPr>
      <w:r w:rsidRPr="00FF362C">
        <w:rPr>
          <w:rStyle w:val="Voetnootmarkering"/>
        </w:rPr>
        <w:footnoteRef/>
      </w:r>
      <w:r w:rsidRPr="00FF362C">
        <w:t xml:space="preserve"> </w:t>
      </w:r>
      <w:hyperlink r:id="rId1" w:history="1">
        <w:r w:rsidRPr="00FF362C">
          <w:rPr>
            <w:rStyle w:val="Hyperlink"/>
          </w:rPr>
          <w:t>https://www.inspectie-oe.nl/actueel/nieuws/2023/06/06/om-bestraft-illegale-opgraving</w:t>
        </w:r>
      </w:hyperlink>
      <w:r w:rsidRPr="00FF362C">
        <w:t>.</w:t>
      </w:r>
      <w:r>
        <w:t xml:space="preserve"> </w:t>
      </w:r>
    </w:p>
  </w:footnote>
  <w:footnote w:id="4">
    <w:p w14:paraId="3504C791" w14:textId="77777777" w:rsidR="00421942" w:rsidRPr="00D3151B" w:rsidRDefault="00421942" w:rsidP="00421942">
      <w:pPr>
        <w:pStyle w:val="Voetnoottekst"/>
        <w:spacing w:line="240" w:lineRule="auto"/>
      </w:pPr>
      <w:r w:rsidRPr="00D3151B">
        <w:rPr>
          <w:rStyle w:val="Voetnootmarkering"/>
        </w:rPr>
        <w:footnoteRef/>
      </w:r>
      <w:r w:rsidRPr="00D3151B">
        <w:t xml:space="preserve"> </w:t>
      </w:r>
      <w:hyperlink r:id="rId2" w:history="1">
        <w:r w:rsidRPr="00D3151B">
          <w:rPr>
            <w:rStyle w:val="Hyperlink"/>
          </w:rPr>
          <w:t>https://www.inspectie-oe.nl/actueel/nieuws/2022/11/29/illegale-archeologische-opgraving-spitfire</w:t>
        </w:r>
      </w:hyperlink>
      <w:r w:rsidRPr="00D3151B">
        <w:t xml:space="preserve">. </w:t>
      </w:r>
    </w:p>
  </w:footnote>
  <w:footnote w:id="5">
    <w:p w14:paraId="1368D720" w14:textId="77777777" w:rsidR="00421942" w:rsidRDefault="00421942" w:rsidP="00421942">
      <w:pPr>
        <w:pStyle w:val="Voetnoottekst"/>
        <w:spacing w:line="240" w:lineRule="auto"/>
      </w:pPr>
      <w:r w:rsidRPr="00D72FB5">
        <w:rPr>
          <w:rStyle w:val="Voetnootmarkering"/>
        </w:rPr>
        <w:footnoteRef/>
      </w:r>
      <w:r w:rsidRPr="00D72FB5">
        <w:t xml:space="preserve"> Rijksdienst voor het Cultureel Erfgoed, 2025: </w:t>
      </w:r>
      <w:r w:rsidRPr="00E739EF">
        <w:rPr>
          <w:i/>
          <w:iCs/>
        </w:rPr>
        <w:t>De BZN17 op koers! Perspectieven voor onderzoek en behoud van de BZN17 – ‘het Palmhoutwrak’</w:t>
      </w:r>
      <w:r w:rsidRPr="00D72FB5">
        <w:t>, Amersfoort.</w:t>
      </w:r>
    </w:p>
  </w:footnote>
  <w:footnote w:id="6">
    <w:p w14:paraId="38EF08B4" w14:textId="77777777" w:rsidR="004067EA" w:rsidRDefault="004067EA" w:rsidP="004067EA">
      <w:pPr>
        <w:pStyle w:val="Voetnoottekst"/>
        <w:spacing w:line="240" w:lineRule="auto"/>
      </w:pPr>
      <w:r w:rsidRPr="00E739EF">
        <w:rPr>
          <w:rStyle w:val="Voetnootmarkering"/>
        </w:rPr>
        <w:footnoteRef/>
      </w:r>
      <w:r w:rsidRPr="00E739EF">
        <w:t xml:space="preserve"> </w:t>
      </w:r>
      <w:proofErr w:type="spellStart"/>
      <w:r w:rsidRPr="00E739EF">
        <w:t>Amkreutz</w:t>
      </w:r>
      <w:proofErr w:type="spellEnd"/>
      <w:r w:rsidRPr="00E739EF">
        <w:t xml:space="preserve">, L., Van der Vaart-Verschoof, S. (red), 2021: </w:t>
      </w:r>
      <w:r w:rsidRPr="00E739EF">
        <w:rPr>
          <w:i/>
          <w:iCs/>
        </w:rPr>
        <w:t>Doggerland. Verdwenen wereld in de Noordzee</w:t>
      </w:r>
      <w:r w:rsidRPr="00E739EF">
        <w:t xml:space="preserve">, </w:t>
      </w:r>
      <w:proofErr w:type="spellStart"/>
      <w:r w:rsidRPr="00E739EF">
        <w:t>Sidestone</w:t>
      </w:r>
      <w:proofErr w:type="spellEnd"/>
      <w:r w:rsidRPr="00E739EF">
        <w:t xml:space="preserve"> Press, Leiden. </w:t>
      </w:r>
    </w:p>
  </w:footnote>
  <w:footnote w:id="7">
    <w:p w14:paraId="18DE2BC3" w14:textId="77777777" w:rsidR="00421942" w:rsidRPr="00D3151B" w:rsidRDefault="00421942" w:rsidP="00421942">
      <w:pPr>
        <w:pStyle w:val="Voetnoottekst"/>
        <w:spacing w:line="240" w:lineRule="auto"/>
      </w:pPr>
      <w:r w:rsidRPr="00D3151B">
        <w:rPr>
          <w:rStyle w:val="Voetnootmarkering"/>
        </w:rPr>
        <w:footnoteRef/>
      </w:r>
      <w:r w:rsidRPr="00D3151B">
        <w:t xml:space="preserve"> </w:t>
      </w:r>
      <w:hyperlink r:id="rId3" w:history="1">
        <w:r w:rsidRPr="00D3151B">
          <w:rPr>
            <w:rStyle w:val="Hyperlink"/>
          </w:rPr>
          <w:t>https://www.cultureelerfgoed.nl/actueel/nieuws/2025/01/27/grote-muntvondst-uit-romeinse-tijd-in-bunnik</w:t>
        </w:r>
      </w:hyperlink>
      <w:r w:rsidRPr="00D3151B">
        <w:t xml:space="preserve">. </w:t>
      </w:r>
    </w:p>
  </w:footnote>
  <w:footnote w:id="8">
    <w:p w14:paraId="1E41A279" w14:textId="77777777" w:rsidR="00421942" w:rsidRDefault="00421942" w:rsidP="00421942">
      <w:pPr>
        <w:pStyle w:val="Voetnoottekst"/>
        <w:spacing w:line="240" w:lineRule="auto"/>
      </w:pPr>
      <w:r w:rsidRPr="00D3151B">
        <w:rPr>
          <w:rStyle w:val="Voetnootmarkering"/>
        </w:rPr>
        <w:footnoteRef/>
      </w:r>
      <w:r w:rsidRPr="00D3151B">
        <w:t xml:space="preserve"> </w:t>
      </w:r>
      <w:hyperlink r:id="rId4" w:history="1">
        <w:r w:rsidRPr="00D3151B">
          <w:rPr>
            <w:rStyle w:val="Hyperlink"/>
          </w:rPr>
          <w:t>https://www.cultureelerfgoed.nl/actueel/nieuws/2025/12/10/romeinse-muntvondst-van-buggenum</w:t>
        </w:r>
      </w:hyperlink>
      <w:r w:rsidRPr="00D3151B">
        <w:t>.</w:t>
      </w:r>
      <w:r>
        <w:t xml:space="preserve"> </w:t>
      </w:r>
    </w:p>
  </w:footnote>
  <w:footnote w:id="9">
    <w:p w14:paraId="5702AC23" w14:textId="77777777" w:rsidR="00421942" w:rsidRDefault="00421942" w:rsidP="00421942">
      <w:pPr>
        <w:pStyle w:val="Voetnoottekst"/>
        <w:spacing w:line="240" w:lineRule="auto"/>
      </w:pPr>
      <w:r>
        <w:rPr>
          <w:rStyle w:val="Voetnootmarkering"/>
        </w:rPr>
        <w:footnoteRef/>
      </w:r>
      <w:r>
        <w:t xml:space="preserve"> </w:t>
      </w:r>
      <w:hyperlink r:id="rId5" w:history="1">
        <w:r w:rsidRPr="00B700DC">
          <w:rPr>
            <w:rStyle w:val="Hyperlink"/>
          </w:rPr>
          <w:t>https://www.rtvdrenthe.nl/nieuws/17296460/groot-wetenschappelijk-onderzoek-naar-slag-bij-ane-gestart-geen-lokaal-knokpartijtje</w:t>
        </w:r>
      </w:hyperlink>
    </w:p>
  </w:footnote>
  <w:footnote w:id="10">
    <w:p w14:paraId="1C928CB0" w14:textId="77777777" w:rsidR="00421942" w:rsidRPr="00C250F7" w:rsidRDefault="00421942" w:rsidP="00421942">
      <w:pPr>
        <w:pStyle w:val="Voetnoottekst"/>
        <w:spacing w:line="240" w:lineRule="auto"/>
      </w:pPr>
      <w:r w:rsidRPr="00C250F7">
        <w:rPr>
          <w:rStyle w:val="Voetnootmarkering"/>
        </w:rPr>
        <w:footnoteRef/>
      </w:r>
      <w:r w:rsidRPr="00C250F7">
        <w:t xml:space="preserve"> </w:t>
      </w:r>
      <w:hyperlink r:id="rId6" w:history="1">
        <w:r w:rsidRPr="00C250F7">
          <w:rPr>
            <w:rStyle w:val="Hyperlink"/>
          </w:rPr>
          <w:t>https://sites.google.com/view/stichtingarcheosfryslan/double-dutch-scheepswrak-kornwerderzand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33139" w14:paraId="043DE430" w14:textId="77777777" w:rsidTr="006D2D53">
      <w:trPr>
        <w:trHeight w:hRule="exact" w:val="400"/>
      </w:trPr>
      <w:tc>
        <w:tcPr>
          <w:tcW w:w="7518" w:type="dxa"/>
        </w:tcPr>
        <w:p w14:paraId="2C243625" w14:textId="77777777" w:rsidR="00527BD4" w:rsidRPr="00275984" w:rsidRDefault="00527BD4" w:rsidP="00BF4427">
          <w:pPr>
            <w:pStyle w:val="Huisstijl-Rubricering"/>
          </w:pPr>
        </w:p>
      </w:tc>
    </w:tr>
  </w:tbl>
  <w:p w14:paraId="5567C87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33139" w14:paraId="1889D259" w14:textId="77777777" w:rsidTr="003B528D">
      <w:tc>
        <w:tcPr>
          <w:tcW w:w="2160" w:type="dxa"/>
        </w:tcPr>
        <w:p w14:paraId="09839FC9" w14:textId="77777777" w:rsidR="00FF7D29" w:rsidRPr="002F71BB" w:rsidRDefault="001D5F09" w:rsidP="006C2093">
          <w:pPr>
            <w:rPr>
              <w:b/>
              <w:sz w:val="13"/>
              <w:szCs w:val="13"/>
            </w:rPr>
          </w:pPr>
          <w:r w:rsidRPr="0052042A">
            <w:rPr>
              <w:b/>
              <w:sz w:val="13"/>
              <w:szCs w:val="13"/>
            </w:rPr>
            <w:t>Onze referentie</w:t>
          </w:r>
        </w:p>
        <w:p w14:paraId="199587DC" w14:textId="77777777" w:rsidR="002F71BB" w:rsidRPr="000407BB" w:rsidRDefault="001D5F09" w:rsidP="008F6AD7">
          <w:pPr>
            <w:spacing w:after="90" w:line="180" w:lineRule="exact"/>
            <w:rPr>
              <w:sz w:val="13"/>
              <w:szCs w:val="13"/>
            </w:rPr>
          </w:pPr>
          <w:r>
            <w:rPr>
              <w:sz w:val="13"/>
              <w:szCs w:val="13"/>
            </w:rPr>
            <w:t>63766220</w:t>
          </w:r>
          <w:r w:rsidR="008F6AD7" w:rsidRPr="000407BB">
            <w:rPr>
              <w:sz w:val="13"/>
              <w:szCs w:val="13"/>
            </w:rPr>
            <w:t xml:space="preserve"> </w:t>
          </w:r>
        </w:p>
      </w:tc>
    </w:tr>
    <w:tr w:rsidR="00333139" w14:paraId="06505A2E" w14:textId="77777777" w:rsidTr="002F71BB">
      <w:trPr>
        <w:trHeight w:val="259"/>
      </w:trPr>
      <w:tc>
        <w:tcPr>
          <w:tcW w:w="2160" w:type="dxa"/>
        </w:tcPr>
        <w:p w14:paraId="7A57687C" w14:textId="77777777" w:rsidR="00E35CF4" w:rsidRPr="002F71BB" w:rsidRDefault="00E35CF4" w:rsidP="0049501A">
          <w:pPr>
            <w:spacing w:line="180" w:lineRule="exact"/>
            <w:rPr>
              <w:i/>
              <w:sz w:val="13"/>
              <w:szCs w:val="13"/>
            </w:rPr>
          </w:pPr>
        </w:p>
      </w:tc>
    </w:tr>
  </w:tbl>
  <w:p w14:paraId="53A057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33139" w14:paraId="75A32303" w14:textId="77777777" w:rsidTr="001377D4">
      <w:trPr>
        <w:trHeight w:val="2636"/>
      </w:trPr>
      <w:tc>
        <w:tcPr>
          <w:tcW w:w="737" w:type="dxa"/>
        </w:tcPr>
        <w:tbl>
          <w:tblPr>
            <w:tblW w:w="0" w:type="auto"/>
            <w:tblLayout w:type="fixed"/>
            <w:tblCellMar>
              <w:left w:w="0" w:type="dxa"/>
              <w:right w:w="0" w:type="dxa"/>
            </w:tblCellMar>
            <w:tblLook w:val="04A0" w:firstRow="1" w:lastRow="0" w:firstColumn="1" w:lastColumn="0" w:noHBand="0" w:noVBand="1"/>
          </w:tblPr>
          <w:tblGrid>
            <w:gridCol w:w="737"/>
            <w:gridCol w:w="5156"/>
          </w:tblGrid>
          <w:tr w:rsidR="00333139" w14:paraId="74033123" w14:textId="77777777" w:rsidTr="007D0F42">
            <w:trPr>
              <w:trHeight w:val="2636"/>
            </w:trPr>
            <w:tc>
              <w:tcPr>
                <w:tcW w:w="737" w:type="dxa"/>
              </w:tcPr>
              <w:p w14:paraId="1F9A799B" w14:textId="77777777" w:rsidR="007D0F42" w:rsidRDefault="001D5F09">
                <w:pPr>
                  <w:framePr w:w="6339" w:h="2750" w:hSpace="181" w:wrap="around" w:vAnchor="page" w:hAnchor="page" w:x="5586" w:y="1"/>
                  <w:spacing w:line="240" w:lineRule="auto"/>
                  <w:rPr>
                    <w:lang w:val="en-US" w:eastAsia="en-US"/>
                  </w:rPr>
                </w:pPr>
                <w:r>
                  <w:rPr>
                    <w:noProof/>
                  </w:rPr>
                  <w:drawing>
                    <wp:inline distT="0" distB="0" distL="0" distR="0" wp14:anchorId="37838CE9" wp14:editId="4CC19B17">
                      <wp:extent cx="466725" cy="1581150"/>
                      <wp:effectExtent l="0" t="0" r="9525" b="0"/>
                      <wp:docPr id="2" name="Afbeelding 4"/>
                      <wp:cNvGraphicFramePr/>
                      <a:graphic xmlns:a="http://schemas.openxmlformats.org/drawingml/2006/main">
                        <a:graphicData uri="http://schemas.openxmlformats.org/drawingml/2006/picture">
                          <pic:pic xmlns:pic="http://schemas.openxmlformats.org/drawingml/2006/picture">
                            <pic:nvPicPr>
                              <pic:cNvPr id="2" name="Afbeelding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hideMark/>
              </w:tcPr>
              <w:p w14:paraId="04380422" w14:textId="77777777" w:rsidR="007D0F42" w:rsidRDefault="007D0F42">
                <w:pPr>
                  <w:framePr w:w="6339" w:h="2750" w:hSpace="181" w:wrap="around" w:vAnchor="page" w:hAnchor="page" w:x="5586" w:y="1"/>
                  <w:spacing w:line="240" w:lineRule="auto"/>
                  <w:rPr>
                    <w:lang w:val="en-US" w:eastAsia="en-US"/>
                  </w:rPr>
                </w:pPr>
              </w:p>
            </w:tc>
          </w:tr>
        </w:tbl>
        <w:p w14:paraId="39811309" w14:textId="77777777" w:rsidR="00333139" w:rsidRDefault="00333139"/>
      </w:tc>
      <w:tc>
        <w:tcPr>
          <w:tcW w:w="5156" w:type="dxa"/>
        </w:tcPr>
        <w:p w14:paraId="27C41BE9" w14:textId="77777777" w:rsidR="00704845" w:rsidRDefault="001D5F09" w:rsidP="0047126E">
          <w:pPr>
            <w:framePr w:w="3873" w:h="2625" w:hRule="exact" w:wrap="around" w:vAnchor="page" w:hAnchor="page" w:x="6323" w:y="1"/>
          </w:pPr>
          <w:r>
            <w:rPr>
              <w:noProof/>
              <w:lang w:val="en-US" w:eastAsia="en-US"/>
            </w:rPr>
            <w:drawing>
              <wp:inline distT="0" distB="0" distL="0" distR="0" wp14:anchorId="3A679008" wp14:editId="320D521B">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96F72BE" w14:textId="77777777" w:rsidR="00483ECA" w:rsidRDefault="00483ECA" w:rsidP="00D037A9"/>
        <w:p w14:paraId="3391A63C" w14:textId="77777777" w:rsidR="005F2FA9" w:rsidRDefault="005F2FA9" w:rsidP="00082403"/>
      </w:tc>
    </w:tr>
  </w:tbl>
  <w:p w14:paraId="0E83146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33139" w14:paraId="4DB1388F" w14:textId="77777777" w:rsidTr="00FE2F99">
      <w:trPr>
        <w:trHeight w:hRule="exact" w:val="572"/>
      </w:trPr>
      <w:tc>
        <w:tcPr>
          <w:tcW w:w="7520" w:type="dxa"/>
        </w:tcPr>
        <w:p w14:paraId="55B2F6C1" w14:textId="0A7EDCD4" w:rsidR="00527BD4" w:rsidRPr="00963440" w:rsidRDefault="001D5F09" w:rsidP="003B6D32">
          <w:pPr>
            <w:pStyle w:val="Huisstijl-Adres"/>
            <w:spacing w:after="0"/>
          </w:pPr>
          <w:r w:rsidRPr="009E3B07">
            <w:t xml:space="preserve"> </w:t>
          </w:r>
        </w:p>
      </w:tc>
    </w:tr>
    <w:tr w:rsidR="00333139" w14:paraId="2A24AB63" w14:textId="77777777" w:rsidTr="00FE2F99">
      <w:trPr>
        <w:cantSplit/>
        <w:trHeight w:hRule="exact" w:val="238"/>
      </w:trPr>
      <w:tc>
        <w:tcPr>
          <w:tcW w:w="7520" w:type="dxa"/>
        </w:tcPr>
        <w:p w14:paraId="22D395C0" w14:textId="77777777" w:rsidR="00093ABC" w:rsidRPr="00963440" w:rsidRDefault="00093ABC" w:rsidP="00963440"/>
      </w:tc>
    </w:tr>
    <w:tr w:rsidR="00333139" w14:paraId="4AB12F60" w14:textId="77777777" w:rsidTr="00FE2F99">
      <w:trPr>
        <w:cantSplit/>
        <w:trHeight w:hRule="exact" w:val="1520"/>
      </w:trPr>
      <w:tc>
        <w:tcPr>
          <w:tcW w:w="7520" w:type="dxa"/>
        </w:tcPr>
        <w:p w14:paraId="5BCFB720" w14:textId="77777777" w:rsidR="00A604D3" w:rsidRPr="00963440" w:rsidRDefault="00A604D3" w:rsidP="003B6D32"/>
      </w:tc>
    </w:tr>
    <w:tr w:rsidR="00333139" w14:paraId="78671B47" w14:textId="77777777" w:rsidTr="00FE2F99">
      <w:trPr>
        <w:trHeight w:hRule="exact" w:val="1077"/>
      </w:trPr>
      <w:tc>
        <w:tcPr>
          <w:tcW w:w="7520" w:type="dxa"/>
        </w:tcPr>
        <w:p w14:paraId="0A734D2C" w14:textId="77777777" w:rsidR="00596D5A" w:rsidRDefault="00596D5A" w:rsidP="00892BA5">
          <w:pPr>
            <w:tabs>
              <w:tab w:val="left" w:pos="740"/>
            </w:tabs>
            <w:autoSpaceDE w:val="0"/>
            <w:autoSpaceDN w:val="0"/>
            <w:adjustRightInd w:val="0"/>
            <w:rPr>
              <w:rFonts w:cs="Verdana"/>
              <w:szCs w:val="18"/>
            </w:rPr>
          </w:pPr>
        </w:p>
        <w:p w14:paraId="0464358E" w14:textId="77777777" w:rsidR="00596D5A" w:rsidRDefault="00596D5A" w:rsidP="00596D5A">
          <w:pPr>
            <w:rPr>
              <w:rFonts w:cs="Verdana"/>
              <w:szCs w:val="18"/>
            </w:rPr>
          </w:pPr>
        </w:p>
        <w:p w14:paraId="13672E47" w14:textId="77777777" w:rsidR="00892BA5" w:rsidRPr="00596D5A" w:rsidRDefault="001D5F09" w:rsidP="00596D5A">
          <w:pPr>
            <w:tabs>
              <w:tab w:val="left" w:pos="4965"/>
            </w:tabs>
            <w:rPr>
              <w:rFonts w:cs="Verdana"/>
              <w:szCs w:val="18"/>
            </w:rPr>
          </w:pPr>
          <w:r>
            <w:rPr>
              <w:rFonts w:cs="Verdana"/>
              <w:szCs w:val="18"/>
            </w:rPr>
            <w:tab/>
          </w:r>
        </w:p>
      </w:tc>
    </w:tr>
  </w:tbl>
  <w:p w14:paraId="268E698E" w14:textId="77777777" w:rsidR="006F273B" w:rsidRDefault="006F273B" w:rsidP="00BC4AE3">
    <w:pPr>
      <w:pStyle w:val="Koptekst"/>
    </w:pPr>
  </w:p>
  <w:p w14:paraId="407442AE" w14:textId="77777777" w:rsidR="00153BD0" w:rsidRDefault="00153BD0" w:rsidP="00BC4AE3">
    <w:pPr>
      <w:pStyle w:val="Koptekst"/>
    </w:pPr>
  </w:p>
  <w:p w14:paraId="472EDBBC" w14:textId="77777777" w:rsidR="0044605E" w:rsidRDefault="0044605E" w:rsidP="00BC4AE3">
    <w:pPr>
      <w:pStyle w:val="Koptekst"/>
    </w:pPr>
  </w:p>
  <w:p w14:paraId="6BB0A2EC" w14:textId="77777777" w:rsidR="0044605E" w:rsidRDefault="0044605E" w:rsidP="00BC4AE3">
    <w:pPr>
      <w:pStyle w:val="Koptekst"/>
    </w:pPr>
  </w:p>
  <w:p w14:paraId="7267199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476455C">
      <w:start w:val="1"/>
      <w:numFmt w:val="bullet"/>
      <w:pStyle w:val="Lijstopsomteken"/>
      <w:lvlText w:val="•"/>
      <w:lvlJc w:val="left"/>
      <w:pPr>
        <w:tabs>
          <w:tab w:val="num" w:pos="227"/>
        </w:tabs>
        <w:ind w:left="227" w:hanging="227"/>
      </w:pPr>
      <w:rPr>
        <w:rFonts w:ascii="Verdana" w:hAnsi="Verdana" w:hint="default"/>
        <w:sz w:val="18"/>
        <w:szCs w:val="18"/>
      </w:rPr>
    </w:lvl>
    <w:lvl w:ilvl="1" w:tplc="6E427D06" w:tentative="1">
      <w:start w:val="1"/>
      <w:numFmt w:val="bullet"/>
      <w:lvlText w:val="o"/>
      <w:lvlJc w:val="left"/>
      <w:pPr>
        <w:tabs>
          <w:tab w:val="num" w:pos="1440"/>
        </w:tabs>
        <w:ind w:left="1440" w:hanging="360"/>
      </w:pPr>
      <w:rPr>
        <w:rFonts w:ascii="Courier New" w:hAnsi="Courier New" w:cs="Courier New" w:hint="default"/>
      </w:rPr>
    </w:lvl>
    <w:lvl w:ilvl="2" w:tplc="DF0C88EE" w:tentative="1">
      <w:start w:val="1"/>
      <w:numFmt w:val="bullet"/>
      <w:lvlText w:val=""/>
      <w:lvlJc w:val="left"/>
      <w:pPr>
        <w:tabs>
          <w:tab w:val="num" w:pos="2160"/>
        </w:tabs>
        <w:ind w:left="2160" w:hanging="360"/>
      </w:pPr>
      <w:rPr>
        <w:rFonts w:ascii="Wingdings" w:hAnsi="Wingdings" w:hint="default"/>
      </w:rPr>
    </w:lvl>
    <w:lvl w:ilvl="3" w:tplc="A616367E" w:tentative="1">
      <w:start w:val="1"/>
      <w:numFmt w:val="bullet"/>
      <w:lvlText w:val=""/>
      <w:lvlJc w:val="left"/>
      <w:pPr>
        <w:tabs>
          <w:tab w:val="num" w:pos="2880"/>
        </w:tabs>
        <w:ind w:left="2880" w:hanging="360"/>
      </w:pPr>
      <w:rPr>
        <w:rFonts w:ascii="Symbol" w:hAnsi="Symbol" w:hint="default"/>
      </w:rPr>
    </w:lvl>
    <w:lvl w:ilvl="4" w:tplc="D60C0502" w:tentative="1">
      <w:start w:val="1"/>
      <w:numFmt w:val="bullet"/>
      <w:lvlText w:val="o"/>
      <w:lvlJc w:val="left"/>
      <w:pPr>
        <w:tabs>
          <w:tab w:val="num" w:pos="3600"/>
        </w:tabs>
        <w:ind w:left="3600" w:hanging="360"/>
      </w:pPr>
      <w:rPr>
        <w:rFonts w:ascii="Courier New" w:hAnsi="Courier New" w:cs="Courier New" w:hint="default"/>
      </w:rPr>
    </w:lvl>
    <w:lvl w:ilvl="5" w:tplc="6108E3FA" w:tentative="1">
      <w:start w:val="1"/>
      <w:numFmt w:val="bullet"/>
      <w:lvlText w:val=""/>
      <w:lvlJc w:val="left"/>
      <w:pPr>
        <w:tabs>
          <w:tab w:val="num" w:pos="4320"/>
        </w:tabs>
        <w:ind w:left="4320" w:hanging="360"/>
      </w:pPr>
      <w:rPr>
        <w:rFonts w:ascii="Wingdings" w:hAnsi="Wingdings" w:hint="default"/>
      </w:rPr>
    </w:lvl>
    <w:lvl w:ilvl="6" w:tplc="ACFCCDD4" w:tentative="1">
      <w:start w:val="1"/>
      <w:numFmt w:val="bullet"/>
      <w:lvlText w:val=""/>
      <w:lvlJc w:val="left"/>
      <w:pPr>
        <w:tabs>
          <w:tab w:val="num" w:pos="5040"/>
        </w:tabs>
        <w:ind w:left="5040" w:hanging="360"/>
      </w:pPr>
      <w:rPr>
        <w:rFonts w:ascii="Symbol" w:hAnsi="Symbol" w:hint="default"/>
      </w:rPr>
    </w:lvl>
    <w:lvl w:ilvl="7" w:tplc="F21A7648" w:tentative="1">
      <w:start w:val="1"/>
      <w:numFmt w:val="bullet"/>
      <w:lvlText w:val="o"/>
      <w:lvlJc w:val="left"/>
      <w:pPr>
        <w:tabs>
          <w:tab w:val="num" w:pos="5760"/>
        </w:tabs>
        <w:ind w:left="5760" w:hanging="360"/>
      </w:pPr>
      <w:rPr>
        <w:rFonts w:ascii="Courier New" w:hAnsi="Courier New" w:cs="Courier New" w:hint="default"/>
      </w:rPr>
    </w:lvl>
    <w:lvl w:ilvl="8" w:tplc="4216C9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4F2E054">
      <w:start w:val="1"/>
      <w:numFmt w:val="bullet"/>
      <w:pStyle w:val="Lijstopsomteken2"/>
      <w:lvlText w:val="–"/>
      <w:lvlJc w:val="left"/>
      <w:pPr>
        <w:tabs>
          <w:tab w:val="num" w:pos="227"/>
        </w:tabs>
        <w:ind w:left="227" w:firstLine="0"/>
      </w:pPr>
      <w:rPr>
        <w:rFonts w:ascii="Verdana" w:hAnsi="Verdana" w:hint="default"/>
      </w:rPr>
    </w:lvl>
    <w:lvl w:ilvl="1" w:tplc="75C23382" w:tentative="1">
      <w:start w:val="1"/>
      <w:numFmt w:val="bullet"/>
      <w:lvlText w:val="o"/>
      <w:lvlJc w:val="left"/>
      <w:pPr>
        <w:tabs>
          <w:tab w:val="num" w:pos="1440"/>
        </w:tabs>
        <w:ind w:left="1440" w:hanging="360"/>
      </w:pPr>
      <w:rPr>
        <w:rFonts w:ascii="Courier New" w:hAnsi="Courier New" w:cs="Courier New" w:hint="default"/>
      </w:rPr>
    </w:lvl>
    <w:lvl w:ilvl="2" w:tplc="6562D648" w:tentative="1">
      <w:start w:val="1"/>
      <w:numFmt w:val="bullet"/>
      <w:lvlText w:val=""/>
      <w:lvlJc w:val="left"/>
      <w:pPr>
        <w:tabs>
          <w:tab w:val="num" w:pos="2160"/>
        </w:tabs>
        <w:ind w:left="2160" w:hanging="360"/>
      </w:pPr>
      <w:rPr>
        <w:rFonts w:ascii="Wingdings" w:hAnsi="Wingdings" w:hint="default"/>
      </w:rPr>
    </w:lvl>
    <w:lvl w:ilvl="3" w:tplc="0A68943C" w:tentative="1">
      <w:start w:val="1"/>
      <w:numFmt w:val="bullet"/>
      <w:lvlText w:val=""/>
      <w:lvlJc w:val="left"/>
      <w:pPr>
        <w:tabs>
          <w:tab w:val="num" w:pos="2880"/>
        </w:tabs>
        <w:ind w:left="2880" w:hanging="360"/>
      </w:pPr>
      <w:rPr>
        <w:rFonts w:ascii="Symbol" w:hAnsi="Symbol" w:hint="default"/>
      </w:rPr>
    </w:lvl>
    <w:lvl w:ilvl="4" w:tplc="39027060" w:tentative="1">
      <w:start w:val="1"/>
      <w:numFmt w:val="bullet"/>
      <w:lvlText w:val="o"/>
      <w:lvlJc w:val="left"/>
      <w:pPr>
        <w:tabs>
          <w:tab w:val="num" w:pos="3600"/>
        </w:tabs>
        <w:ind w:left="3600" w:hanging="360"/>
      </w:pPr>
      <w:rPr>
        <w:rFonts w:ascii="Courier New" w:hAnsi="Courier New" w:cs="Courier New" w:hint="default"/>
      </w:rPr>
    </w:lvl>
    <w:lvl w:ilvl="5" w:tplc="9748429C" w:tentative="1">
      <w:start w:val="1"/>
      <w:numFmt w:val="bullet"/>
      <w:lvlText w:val=""/>
      <w:lvlJc w:val="left"/>
      <w:pPr>
        <w:tabs>
          <w:tab w:val="num" w:pos="4320"/>
        </w:tabs>
        <w:ind w:left="4320" w:hanging="360"/>
      </w:pPr>
      <w:rPr>
        <w:rFonts w:ascii="Wingdings" w:hAnsi="Wingdings" w:hint="default"/>
      </w:rPr>
    </w:lvl>
    <w:lvl w:ilvl="6" w:tplc="B808B6F6" w:tentative="1">
      <w:start w:val="1"/>
      <w:numFmt w:val="bullet"/>
      <w:lvlText w:val=""/>
      <w:lvlJc w:val="left"/>
      <w:pPr>
        <w:tabs>
          <w:tab w:val="num" w:pos="5040"/>
        </w:tabs>
        <w:ind w:left="5040" w:hanging="360"/>
      </w:pPr>
      <w:rPr>
        <w:rFonts w:ascii="Symbol" w:hAnsi="Symbol" w:hint="default"/>
      </w:rPr>
    </w:lvl>
    <w:lvl w:ilvl="7" w:tplc="A150EB32" w:tentative="1">
      <w:start w:val="1"/>
      <w:numFmt w:val="bullet"/>
      <w:lvlText w:val="o"/>
      <w:lvlJc w:val="left"/>
      <w:pPr>
        <w:tabs>
          <w:tab w:val="num" w:pos="5760"/>
        </w:tabs>
        <w:ind w:left="5760" w:hanging="360"/>
      </w:pPr>
      <w:rPr>
        <w:rFonts w:ascii="Courier New" w:hAnsi="Courier New" w:cs="Courier New" w:hint="default"/>
      </w:rPr>
    </w:lvl>
    <w:lvl w:ilvl="8" w:tplc="77D494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6802998">
    <w:abstractNumId w:val="10"/>
  </w:num>
  <w:num w:numId="2" w16cid:durableId="1789469114">
    <w:abstractNumId w:val="7"/>
  </w:num>
  <w:num w:numId="3" w16cid:durableId="1923026818">
    <w:abstractNumId w:val="6"/>
  </w:num>
  <w:num w:numId="4" w16cid:durableId="141125294">
    <w:abstractNumId w:val="5"/>
  </w:num>
  <w:num w:numId="5" w16cid:durableId="1603147904">
    <w:abstractNumId w:val="4"/>
  </w:num>
  <w:num w:numId="6" w16cid:durableId="454102238">
    <w:abstractNumId w:val="8"/>
  </w:num>
  <w:num w:numId="7" w16cid:durableId="257636583">
    <w:abstractNumId w:val="3"/>
  </w:num>
  <w:num w:numId="8" w16cid:durableId="1522743429">
    <w:abstractNumId w:val="2"/>
  </w:num>
  <w:num w:numId="9" w16cid:durableId="1970864132">
    <w:abstractNumId w:val="1"/>
  </w:num>
  <w:num w:numId="10" w16cid:durableId="319622772">
    <w:abstractNumId w:val="0"/>
  </w:num>
  <w:num w:numId="11" w16cid:durableId="2127656446">
    <w:abstractNumId w:val="9"/>
  </w:num>
  <w:num w:numId="12" w16cid:durableId="9065115">
    <w:abstractNumId w:val="11"/>
  </w:num>
  <w:num w:numId="13" w16cid:durableId="388235285">
    <w:abstractNumId w:val="13"/>
  </w:num>
  <w:num w:numId="14" w16cid:durableId="60563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384D"/>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EB8"/>
    <w:rsid w:val="000A2F33"/>
    <w:rsid w:val="000A3E0A"/>
    <w:rsid w:val="000A65AC"/>
    <w:rsid w:val="000B7281"/>
    <w:rsid w:val="000B7FAB"/>
    <w:rsid w:val="000C1BA1"/>
    <w:rsid w:val="000C3EA9"/>
    <w:rsid w:val="000C4A32"/>
    <w:rsid w:val="000C65BB"/>
    <w:rsid w:val="000C7119"/>
    <w:rsid w:val="000D0225"/>
    <w:rsid w:val="000D6399"/>
    <w:rsid w:val="000E400F"/>
    <w:rsid w:val="000E5886"/>
    <w:rsid w:val="000E7895"/>
    <w:rsid w:val="000E7D9D"/>
    <w:rsid w:val="000F161D"/>
    <w:rsid w:val="000F1B4E"/>
    <w:rsid w:val="000F1FFF"/>
    <w:rsid w:val="00100203"/>
    <w:rsid w:val="00104B4D"/>
    <w:rsid w:val="00107B09"/>
    <w:rsid w:val="001177B4"/>
    <w:rsid w:val="00122CF9"/>
    <w:rsid w:val="00123704"/>
    <w:rsid w:val="001270C7"/>
    <w:rsid w:val="00132540"/>
    <w:rsid w:val="001377D4"/>
    <w:rsid w:val="00142E41"/>
    <w:rsid w:val="001475E9"/>
    <w:rsid w:val="0014786A"/>
    <w:rsid w:val="001516A4"/>
    <w:rsid w:val="00151E5F"/>
    <w:rsid w:val="00153BD0"/>
    <w:rsid w:val="001569AB"/>
    <w:rsid w:val="00156E16"/>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D5F09"/>
    <w:rsid w:val="001E0256"/>
    <w:rsid w:val="001E0779"/>
    <w:rsid w:val="001E34C6"/>
    <w:rsid w:val="001E5581"/>
    <w:rsid w:val="001F349D"/>
    <w:rsid w:val="001F3C70"/>
    <w:rsid w:val="00200D88"/>
    <w:rsid w:val="00201C09"/>
    <w:rsid w:val="00201F68"/>
    <w:rsid w:val="00210BA3"/>
    <w:rsid w:val="00212F2A"/>
    <w:rsid w:val="00214F2B"/>
    <w:rsid w:val="00215D8B"/>
    <w:rsid w:val="00217880"/>
    <w:rsid w:val="00222D66"/>
    <w:rsid w:val="0022441A"/>
    <w:rsid w:val="00224A8A"/>
    <w:rsid w:val="002309A8"/>
    <w:rsid w:val="00232CFD"/>
    <w:rsid w:val="00236CFE"/>
    <w:rsid w:val="002428E3"/>
    <w:rsid w:val="0024395B"/>
    <w:rsid w:val="0024430A"/>
    <w:rsid w:val="00245FF7"/>
    <w:rsid w:val="00253B65"/>
    <w:rsid w:val="0026060B"/>
    <w:rsid w:val="00260BAF"/>
    <w:rsid w:val="002610A6"/>
    <w:rsid w:val="00263FD6"/>
    <w:rsid w:val="00264A43"/>
    <w:rsid w:val="002650F7"/>
    <w:rsid w:val="0026686B"/>
    <w:rsid w:val="00273F3B"/>
    <w:rsid w:val="00274DB7"/>
    <w:rsid w:val="00275735"/>
    <w:rsid w:val="00275984"/>
    <w:rsid w:val="00276199"/>
    <w:rsid w:val="002768F3"/>
    <w:rsid w:val="00276DA4"/>
    <w:rsid w:val="00277930"/>
    <w:rsid w:val="00280F74"/>
    <w:rsid w:val="00283BCA"/>
    <w:rsid w:val="00286998"/>
    <w:rsid w:val="00291AB7"/>
    <w:rsid w:val="0029422B"/>
    <w:rsid w:val="00294DCB"/>
    <w:rsid w:val="002A06CE"/>
    <w:rsid w:val="002A37B5"/>
    <w:rsid w:val="002A6722"/>
    <w:rsid w:val="002B0CF8"/>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3139"/>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64ED"/>
    <w:rsid w:val="003A7160"/>
    <w:rsid w:val="003A7E39"/>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67EA"/>
    <w:rsid w:val="00407991"/>
    <w:rsid w:val="0041019E"/>
    <w:rsid w:val="0041222E"/>
    <w:rsid w:val="00413D48"/>
    <w:rsid w:val="00421942"/>
    <w:rsid w:val="00424A60"/>
    <w:rsid w:val="00434500"/>
    <w:rsid w:val="00440341"/>
    <w:rsid w:val="00440C3D"/>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7546D"/>
    <w:rsid w:val="00483ECA"/>
    <w:rsid w:val="00483F0B"/>
    <w:rsid w:val="0049501A"/>
    <w:rsid w:val="00496319"/>
    <w:rsid w:val="0049657E"/>
    <w:rsid w:val="00497279"/>
    <w:rsid w:val="004A010B"/>
    <w:rsid w:val="004A3186"/>
    <w:rsid w:val="004A419C"/>
    <w:rsid w:val="004A670A"/>
    <w:rsid w:val="004A71EB"/>
    <w:rsid w:val="004B4901"/>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4F5D5A"/>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7F"/>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D7589"/>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16"/>
    <w:rsid w:val="006B1521"/>
    <w:rsid w:val="006B2A77"/>
    <w:rsid w:val="006B4006"/>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4751"/>
    <w:rsid w:val="006E7D82"/>
    <w:rsid w:val="006F038F"/>
    <w:rsid w:val="006F0F93"/>
    <w:rsid w:val="006F273B"/>
    <w:rsid w:val="006F31F2"/>
    <w:rsid w:val="00704845"/>
    <w:rsid w:val="00706AB3"/>
    <w:rsid w:val="00714DC5"/>
    <w:rsid w:val="007151F6"/>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372A"/>
    <w:rsid w:val="00764585"/>
    <w:rsid w:val="007661C9"/>
    <w:rsid w:val="00767FEF"/>
    <w:rsid w:val="007709EF"/>
    <w:rsid w:val="00783559"/>
    <w:rsid w:val="007846ED"/>
    <w:rsid w:val="00785C3B"/>
    <w:rsid w:val="00787D3F"/>
    <w:rsid w:val="00797AA5"/>
    <w:rsid w:val="007A26AB"/>
    <w:rsid w:val="007A26BD"/>
    <w:rsid w:val="007A4105"/>
    <w:rsid w:val="007A4F0E"/>
    <w:rsid w:val="007A514C"/>
    <w:rsid w:val="007B0D8E"/>
    <w:rsid w:val="007B4503"/>
    <w:rsid w:val="007C03C9"/>
    <w:rsid w:val="007C16D8"/>
    <w:rsid w:val="007C406E"/>
    <w:rsid w:val="007C5183"/>
    <w:rsid w:val="007C7573"/>
    <w:rsid w:val="007D0F42"/>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14A"/>
    <w:rsid w:val="008762B6"/>
    <w:rsid w:val="00883137"/>
    <w:rsid w:val="00892BA5"/>
    <w:rsid w:val="0089697A"/>
    <w:rsid w:val="00897351"/>
    <w:rsid w:val="008A08AC"/>
    <w:rsid w:val="008A1F5D"/>
    <w:rsid w:val="008A28F5"/>
    <w:rsid w:val="008B0E6F"/>
    <w:rsid w:val="008B1198"/>
    <w:rsid w:val="008B2349"/>
    <w:rsid w:val="008B3471"/>
    <w:rsid w:val="008B3929"/>
    <w:rsid w:val="008B3BAB"/>
    <w:rsid w:val="008B4125"/>
    <w:rsid w:val="008B4689"/>
    <w:rsid w:val="008B4CB3"/>
    <w:rsid w:val="008B567B"/>
    <w:rsid w:val="008B7B24"/>
    <w:rsid w:val="008C1818"/>
    <w:rsid w:val="008C356D"/>
    <w:rsid w:val="008D1583"/>
    <w:rsid w:val="008E0B3F"/>
    <w:rsid w:val="008E1341"/>
    <w:rsid w:val="008E35D3"/>
    <w:rsid w:val="008E49AD"/>
    <w:rsid w:val="008E698E"/>
    <w:rsid w:val="008F123F"/>
    <w:rsid w:val="008F2584"/>
    <w:rsid w:val="008F3246"/>
    <w:rsid w:val="008F3C1B"/>
    <w:rsid w:val="008F508C"/>
    <w:rsid w:val="008F6AD7"/>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531"/>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0CC1"/>
    <w:rsid w:val="00AB237D"/>
    <w:rsid w:val="00AB50E6"/>
    <w:rsid w:val="00AB5933"/>
    <w:rsid w:val="00AD34B3"/>
    <w:rsid w:val="00AD5B44"/>
    <w:rsid w:val="00AD7608"/>
    <w:rsid w:val="00AE013D"/>
    <w:rsid w:val="00AE07DC"/>
    <w:rsid w:val="00AE11B7"/>
    <w:rsid w:val="00AE18BA"/>
    <w:rsid w:val="00AE7130"/>
    <w:rsid w:val="00AE7F68"/>
    <w:rsid w:val="00AF2321"/>
    <w:rsid w:val="00AF52F6"/>
    <w:rsid w:val="00AF7237"/>
    <w:rsid w:val="00B0043A"/>
    <w:rsid w:val="00B00748"/>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8C"/>
    <w:rsid w:val="00B331A2"/>
    <w:rsid w:val="00B33CF2"/>
    <w:rsid w:val="00B350A2"/>
    <w:rsid w:val="00B425F0"/>
    <w:rsid w:val="00B42DFA"/>
    <w:rsid w:val="00B50571"/>
    <w:rsid w:val="00B531DD"/>
    <w:rsid w:val="00B5372B"/>
    <w:rsid w:val="00B54286"/>
    <w:rsid w:val="00B55014"/>
    <w:rsid w:val="00B57F21"/>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4390"/>
    <w:rsid w:val="00BA7E0A"/>
    <w:rsid w:val="00BB1493"/>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2C4A"/>
    <w:rsid w:val="00C44487"/>
    <w:rsid w:val="00C47F04"/>
    <w:rsid w:val="00C50E87"/>
    <w:rsid w:val="00C5258E"/>
    <w:rsid w:val="00C53BD7"/>
    <w:rsid w:val="00C54BBA"/>
    <w:rsid w:val="00C55923"/>
    <w:rsid w:val="00C57919"/>
    <w:rsid w:val="00C619A7"/>
    <w:rsid w:val="00C64E34"/>
    <w:rsid w:val="00C6545E"/>
    <w:rsid w:val="00C7097A"/>
    <w:rsid w:val="00C736E8"/>
    <w:rsid w:val="00C73D5F"/>
    <w:rsid w:val="00C965EF"/>
    <w:rsid w:val="00C97C80"/>
    <w:rsid w:val="00CA1D00"/>
    <w:rsid w:val="00CA47D3"/>
    <w:rsid w:val="00CA48EF"/>
    <w:rsid w:val="00CA6288"/>
    <w:rsid w:val="00CA6533"/>
    <w:rsid w:val="00CA67BE"/>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03A4"/>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06F1"/>
    <w:rsid w:val="00E91B40"/>
    <w:rsid w:val="00E94D82"/>
    <w:rsid w:val="00E972A2"/>
    <w:rsid w:val="00EA0ED6"/>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6AF7"/>
    <w:rsid w:val="00F40F11"/>
    <w:rsid w:val="00F41A6F"/>
    <w:rsid w:val="00F45A25"/>
    <w:rsid w:val="00F50F86"/>
    <w:rsid w:val="00F53862"/>
    <w:rsid w:val="00F53F91"/>
    <w:rsid w:val="00F54B9F"/>
    <w:rsid w:val="00F61569"/>
    <w:rsid w:val="00F61A72"/>
    <w:rsid w:val="00F62B67"/>
    <w:rsid w:val="00F664BE"/>
    <w:rsid w:val="00F66F13"/>
    <w:rsid w:val="00F711B4"/>
    <w:rsid w:val="00F7145D"/>
    <w:rsid w:val="00F71B5E"/>
    <w:rsid w:val="00F726BA"/>
    <w:rsid w:val="00F74073"/>
    <w:rsid w:val="00F75603"/>
    <w:rsid w:val="00F77BE5"/>
    <w:rsid w:val="00F845B4"/>
    <w:rsid w:val="00F8713B"/>
    <w:rsid w:val="00F904FB"/>
    <w:rsid w:val="00F93F9E"/>
    <w:rsid w:val="00F950BC"/>
    <w:rsid w:val="00FA2CD7"/>
    <w:rsid w:val="00FA5AD5"/>
    <w:rsid w:val="00FA73FC"/>
    <w:rsid w:val="00FB06ED"/>
    <w:rsid w:val="00FB3008"/>
    <w:rsid w:val="00FC08A4"/>
    <w:rsid w:val="00FC202F"/>
    <w:rsid w:val="00FC3165"/>
    <w:rsid w:val="00FC36AB"/>
    <w:rsid w:val="00FC4300"/>
    <w:rsid w:val="00FC7F66"/>
    <w:rsid w:val="00FD5776"/>
    <w:rsid w:val="00FE1CB6"/>
    <w:rsid w:val="00FE2F99"/>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DDE79"/>
  <w15:docId w15:val="{EA08E7B2-74A8-47B1-AAE9-C85F284F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3BCA"/>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uiPriority w:val="99"/>
    <w:rsid w:val="00421942"/>
    <w:rPr>
      <w:sz w:val="13"/>
      <w:szCs w:val="20"/>
    </w:rPr>
  </w:style>
  <w:style w:type="character" w:customStyle="1" w:styleId="VoetnoottekstChar">
    <w:name w:val="Voetnoottekst Char"/>
    <w:basedOn w:val="Standaardalinea-lettertype"/>
    <w:link w:val="Voetnoottekst"/>
    <w:uiPriority w:val="99"/>
    <w:rsid w:val="00421942"/>
    <w:rPr>
      <w:rFonts w:ascii="Verdana" w:hAnsi="Verdana"/>
      <w:sz w:val="13"/>
      <w:lang w:val="nl-NL" w:eastAsia="nl-NL"/>
    </w:rPr>
  </w:style>
  <w:style w:type="character" w:styleId="Voetnootmarkering">
    <w:name w:val="footnote reference"/>
    <w:basedOn w:val="Standaardalinea-lettertype"/>
    <w:uiPriority w:val="99"/>
    <w:unhideWhenUsed/>
    <w:rsid w:val="00421942"/>
    <w:rPr>
      <w:vertAlign w:val="superscript"/>
    </w:rPr>
  </w:style>
  <w:style w:type="character" w:styleId="Verwijzingopmerking">
    <w:name w:val="annotation reference"/>
    <w:basedOn w:val="Standaardalinea-lettertype"/>
    <w:uiPriority w:val="99"/>
    <w:rsid w:val="00421942"/>
    <w:rPr>
      <w:sz w:val="16"/>
      <w:szCs w:val="16"/>
    </w:rPr>
  </w:style>
  <w:style w:type="paragraph" w:styleId="Tekstopmerking">
    <w:name w:val="annotation text"/>
    <w:basedOn w:val="Standaard"/>
    <w:link w:val="TekstopmerkingChar"/>
    <w:uiPriority w:val="99"/>
    <w:rsid w:val="00421942"/>
    <w:pPr>
      <w:spacing w:line="240" w:lineRule="auto"/>
    </w:pPr>
    <w:rPr>
      <w:sz w:val="20"/>
      <w:szCs w:val="20"/>
    </w:rPr>
  </w:style>
  <w:style w:type="character" w:customStyle="1" w:styleId="TekstopmerkingChar">
    <w:name w:val="Tekst opmerking Char"/>
    <w:basedOn w:val="Standaardalinea-lettertype"/>
    <w:link w:val="Tekstopmerking"/>
    <w:uiPriority w:val="99"/>
    <w:rsid w:val="00421942"/>
    <w:rPr>
      <w:rFonts w:ascii="Verdana" w:hAnsi="Verdana"/>
      <w:lang w:val="nl-NL" w:eastAsia="nl-NL"/>
    </w:rPr>
  </w:style>
  <w:style w:type="paragraph" w:styleId="Revisie">
    <w:name w:val="Revision"/>
    <w:hidden/>
    <w:uiPriority w:val="99"/>
    <w:semiHidden/>
    <w:rsid w:val="005D7589"/>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4A71EB"/>
    <w:rPr>
      <w:b/>
      <w:bCs/>
    </w:rPr>
  </w:style>
  <w:style w:type="character" w:customStyle="1" w:styleId="OnderwerpvanopmerkingChar">
    <w:name w:val="Onderwerp van opmerking Char"/>
    <w:basedOn w:val="TekstopmerkingChar"/>
    <w:link w:val="Onderwerpvanopmerking"/>
    <w:rsid w:val="004A71EB"/>
    <w:rPr>
      <w:rFonts w:ascii="Verdana" w:hAnsi="Verdana"/>
      <w:b/>
      <w:bCs/>
      <w:lang w:val="nl-NL" w:eastAsia="nl-NL"/>
    </w:rPr>
  </w:style>
  <w:style w:type="character" w:styleId="Onopgelostemelding">
    <w:name w:val="Unresolved Mention"/>
    <w:basedOn w:val="Standaardalinea-lettertype"/>
    <w:uiPriority w:val="99"/>
    <w:semiHidden/>
    <w:unhideWhenUsed/>
    <w:rsid w:val="00F7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ultureelerfgoed.nl/actueel/nieuws/2025/01/27/grote-muntvondst-uit-romeinse-tijd-in-bunnik" TargetMode="External"/><Relationship Id="rId2" Type="http://schemas.openxmlformats.org/officeDocument/2006/relationships/hyperlink" Target="https://www.inspectie-oe.nl/actueel/nieuws/2022/11/29/illegale-archeologische-opgraving-spitfire" TargetMode="External"/><Relationship Id="rId1" Type="http://schemas.openxmlformats.org/officeDocument/2006/relationships/hyperlink" Target="https://www.inspectie-oe.nl/actueel/nieuws/2023/06/06/om-bestraft-illegale-opgraving" TargetMode="External"/><Relationship Id="rId6" Type="http://schemas.openxmlformats.org/officeDocument/2006/relationships/hyperlink" Target="https://sites.google.com/view/stichtingarcheosfryslan/double-dutch-scheepswrak-kornwerderzand" TargetMode="External"/><Relationship Id="rId5" Type="http://schemas.openxmlformats.org/officeDocument/2006/relationships/hyperlink" Target="https://www.rtvdrenthe.nl/nieuws/17296460/groot-wetenschappelijk-onderzoek-naar-slag-bij-ane-gestart-geen-lokaal-knokpartijtje" TargetMode="External"/><Relationship Id="rId4" Type="http://schemas.openxmlformats.org/officeDocument/2006/relationships/hyperlink" Target="https://www.cultureelerfgoed.nl/actueel/nieuws/2025/12/10/romeinse-muntvondst-van-buggenu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2039</ap:Words>
  <ap:Characters>12207</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2026-05-28T14:07:00.0000000Z</dcterms:created>
  <dcterms:modified xsi:type="dcterms:W3CDTF">2026-05-28T14:08:00.0000000Z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O200KER</vt:lpwstr>
  </property>
  <property fmtid="{D5CDD505-2E9C-101B-9397-08002B2CF9AE}" pid="3" name="Author">
    <vt:lpwstr>O200KER</vt:lpwstr>
  </property>
  <property fmtid="{D5CDD505-2E9C-101B-9397-08002B2CF9AE}" pid="4" name="cs_objectid">
    <vt:lpwstr>63766220</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Wat er al dan niet misgaat inzake de amateurarcheologie</vt:lpwstr>
  </property>
  <property fmtid="{D5CDD505-2E9C-101B-9397-08002B2CF9AE}" pid="8" name="ocw_directie">
    <vt:lpwstr>EENK/SB</vt:lpwstr>
  </property>
  <property fmtid="{D5CDD505-2E9C-101B-9397-08002B2CF9AE}" pid="9" name="ocw_naw_adres">
    <vt:lpwstr>Postbus </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O200KER</vt:lpwstr>
  </property>
</Properties>
</file>