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D26" w:rsidP="00533D26" w:rsidRDefault="00533D26" w14:paraId="199C4C63" w14:textId="1E22C16B">
      <w:r>
        <w:t xml:space="preserve">Geachte </w:t>
      </w:r>
      <w:r w:rsidR="00260997">
        <w:t>V</w:t>
      </w:r>
      <w:r>
        <w:t>oorzitter, </w:t>
      </w:r>
    </w:p>
    <w:p w:rsidRPr="00275129" w:rsidR="00533D26" w:rsidP="00533D26" w:rsidRDefault="00533D26" w14:paraId="1C2B322E" w14:textId="77777777"/>
    <w:p w:rsidR="00533D26" w:rsidP="00533D26" w:rsidRDefault="00533D26" w14:paraId="4030DBBD" w14:textId="61780CF8">
      <w:r>
        <w:t xml:space="preserve">Met het oog op de energietransitie neemt het belang van toepassingen in de diepe ondergrond verder toe. De diepe ondergrond wordt bijvoorbeeld benut voor aardwarmte, zoutwinning, CO₂-opslag en de opslag van energiedragers. Deze toepassingen kunnen bijdragen aan het verduurzamen van de industrie, de gebouwde omgeving en het energiesysteem. De verschillende functies kunnen elkaar beïnvloeden of uitsluiten. Daarnaast vragen deze ontwikkelingen ook bovengronds om ruimte, bijvoorbeeld voor installaties, leidingen en aansluitingen op energie-infrastructuur. Dit kan gevolgen hebben voor andere ruimtelijke functies. </w:t>
      </w:r>
      <w:r w:rsidRPr="35947418">
        <w:rPr>
          <w:rFonts w:eastAsia="Verdana" w:cs="Verdana"/>
        </w:rPr>
        <w:t>Tegen deze achtergrond informeer ik u</w:t>
      </w:r>
      <w:r w:rsidR="002217A9">
        <w:rPr>
          <w:rFonts w:eastAsia="Verdana" w:cs="Verdana"/>
        </w:rPr>
        <w:t>, mede namens de Staatssecretaris van Klimaat en Groene Groei,</w:t>
      </w:r>
      <w:r w:rsidRPr="35947418">
        <w:rPr>
          <w:rFonts w:eastAsia="Verdana" w:cs="Verdana"/>
        </w:rPr>
        <w:t xml:space="preserve"> over de voortgang op een aantal mijnbouwdossiers. </w:t>
      </w:r>
      <w:r>
        <w:t xml:space="preserve">Daarbij ga ik in op verschillende toezeggingen aan en verzoeken van de Kamer. Bij al deze </w:t>
      </w:r>
      <w:r w:rsidRPr="35947418">
        <w:rPr>
          <w:rFonts w:eastAsia="Verdana" w:cs="Verdana"/>
        </w:rPr>
        <w:t xml:space="preserve">dossiers </w:t>
      </w:r>
      <w:r>
        <w:t>staat</w:t>
      </w:r>
      <w:r w:rsidRPr="35947418">
        <w:rPr>
          <w:rFonts w:eastAsia="Verdana" w:cs="Verdana"/>
        </w:rPr>
        <w:t xml:space="preserve"> de samenwerking tussen overheden, kennisontwikkeling en een zorgvuldige omgang met risico’s centraal. </w:t>
      </w:r>
    </w:p>
    <w:p w:rsidR="00533D26" w:rsidP="00533D26" w:rsidRDefault="00533D26" w14:paraId="2D6AB103" w14:textId="77777777">
      <w:r w:rsidRPr="00A510A3">
        <w:t xml:space="preserve"> </w:t>
      </w:r>
    </w:p>
    <w:p w:rsidRPr="004B7F28" w:rsidR="00533D26" w:rsidP="00533D26" w:rsidRDefault="00533D26" w14:paraId="71158146" w14:textId="77777777">
      <w:pPr>
        <w:rPr>
          <w:i/>
          <w:iCs/>
        </w:rPr>
      </w:pPr>
      <w:r>
        <w:rPr>
          <w:i/>
          <w:iCs/>
        </w:rPr>
        <w:t>P</w:t>
      </w:r>
      <w:r w:rsidRPr="004B7F28">
        <w:rPr>
          <w:i/>
          <w:iCs/>
        </w:rPr>
        <w:t>rogramma Duurzaam Gebruik Diepe Ondergrond</w:t>
      </w:r>
    </w:p>
    <w:p w:rsidR="00533D26" w:rsidP="00533D26" w:rsidRDefault="00533D26" w14:paraId="588308C9" w14:textId="6B909982">
      <w:r>
        <w:t>De Kamer is afgelopen januari door mijn voorganger geïnformeerd over de planning en voortgang van het programma Duurzaam Gebruik Diepe Ondergrond (DGDO).</w:t>
      </w:r>
      <w:r w:rsidRPr="4A6BEE4D">
        <w:rPr>
          <w:rStyle w:val="Voetnootmarkering"/>
        </w:rPr>
        <w:footnoteReference w:id="1"/>
      </w:r>
      <w:r>
        <w:t xml:space="preserve"> Dit programma leidt tot</w:t>
      </w:r>
      <w:r w:rsidRPr="00DD13BC">
        <w:t xml:space="preserve"> een integraal kader voor het gebruik van de diepe ondergrond</w:t>
      </w:r>
      <w:r>
        <w:t xml:space="preserve"> in</w:t>
      </w:r>
      <w:r w:rsidRPr="00DD13BC">
        <w:t xml:space="preserve"> samenhang met andere ruimtelijke en maatschappelijke opgaven in Nederland</w:t>
      </w:r>
      <w:r w:rsidR="00F741FF">
        <w:rPr>
          <w:rStyle w:val="Voetnootmarkering"/>
        </w:rPr>
        <w:footnoteReference w:id="2"/>
      </w:r>
      <w:r w:rsidRPr="00DD13BC">
        <w:t xml:space="preserve">. </w:t>
      </w:r>
      <w:r>
        <w:t xml:space="preserve">Dit doen we nadrukkelijk samen met de omgeving en belanghebbenden. Sinds januari zijn er belangrijke stappen gezet. Zo startte in april de terinzagelegging van de </w:t>
      </w:r>
      <w:proofErr w:type="spellStart"/>
      <w:r>
        <w:t>concept-Notitie</w:t>
      </w:r>
      <w:proofErr w:type="spellEnd"/>
      <w:r>
        <w:t xml:space="preserve"> Reikwijdte en Detailniveau (</w:t>
      </w:r>
      <w:proofErr w:type="spellStart"/>
      <w:r>
        <w:t>cNRD</w:t>
      </w:r>
      <w:proofErr w:type="spellEnd"/>
      <w:r>
        <w:t xml:space="preserve">) voor de plan-MER. </w:t>
      </w:r>
      <w:r w:rsidRPr="009652DE">
        <w:t>Deze notitie bakent het onderzoek af naar de milieueffecten van het toekomstige gebruik van de diepe ondergrond voor de energietransitie</w:t>
      </w:r>
      <w:r>
        <w:t>.</w:t>
      </w:r>
      <w:r w:rsidRPr="009652DE">
        <w:t xml:space="preserve"> </w:t>
      </w:r>
      <w:r>
        <w:t>De opbrengsten van de ter inzage legging worden op dit moment verwerkt.</w:t>
      </w:r>
      <w:r w:rsidR="00543818">
        <w:t xml:space="preserve"> </w:t>
      </w:r>
      <w:r w:rsidRPr="00543818" w:rsidR="00543818">
        <w:t>Komende weken vinden daarnaast themasessies met belanghebbenden plaats over de activiteiten gaswinning, zoutwinning, aardwarmte en waterstofopslag</w:t>
      </w:r>
      <w:r>
        <w:t>. De</w:t>
      </w:r>
      <w:r w:rsidR="00535BB8">
        <w:t xml:space="preserve"> themasessies</w:t>
      </w:r>
      <w:r>
        <w:t xml:space="preserve"> zijn een vervolg op de regiosessies met </w:t>
      </w:r>
      <w:r>
        <w:lastRenderedPageBreak/>
        <w:t>decentrale overheden</w:t>
      </w:r>
      <w:r w:rsidR="00535BB8">
        <w:t>,</w:t>
      </w:r>
      <w:r>
        <w:t xml:space="preserve"> de participatieve waarde evaluatie waaraan burgers hebben deelgenomen en </w:t>
      </w:r>
      <w:r w:rsidR="00535BB8">
        <w:t xml:space="preserve">maken </w:t>
      </w:r>
      <w:r>
        <w:t>onderdeel</w:t>
      </w:r>
      <w:r w:rsidR="00535BB8">
        <w:t xml:space="preserve"> uit</w:t>
      </w:r>
      <w:r>
        <w:t xml:space="preserve"> van de maatschappelijke dialoog. </w:t>
      </w:r>
    </w:p>
    <w:p w:rsidR="00533D26" w:rsidP="00533D26" w:rsidRDefault="00533D26" w14:paraId="35F4FA69" w14:textId="77777777"/>
    <w:p w:rsidR="00533D26" w:rsidP="00533D26" w:rsidRDefault="00533D26" w14:paraId="12375D7F" w14:textId="102A76DC">
      <w:pPr>
        <w:rPr>
          <w:rFonts w:eastAsia="Verdana" w:cs="Verdana"/>
        </w:rPr>
      </w:pPr>
      <w:r w:rsidRPr="473ADDAC">
        <w:rPr>
          <w:rFonts w:eastAsia="Verdana" w:cs="Verdana"/>
        </w:rPr>
        <w:t xml:space="preserve">Parralel aan het programma DGDO werkt het Ministerie van Infrastructuur en Waterstaat (IenW) aan het programma Bodem, Ondergrond en Grondwater (BOG), </w:t>
      </w:r>
      <w:r w:rsidR="00E35A76">
        <w:rPr>
          <w:rFonts w:eastAsia="Verdana" w:cs="Verdana"/>
        </w:rPr>
        <w:t>d</w:t>
      </w:r>
      <w:r w:rsidRPr="473ADDAC">
        <w:rPr>
          <w:rFonts w:eastAsia="Verdana" w:cs="Verdana"/>
        </w:rPr>
        <w:t>at gaat over de ondiepe ondergrond. Er wordt voor beide programma’s gewerkt aan een gezamenlijk hoofdstuk, waarin de huidige gezamenlijke structuurvisie ondergrond (STRONG) verankerd wordt. Onder gezamenlijk opdrachtgeverschap vinden studies plaats naar de ruimtelijke consequenties en risico’s van het gebruik van de diepe ondergrond voor geothermie (aardwarmtewinning) en aanwijzing van Nationale Grondwaterreserves (</w:t>
      </w:r>
      <w:proofErr w:type="spellStart"/>
      <w:r w:rsidRPr="473ADDAC">
        <w:rPr>
          <w:rFonts w:eastAsia="Verdana" w:cs="Verdana"/>
        </w:rPr>
        <w:t>NGRs</w:t>
      </w:r>
      <w:proofErr w:type="spellEnd"/>
      <w:r w:rsidRPr="473ADDAC">
        <w:rPr>
          <w:rFonts w:eastAsia="Verdana" w:cs="Verdana"/>
        </w:rPr>
        <w:t>).</w:t>
      </w:r>
    </w:p>
    <w:p w:rsidR="00533D26" w:rsidP="00533D26" w:rsidRDefault="00533D26" w14:paraId="710A9252" w14:textId="77777777"/>
    <w:p w:rsidR="00533D26" w:rsidP="00533D26" w:rsidRDefault="00533D26" w14:paraId="3D9C550A" w14:textId="77777777">
      <w:pPr>
        <w:rPr>
          <w:i/>
          <w:iCs/>
        </w:rPr>
      </w:pPr>
      <w:r>
        <w:rPr>
          <w:i/>
          <w:iCs/>
        </w:rPr>
        <w:t>Traject stimulering aardwarmte</w:t>
      </w:r>
    </w:p>
    <w:p w:rsidR="00533D26" w:rsidP="00533D26" w:rsidRDefault="00533D26" w14:paraId="47F3AFA5" w14:textId="481E86ED">
      <w:r>
        <w:t xml:space="preserve">Eerder </w:t>
      </w:r>
      <w:r w:rsidR="00D51A0D">
        <w:t xml:space="preserve">is de </w:t>
      </w:r>
      <w:r w:rsidR="00E35A76">
        <w:t>K</w:t>
      </w:r>
      <w:r w:rsidR="00D51A0D">
        <w:t>amer</w:t>
      </w:r>
      <w:r>
        <w:t xml:space="preserve"> geïnformeerd over het kabinetsbeleid rond de stimulering van aardwarmte in Nederland en de uitdagingen die zich daarbij voordoen</w:t>
      </w:r>
      <w:r>
        <w:rPr>
          <w:rStyle w:val="Voetnootmarkering"/>
        </w:rPr>
        <w:footnoteReference w:id="3"/>
      </w:r>
      <w:r>
        <w:t>. Er is aangekondigd dat het Rijk een meer regisserende rol op zich neemt via de inzet van een Rijksregisseur</w:t>
      </w:r>
      <w:r>
        <w:rPr>
          <w:rStyle w:val="Voetnootmarkering"/>
        </w:rPr>
        <w:footnoteReference w:id="4"/>
      </w:r>
      <w:r>
        <w:t xml:space="preserve">. </w:t>
      </w:r>
    </w:p>
    <w:p w:rsidR="00533D26" w:rsidP="00533D26" w:rsidRDefault="00533D26" w14:paraId="6AA61C4A" w14:textId="77777777"/>
    <w:p w:rsidR="00533D26" w:rsidP="00533D26" w:rsidRDefault="00533D26" w14:paraId="01982A70" w14:textId="255E0172">
      <w:r>
        <w:t>Conform eerdere toezegging zijn de belangrijkste thema’s die de verdere opschaling van aardwarmte doen stagneren inmiddels in beeld gebracht. Het gaat daarbij onder meer om het ontbreken van voldoende aansluitende financiële instrumenten</w:t>
      </w:r>
      <w:r w:rsidR="00535BB8">
        <w:t xml:space="preserve"> en</w:t>
      </w:r>
      <w:r>
        <w:t xml:space="preserve"> </w:t>
      </w:r>
      <w:r w:rsidR="00535BB8">
        <w:t xml:space="preserve">infrastructuur, </w:t>
      </w:r>
      <w:r>
        <w:t xml:space="preserve">geologische onzekerheid en doorlooptijden in de vergunningverlening. Op basis van deze thema’s wordt momenteel met betrokken stakeholders nader het gesprek gevoerd om te komen tot een gedeeld beeld over mogelijke oplossingsrichtingen die zorgen voor versnelling van de uitrol van aardwarmte. De motie van lid </w:t>
      </w:r>
      <w:proofErr w:type="spellStart"/>
      <w:r>
        <w:t>Flach</w:t>
      </w:r>
      <w:proofErr w:type="spellEnd"/>
      <w:r>
        <w:rPr>
          <w:rStyle w:val="Verwijzingopmerking"/>
          <w:sz w:val="18"/>
          <w:szCs w:val="24"/>
        </w:rPr>
        <w:t xml:space="preserve"> </w:t>
      </w:r>
      <w:r>
        <w:t>over het verbeteren van het investeringsklimaat voor aardwarmteprojecten krijgt hierin een plek</w:t>
      </w:r>
      <w:r>
        <w:rPr>
          <w:rStyle w:val="Voetnootmarkering"/>
        </w:rPr>
        <w:footnoteReference w:id="5"/>
      </w:r>
      <w:r>
        <w:t xml:space="preserve">. </w:t>
      </w:r>
    </w:p>
    <w:p w:rsidR="00533D26" w:rsidP="00533D26" w:rsidRDefault="00533D26" w14:paraId="45A0BF36" w14:textId="77777777"/>
    <w:p w:rsidR="00533D26" w:rsidP="00533D26" w:rsidRDefault="00533D26" w14:paraId="42D4611F" w14:textId="77777777">
      <w:r>
        <w:t xml:space="preserve">Het traject resulteert in een uitvoeringsagenda met daarin concrete maatregelen en acties voor de korte- en middellange termijn. Hierbij staat zorgvuldige afstemming met de sectorpartijen, medeoverheden, kennisinstellingen en toezichthouder centraal. De oplevering van de uitvoeringsagenda is voorzien eind 2026. </w:t>
      </w:r>
    </w:p>
    <w:p w:rsidR="00533D26" w:rsidP="00533D26" w:rsidRDefault="00533D26" w14:paraId="689EB3C8" w14:textId="77777777">
      <w:pPr>
        <w:rPr>
          <w:rFonts w:eastAsia="Verdana" w:cs="Verdana"/>
        </w:rPr>
      </w:pPr>
    </w:p>
    <w:p w:rsidR="00533D26" w:rsidP="00533D26" w:rsidRDefault="00533D26" w14:paraId="2B63F179" w14:textId="226A3793">
      <w:pPr>
        <w:rPr>
          <w:i/>
          <w:iCs/>
        </w:rPr>
      </w:pPr>
      <w:r w:rsidRPr="473ADDAC">
        <w:rPr>
          <w:i/>
          <w:iCs/>
        </w:rPr>
        <w:t xml:space="preserve">Kennisontwikkeling bij </w:t>
      </w:r>
      <w:proofErr w:type="spellStart"/>
      <w:r w:rsidRPr="002D3504" w:rsidR="002D3504">
        <w:rPr>
          <w:i/>
          <w:iCs/>
        </w:rPr>
        <w:t>Deep</w:t>
      </w:r>
      <w:proofErr w:type="spellEnd"/>
      <w:r w:rsidRPr="002D3504" w:rsidR="002D3504">
        <w:rPr>
          <w:i/>
          <w:iCs/>
        </w:rPr>
        <w:t xml:space="preserve"> </w:t>
      </w:r>
      <w:proofErr w:type="spellStart"/>
      <w:r w:rsidRPr="002D3504" w:rsidR="002D3504">
        <w:rPr>
          <w:i/>
          <w:iCs/>
        </w:rPr>
        <w:t>Geothermal</w:t>
      </w:r>
      <w:proofErr w:type="spellEnd"/>
      <w:r w:rsidRPr="002D3504" w:rsidR="002D3504">
        <w:rPr>
          <w:i/>
          <w:iCs/>
        </w:rPr>
        <w:t xml:space="preserve"> </w:t>
      </w:r>
      <w:proofErr w:type="spellStart"/>
      <w:r w:rsidRPr="002D3504" w:rsidR="002D3504">
        <w:rPr>
          <w:i/>
          <w:iCs/>
        </w:rPr>
        <w:t>Observatory</w:t>
      </w:r>
      <w:proofErr w:type="spellEnd"/>
      <w:r w:rsidRPr="002D3504" w:rsidR="002D3504">
        <w:rPr>
          <w:i/>
          <w:iCs/>
        </w:rPr>
        <w:t xml:space="preserve"> Limburg</w:t>
      </w:r>
    </w:p>
    <w:p w:rsidR="00533D26" w:rsidP="00533D26" w:rsidRDefault="00533D26" w14:paraId="3433856D" w14:textId="77777777">
      <w:r>
        <w:t>Verdere opschaling van aardwarmte vraagt niet alleen om passende financiële en bestuurlijke randvoorwaarden, maar ook om versterking van de kennisbasis over de diepe ondergrond en de mogelijke effecten van winningstechnieken.</w:t>
      </w:r>
    </w:p>
    <w:p w:rsidRPr="00275129" w:rsidR="00533D26" w:rsidP="00533D26" w:rsidRDefault="00533D26" w14:paraId="3792719A" w14:textId="77777777"/>
    <w:p w:rsidRPr="00275129" w:rsidR="00533D26" w:rsidP="00533D26" w:rsidRDefault="00533D26" w14:paraId="081CF3F8" w14:textId="1B2B3F17">
      <w:pPr>
        <w:rPr>
          <w:rFonts w:eastAsia="Verdana" w:cs="Verdana"/>
        </w:rPr>
      </w:pPr>
      <w:r w:rsidRPr="473ADDAC">
        <w:rPr>
          <w:rFonts w:eastAsia="Verdana" w:cs="Verdana"/>
          <w:szCs w:val="18"/>
        </w:rPr>
        <w:t xml:space="preserve">In dat kader wordt ook ingezet op verdere kennisontwikkeling over de diepe ondergrond. </w:t>
      </w:r>
      <w:r>
        <w:t xml:space="preserve">Eén van de provincies waar geothermie mogelijk een rol kan spelen is de provincie Limburg. </w:t>
      </w:r>
      <w:r w:rsidRPr="473ADDAC">
        <w:rPr>
          <w:rFonts w:eastAsia="Verdana" w:cs="Verdana"/>
        </w:rPr>
        <w:t>In 202</w:t>
      </w:r>
      <w:r w:rsidR="006B36A4">
        <w:rPr>
          <w:rFonts w:eastAsia="Verdana" w:cs="Verdana"/>
        </w:rPr>
        <w:t>2</w:t>
      </w:r>
      <w:r w:rsidRPr="473ADDAC">
        <w:rPr>
          <w:rFonts w:eastAsia="Verdana" w:cs="Verdana"/>
        </w:rPr>
        <w:t xml:space="preserve"> is een proefboring in Noord-Limburg toegezegd om te onderzoeken wat de mogelijkheden voor geothermie zijn</w:t>
      </w:r>
      <w:r w:rsidR="002D3504">
        <w:rPr>
          <w:rFonts w:eastAsia="Verdana" w:cs="Verdana"/>
        </w:rPr>
        <w:t xml:space="preserve"> in de provincie</w:t>
      </w:r>
      <w:r w:rsidR="006B36A4">
        <w:rPr>
          <w:rStyle w:val="Voetnootmarkering"/>
          <w:rFonts w:eastAsia="Verdana" w:cs="Verdana"/>
        </w:rPr>
        <w:footnoteReference w:id="6"/>
      </w:r>
      <w:r w:rsidRPr="473ADDAC">
        <w:rPr>
          <w:rFonts w:eastAsia="Verdana" w:cs="Verdana"/>
        </w:rPr>
        <w:t>. Destijds werd géén geschikte locatie gevonden, onder meer door beperkingen in</w:t>
      </w:r>
      <w:r>
        <w:rPr>
          <w:rFonts w:eastAsia="Verdana" w:cs="Verdana"/>
        </w:rPr>
        <w:t xml:space="preserve"> </w:t>
      </w:r>
      <w:r w:rsidRPr="473ADDAC">
        <w:rPr>
          <w:rFonts w:eastAsia="Verdana" w:cs="Verdana"/>
        </w:rPr>
        <w:lastRenderedPageBreak/>
        <w:t xml:space="preserve">het stikstofbeleid, onvoldoende afstand tot Natura-2000 gebied in Noord-Brabant en </w:t>
      </w:r>
      <w:r>
        <w:rPr>
          <w:rFonts w:eastAsia="Verdana" w:cs="Verdana"/>
        </w:rPr>
        <w:t xml:space="preserve">de </w:t>
      </w:r>
      <w:r w:rsidRPr="473ADDAC">
        <w:rPr>
          <w:rFonts w:eastAsia="Verdana" w:cs="Verdana"/>
        </w:rPr>
        <w:t xml:space="preserve">geologische eigenschappen in Midden- en Zuid-Limburg. </w:t>
      </w:r>
    </w:p>
    <w:p w:rsidRPr="00275129" w:rsidR="00533D26" w:rsidP="00533D26" w:rsidRDefault="00533D26" w14:paraId="59C82E75" w14:textId="77777777">
      <w:pPr>
        <w:rPr>
          <w:rFonts w:eastAsia="Verdana" w:cs="Verdana"/>
        </w:rPr>
      </w:pPr>
    </w:p>
    <w:p w:rsidRPr="00275129" w:rsidR="00533D26" w:rsidP="00533D26" w:rsidRDefault="00533D26" w14:paraId="6FAB35A3" w14:textId="621EA55D">
      <w:pPr>
        <w:rPr>
          <w:rFonts w:eastAsia="Verdana" w:cs="Verdana"/>
        </w:rPr>
      </w:pPr>
      <w:r w:rsidRPr="35947418">
        <w:rPr>
          <w:rFonts w:eastAsia="Verdana" w:cs="Verdana"/>
        </w:rPr>
        <w:t xml:space="preserve">In een nadere verkenning met medeoverheden is nu alsnog een locatie in beeld gekomen voor mogelijk vervolgonderzoek. Het voornemen is om in Grubbenvorst (gemeente Horst aan de Maas) een onderzoeksfaciliteit in te richten, het zogenoemde </w:t>
      </w:r>
      <w:proofErr w:type="spellStart"/>
      <w:r w:rsidRPr="35947418">
        <w:rPr>
          <w:rFonts w:eastAsia="Verdana" w:cs="Verdana"/>
        </w:rPr>
        <w:t>Deep</w:t>
      </w:r>
      <w:proofErr w:type="spellEnd"/>
      <w:r w:rsidRPr="35947418">
        <w:rPr>
          <w:rFonts w:eastAsia="Verdana" w:cs="Verdana"/>
        </w:rPr>
        <w:t xml:space="preserve"> </w:t>
      </w:r>
      <w:proofErr w:type="spellStart"/>
      <w:r w:rsidRPr="35947418">
        <w:rPr>
          <w:rFonts w:eastAsia="Verdana" w:cs="Verdana"/>
        </w:rPr>
        <w:t>Geothermal</w:t>
      </w:r>
      <w:proofErr w:type="spellEnd"/>
      <w:r w:rsidRPr="35947418">
        <w:rPr>
          <w:rFonts w:eastAsia="Verdana" w:cs="Verdana"/>
        </w:rPr>
        <w:t xml:space="preserve"> </w:t>
      </w:r>
      <w:proofErr w:type="spellStart"/>
      <w:r w:rsidRPr="35947418">
        <w:rPr>
          <w:rFonts w:eastAsia="Verdana" w:cs="Verdana"/>
        </w:rPr>
        <w:t>Observatory</w:t>
      </w:r>
      <w:proofErr w:type="spellEnd"/>
      <w:r w:rsidRPr="35947418">
        <w:rPr>
          <w:rFonts w:eastAsia="Verdana" w:cs="Verdana"/>
        </w:rPr>
        <w:t xml:space="preserve"> Limburg</w:t>
      </w:r>
      <w:r w:rsidR="002D3504">
        <w:rPr>
          <w:rFonts w:eastAsia="Verdana" w:cs="Verdana"/>
        </w:rPr>
        <w:t xml:space="preserve"> (DGOL)</w:t>
      </w:r>
      <w:r w:rsidRPr="35947418">
        <w:rPr>
          <w:rFonts w:eastAsia="Verdana" w:cs="Verdana"/>
        </w:rPr>
        <w:t xml:space="preserve">. De locatie daar biedt de mogelijkheid om op een toegankelijke diepte onderzoek te doen, zonder dat eerdere beperkingen zich voordoen. Op deze locatie zijn omstandigheden die zich normaal gesproken veel dieper in de ondergrond voordoen. Hierdoor kan de relatie tussen de winning van aardwarmte en mogelijke bodemtrilling in </w:t>
      </w:r>
      <w:proofErr w:type="spellStart"/>
      <w:r w:rsidRPr="35947418">
        <w:rPr>
          <w:rFonts w:eastAsia="Verdana" w:cs="Verdana"/>
        </w:rPr>
        <w:t>verbreukte</w:t>
      </w:r>
      <w:proofErr w:type="spellEnd"/>
      <w:r w:rsidRPr="35947418">
        <w:rPr>
          <w:rFonts w:eastAsia="Verdana" w:cs="Verdana"/>
        </w:rPr>
        <w:t xml:space="preserve"> gesteenten onderzocht worden. Meer kennis over deze </w:t>
      </w:r>
      <w:proofErr w:type="spellStart"/>
      <w:r w:rsidRPr="35947418">
        <w:rPr>
          <w:rFonts w:eastAsia="Verdana" w:cs="Verdana"/>
        </w:rPr>
        <w:t>verbreukte</w:t>
      </w:r>
      <w:proofErr w:type="spellEnd"/>
      <w:r w:rsidRPr="35947418">
        <w:rPr>
          <w:rFonts w:eastAsia="Verdana" w:cs="Verdana"/>
        </w:rPr>
        <w:t xml:space="preserve"> gesteenten is van belang voor het winnen van aardwarmte uit diepe gesteentelagen in de ondergrond, zogenoemde ultradiepe geothermie. Bij deze vorm van geothermie worden hogere temperaturen benut die op grotere diepte in de ondergrond voorkomen.</w:t>
      </w:r>
    </w:p>
    <w:p w:rsidRPr="00275129" w:rsidR="00533D26" w:rsidP="00533D26" w:rsidRDefault="00533D26" w14:paraId="1635A714" w14:textId="77777777">
      <w:pPr>
        <w:rPr>
          <w:rFonts w:eastAsia="Verdana" w:cs="Verdana"/>
        </w:rPr>
      </w:pPr>
    </w:p>
    <w:p w:rsidR="00533D26" w:rsidP="00533D26" w:rsidRDefault="00533D26" w14:paraId="23575D4B" w14:textId="77777777">
      <w:pPr>
        <w:rPr>
          <w:rFonts w:eastAsia="Verdana" w:cs="Verdana"/>
        </w:rPr>
      </w:pPr>
      <w:r w:rsidRPr="35947418">
        <w:rPr>
          <w:rFonts w:eastAsia="Verdana" w:cs="Verdana"/>
        </w:rPr>
        <w:t>Op dit moment werken het Ministerie van EZK, Provincie Limburg, TNO</w:t>
      </w:r>
      <w:r>
        <w:rPr>
          <w:rFonts w:eastAsia="Verdana" w:cs="Verdana"/>
        </w:rPr>
        <w:t xml:space="preserve"> en</w:t>
      </w:r>
      <w:r w:rsidRPr="35947418">
        <w:rPr>
          <w:rFonts w:eastAsia="Verdana" w:cs="Verdana"/>
        </w:rPr>
        <w:t xml:space="preserve"> EBN </w:t>
      </w:r>
      <w:r>
        <w:rPr>
          <w:rFonts w:eastAsia="Verdana" w:cs="Verdana"/>
        </w:rPr>
        <w:t xml:space="preserve">in afstemming met </w:t>
      </w:r>
      <w:proofErr w:type="spellStart"/>
      <w:r w:rsidRPr="35947418">
        <w:rPr>
          <w:rFonts w:eastAsia="Verdana" w:cs="Verdana"/>
        </w:rPr>
        <w:t>SodM</w:t>
      </w:r>
      <w:proofErr w:type="spellEnd"/>
      <w:r w:rsidRPr="35947418">
        <w:rPr>
          <w:rFonts w:eastAsia="Verdana" w:cs="Verdana"/>
        </w:rPr>
        <w:t xml:space="preserve"> gezamenlijk aan een onderzoeksprogramma. Onderdeel hiervan is een haalbaarheidsstudie die eind dit jaar duidelijkheid moet geven in hoeverre de locatie inderdaad bruikbaar is voor onderzoek. Daarbij wensen de partijen een intentieverklaring met elkaar te sluiten. Deze intentieverklaring wordt naar verwachting </w:t>
      </w:r>
      <w:r>
        <w:rPr>
          <w:rFonts w:eastAsia="Verdana" w:cs="Verdana"/>
        </w:rPr>
        <w:t>op 1</w:t>
      </w:r>
      <w:r w:rsidRPr="35947418">
        <w:rPr>
          <w:rFonts w:eastAsia="Verdana" w:cs="Verdana"/>
        </w:rPr>
        <w:t xml:space="preserve"> juni</w:t>
      </w:r>
      <w:r>
        <w:rPr>
          <w:rFonts w:eastAsia="Verdana" w:cs="Verdana"/>
        </w:rPr>
        <w:t xml:space="preserve"> 2026</w:t>
      </w:r>
      <w:r w:rsidRPr="35947418">
        <w:rPr>
          <w:rFonts w:eastAsia="Verdana" w:cs="Verdana"/>
        </w:rPr>
        <w:t xml:space="preserve"> ondertekend.</w:t>
      </w:r>
    </w:p>
    <w:p w:rsidR="00533D26" w:rsidP="00533D26" w:rsidRDefault="00533D26" w14:paraId="69A2D478" w14:textId="77777777">
      <w:pPr>
        <w:rPr>
          <w:rFonts w:eastAsia="Verdana" w:cs="Verdana"/>
        </w:rPr>
      </w:pPr>
    </w:p>
    <w:p w:rsidR="00533D26" w:rsidP="00533D26" w:rsidRDefault="00533D26" w14:paraId="26BDF1B6" w14:textId="17A24764">
      <w:pPr>
        <w:rPr>
          <w:rFonts w:eastAsia="Verdana" w:cs="Verdana"/>
        </w:rPr>
      </w:pPr>
      <w:r w:rsidRPr="1DB232C4">
        <w:rPr>
          <w:rFonts w:eastAsia="Verdana" w:cs="Verdana"/>
          <w:i/>
          <w:iCs/>
        </w:rPr>
        <w:t>Adviesrecht regio aangaande de afhandeling mijnbouwschade in Limburg</w:t>
      </w:r>
    </w:p>
    <w:p w:rsidR="00945238" w:rsidP="00533D26" w:rsidRDefault="00533D26" w14:paraId="180EC702" w14:textId="77777777">
      <w:pPr>
        <w:rPr>
          <w:rFonts w:eastAsia="Verdana" w:cs="Verdana"/>
        </w:rPr>
      </w:pPr>
      <w:r w:rsidRPr="35947418">
        <w:rPr>
          <w:rFonts w:eastAsia="Verdana" w:cs="Verdana"/>
        </w:rPr>
        <w:t>Een ander onderwerp waar</w:t>
      </w:r>
      <w:r>
        <w:rPr>
          <w:rFonts w:eastAsia="Verdana" w:cs="Verdana"/>
        </w:rPr>
        <w:t>bij</w:t>
      </w:r>
      <w:r w:rsidRPr="35947418">
        <w:rPr>
          <w:rFonts w:eastAsia="Verdana" w:cs="Verdana"/>
        </w:rPr>
        <w:t xml:space="preserve"> het Kabinet in de afgelopen jaren intensief heeft samengewerkt met bestuurders van de provincie Limburg en gemeenten Heerlen is de afhandeling van mijnbouwschade</w:t>
      </w:r>
      <w:r w:rsidR="00945238">
        <w:rPr>
          <w:rFonts w:eastAsia="Verdana" w:cs="Verdana"/>
        </w:rPr>
        <w:t>,</w:t>
      </w:r>
      <w:r w:rsidRPr="35947418" w:rsidR="00945238">
        <w:rPr>
          <w:rFonts w:eastAsia="Verdana" w:cs="Verdana"/>
        </w:rPr>
        <w:t xml:space="preserve"> </w:t>
      </w:r>
      <w:r w:rsidR="00945238">
        <w:rPr>
          <w:rFonts w:eastAsia="Verdana" w:cs="Verdana"/>
        </w:rPr>
        <w:t>gerelateerd aan de voormalige steenkoolwinning,</w:t>
      </w:r>
      <w:r w:rsidRPr="35947418">
        <w:rPr>
          <w:rFonts w:eastAsia="Verdana" w:cs="Verdana"/>
        </w:rPr>
        <w:t xml:space="preserve"> in Zuid-Limburg. De schadeafhandeling</w:t>
      </w:r>
      <w:r w:rsidR="00945238">
        <w:rPr>
          <w:rFonts w:eastAsia="Verdana" w:cs="Verdana"/>
        </w:rPr>
        <w:t xml:space="preserve"> </w:t>
      </w:r>
      <w:r w:rsidRPr="35947418">
        <w:rPr>
          <w:rFonts w:eastAsia="Verdana" w:cs="Verdana"/>
        </w:rPr>
        <w:t xml:space="preserve">is eind december 2025 gestart en het fysieke loket van het Instituut voor Milieu, Mens, en Mijnbouw Limburg is op 2 januari 2026 geopend. Rijk en regio vinden het belangrijk om deze samenwerking voort te zetten omdat dit de bewoners en de schadeafhandeling ten goede komt. </w:t>
      </w:r>
    </w:p>
    <w:p w:rsidR="00945238" w:rsidP="00533D26" w:rsidRDefault="00945238" w14:paraId="08D94756" w14:textId="77777777">
      <w:pPr>
        <w:rPr>
          <w:rFonts w:eastAsia="Verdana" w:cs="Verdana"/>
        </w:rPr>
      </w:pPr>
    </w:p>
    <w:p w:rsidR="00533D26" w:rsidP="00533D26" w:rsidRDefault="00533D26" w14:paraId="5FEE9F18" w14:textId="1DA2212B">
      <w:r w:rsidRPr="35947418">
        <w:rPr>
          <w:rFonts w:eastAsia="Verdana" w:cs="Verdana"/>
        </w:rPr>
        <w:t xml:space="preserve">Rijk en regio hebben </w:t>
      </w:r>
      <w:r w:rsidR="00945238">
        <w:rPr>
          <w:rFonts w:eastAsia="Verdana" w:cs="Verdana"/>
        </w:rPr>
        <w:t xml:space="preserve">onder meer </w:t>
      </w:r>
      <w:r w:rsidRPr="35947418">
        <w:rPr>
          <w:rFonts w:eastAsia="Verdana" w:cs="Verdana"/>
        </w:rPr>
        <w:t>afgesproken dat er maandelijks een bestuurlijk overleg zal plaatsvinden waar alle facetten van de schadeafhandeling kunnen worden besproken. De gedeputeerde van de provincie Limburg zit dit bestuurlijk overleg voor. Er is afgesproken dat de adviezen van de regio aangaande de schadeafhandeling een vast onderdeel zijn van het bestuurlijke overleg. Op die manier wordt geborgd dat de uitvoering van de schadeafhandeling regionaal verbonden blijft</w:t>
      </w:r>
      <w:r w:rsidR="002D3504">
        <w:rPr>
          <w:rFonts w:eastAsia="Verdana" w:cs="Verdana"/>
        </w:rPr>
        <w:t>,</w:t>
      </w:r>
      <w:r w:rsidRPr="35947418">
        <w:rPr>
          <w:rFonts w:eastAsia="Verdana" w:cs="Verdana"/>
        </w:rPr>
        <w:t xml:space="preserve"> en wordt invulling gegeven aan het adviesrecht van de regio. Hiermee heeft het kabinet invulling gegeven aan de vraag van lid Vermeer (BBB) tijdens het commissie debat over Mijnbouw op 3 april 2025 over het adviesrecht van de regio</w:t>
      </w:r>
      <w:r>
        <w:rPr>
          <w:rStyle w:val="Voetnootmarkering"/>
          <w:rFonts w:eastAsia="Verdana" w:cs="Verdana"/>
        </w:rPr>
        <w:footnoteReference w:id="7"/>
      </w:r>
      <w:r w:rsidRPr="35947418">
        <w:rPr>
          <w:rFonts w:eastAsia="Verdana" w:cs="Verdana"/>
        </w:rPr>
        <w:t>.</w:t>
      </w:r>
    </w:p>
    <w:p w:rsidR="00533D26" w:rsidP="00533D26" w:rsidRDefault="00533D26" w14:paraId="605A3C99" w14:textId="77777777">
      <w:pPr>
        <w:rPr>
          <w:rFonts w:eastAsia="Verdana" w:cs="Verdana"/>
        </w:rPr>
      </w:pPr>
    </w:p>
    <w:p w:rsidR="00533D26" w:rsidP="00533D26" w:rsidRDefault="00533D26" w14:paraId="1DAAEBD0" w14:textId="49CD7E92">
      <w:pPr>
        <w:rPr>
          <w:i/>
          <w:iCs/>
        </w:rPr>
      </w:pPr>
      <w:r>
        <w:rPr>
          <w:i/>
          <w:iCs/>
        </w:rPr>
        <w:t xml:space="preserve">Vervolg </w:t>
      </w:r>
      <w:r w:rsidRPr="00C25081" w:rsidR="00C25081">
        <w:rPr>
          <w:i/>
          <w:iCs/>
        </w:rPr>
        <w:t>CO2 Afvang, Transport en Opslag</w:t>
      </w:r>
      <w:r w:rsidR="00C25081">
        <w:rPr>
          <w:i/>
          <w:iCs/>
        </w:rPr>
        <w:t xml:space="preserve"> (</w:t>
      </w:r>
      <w:r>
        <w:rPr>
          <w:i/>
          <w:iCs/>
        </w:rPr>
        <w:t>CATO</w:t>
      </w:r>
      <w:r w:rsidR="00C25081">
        <w:rPr>
          <w:i/>
          <w:iCs/>
        </w:rPr>
        <w:t>)</w:t>
      </w:r>
      <w:r>
        <w:rPr>
          <w:i/>
          <w:iCs/>
        </w:rPr>
        <w:t>-programma</w:t>
      </w:r>
    </w:p>
    <w:p w:rsidR="00535BB8" w:rsidP="00535BB8" w:rsidRDefault="00535BB8" w14:paraId="3196074B" w14:textId="77777777">
      <w:r w:rsidRPr="00BE07F6">
        <w:rPr>
          <w:rFonts w:eastAsia="Verdana" w:cs="Verdana"/>
          <w:szCs w:val="18"/>
        </w:rPr>
        <w:t>Kennisontwikkeling is nodig voor toepassingen in de diepe ondergrond die bijdragen aan de energietransitie, zoals CO₂-opslag en koolstofbeheer.</w:t>
      </w:r>
      <w:r>
        <w:t xml:space="preserve"> TNO heeft via het CATO-programma, welke gericht is op CO2-afvang, -transport en -opslag, deze rol sinds 2004 vervuld. Omdat de huidige subsidieperiode voor dit programma is afgelopen, is het kabinet voornemens om een nieuwe subsidie aan TNO te verstrekken van € 600.000 voor de periode 2026-2029. Daarmee worden activiteiten om de kennisgemeenschap te onderhouden en verder uit te bouwen voor drie jaar voortgezet en wordt tevens het bereik verbreed van enkel CCS naar alle koolstofbeheersmaatregelen, zoals ook CCU en koolstofverwijdering.</w:t>
      </w:r>
    </w:p>
    <w:p w:rsidR="00533D26" w:rsidP="00533D26" w:rsidRDefault="00533D26" w14:paraId="7BEB33CF" w14:textId="77777777"/>
    <w:p w:rsidR="00533D26" w:rsidP="00533D26" w:rsidRDefault="00533D26" w14:paraId="092F74E1" w14:textId="77777777">
      <w:r w:rsidRPr="00974E77">
        <w:rPr>
          <w:i/>
          <w:iCs/>
        </w:rPr>
        <w:t>Gebiedsproces Zuidwending</w:t>
      </w:r>
    </w:p>
    <w:p w:rsidR="00533D26" w:rsidP="00533D26" w:rsidRDefault="00533D26" w14:paraId="284FD2F3" w14:textId="77777777">
      <w:r w:rsidRPr="473ADDAC">
        <w:t xml:space="preserve">Uw Kamer vroeg </w:t>
      </w:r>
      <w:r>
        <w:t xml:space="preserve">tot slot </w:t>
      </w:r>
      <w:r w:rsidRPr="473ADDAC">
        <w:t>begin dit jaar aandacht voor de beroepen die de provincie Groningen had ingesteld op 12 november en 16 december 2025</w:t>
      </w:r>
      <w:r w:rsidRPr="00BE07F6">
        <w:rPr>
          <w:szCs w:val="18"/>
        </w:rPr>
        <w:t xml:space="preserve"> </w:t>
      </w:r>
      <w:r w:rsidRPr="473ADDAC">
        <w:t xml:space="preserve">tegen de besluiten op de winningsplannen van </w:t>
      </w:r>
      <w:proofErr w:type="spellStart"/>
      <w:r w:rsidRPr="473ADDAC">
        <w:t>Nobian</w:t>
      </w:r>
      <w:proofErr w:type="spellEnd"/>
      <w:r w:rsidRPr="473ADDAC">
        <w:t xml:space="preserve"> in Zuidwending en Heiligerlee. Dit vanwege de samenhang met de maatwerkafspraken die o.a. bijdragen aan verduurzaming en CO2-reductie.</w:t>
      </w:r>
      <w:r>
        <w:t xml:space="preserve"> </w:t>
      </w:r>
    </w:p>
    <w:p w:rsidR="00533D26" w:rsidP="00533D26" w:rsidRDefault="00533D26" w14:paraId="195C7BD6" w14:textId="77777777"/>
    <w:p w:rsidRPr="00B153A7" w:rsidR="00533D26" w:rsidP="00533D26" w:rsidRDefault="00533D26" w14:paraId="0C078621" w14:textId="269416E9">
      <w:r w:rsidRPr="473ADDAC">
        <w:t>De provincie Groningen heeft op 21 april 2026 besloten om de beroepen in te trekken.</w:t>
      </w:r>
      <w:r w:rsidR="00D96981">
        <w:rPr>
          <w:rStyle w:val="Voetnootmarkering"/>
        </w:rPr>
        <w:footnoteReference w:id="8"/>
      </w:r>
      <w:r w:rsidRPr="473ADDAC">
        <w:t xml:space="preserve"> Aangezien de beroepen zijn ingetrokken, </w:t>
      </w:r>
      <w:r w:rsidR="00C25081">
        <w:t xml:space="preserve">beschouwt het kabinet </w:t>
      </w:r>
      <w:r w:rsidRPr="473ADDAC">
        <w:t xml:space="preserve">de motie van leden </w:t>
      </w:r>
      <w:r>
        <w:t>D</w:t>
      </w:r>
      <w:r w:rsidRPr="473ADDAC">
        <w:t xml:space="preserve">e Groot en </w:t>
      </w:r>
      <w:proofErr w:type="spellStart"/>
      <w:r w:rsidRPr="473ADDAC">
        <w:t>Jumelet</w:t>
      </w:r>
      <w:proofErr w:type="spellEnd"/>
      <w:r w:rsidRPr="473ADDAC">
        <w:t xml:space="preserve"> </w:t>
      </w:r>
      <w:r w:rsidR="00C25081">
        <w:t xml:space="preserve">daarmee als </w:t>
      </w:r>
      <w:r w:rsidRPr="473ADDAC">
        <w:t>afgedaan</w:t>
      </w:r>
      <w:r w:rsidRPr="473ADDAC">
        <w:rPr>
          <w:rStyle w:val="Voetnootmarkering"/>
        </w:rPr>
        <w:footnoteReference w:id="9"/>
      </w:r>
      <w:r w:rsidRPr="00BE07F6">
        <w:rPr>
          <w:szCs w:val="18"/>
        </w:rPr>
        <w:t>.</w:t>
      </w:r>
      <w:r>
        <w:rPr>
          <w:szCs w:val="18"/>
        </w:rPr>
        <w:t xml:space="preserve"> Dit betekent dat </w:t>
      </w:r>
      <w:proofErr w:type="spellStart"/>
      <w:r>
        <w:rPr>
          <w:szCs w:val="18"/>
        </w:rPr>
        <w:t>Nobian</w:t>
      </w:r>
      <w:proofErr w:type="spellEnd"/>
      <w:r>
        <w:rPr>
          <w:szCs w:val="18"/>
        </w:rPr>
        <w:t xml:space="preserve"> de Zoutwinning bij Zuidwending en Heiligerlee kan voortzetten tot en met 2035. </w:t>
      </w:r>
      <w:r>
        <w:t>Hierbij is belangrijk te benadrukken dat de zoutwinning veilig en verantwoord gebeurt.</w:t>
      </w:r>
      <w:r>
        <w:rPr>
          <w:szCs w:val="18"/>
        </w:rPr>
        <w:t xml:space="preserve"> Het gebiedsproces Zuidwending onder leiding van provincie Groningen</w:t>
      </w:r>
      <w:r w:rsidR="00D96981">
        <w:rPr>
          <w:szCs w:val="18"/>
        </w:rPr>
        <w:t xml:space="preserve"> waarover ik u eerder informeerde</w:t>
      </w:r>
      <w:r>
        <w:rPr>
          <w:szCs w:val="18"/>
        </w:rPr>
        <w:t xml:space="preserve"> is inmiddels gestart</w:t>
      </w:r>
      <w:r w:rsidR="002D5900">
        <w:rPr>
          <w:rStyle w:val="Voetnootmarkering"/>
          <w:szCs w:val="18"/>
        </w:rPr>
        <w:footnoteReference w:id="10"/>
      </w:r>
      <w:r>
        <w:rPr>
          <w:szCs w:val="18"/>
        </w:rPr>
        <w:t>.</w:t>
      </w:r>
    </w:p>
    <w:p w:rsidRPr="00275129" w:rsidR="00533D26" w:rsidP="00533D26" w:rsidRDefault="00533D26" w14:paraId="17B15B1C" w14:textId="77777777"/>
    <w:p w:rsidR="00533D26" w:rsidP="00533D26" w:rsidRDefault="00533D26" w14:paraId="1FFB593F" w14:textId="77777777"/>
    <w:p w:rsidRPr="00275129" w:rsidR="00533D26" w:rsidP="00533D26" w:rsidRDefault="00533D26" w14:paraId="0A0100B7" w14:textId="5CBED4EC">
      <w:r w:rsidRPr="00275129">
        <w:t> </w:t>
      </w:r>
    </w:p>
    <w:p w:rsidR="00533D26" w:rsidP="00533D26" w:rsidRDefault="00533D26" w14:paraId="63852127" w14:textId="77777777">
      <w:r w:rsidRPr="00275129">
        <w:t> </w:t>
      </w:r>
    </w:p>
    <w:p w:rsidRPr="000C5C0B" w:rsidR="00533D26" w:rsidP="00533D26" w:rsidRDefault="00533D26" w14:paraId="0555C99C" w14:textId="44F72723">
      <w:proofErr w:type="spellStart"/>
      <w:r>
        <w:rPr>
          <w:szCs w:val="18"/>
        </w:rPr>
        <w:t>Stientje</w:t>
      </w:r>
      <w:proofErr w:type="spellEnd"/>
      <w:r>
        <w:rPr>
          <w:szCs w:val="18"/>
        </w:rPr>
        <w:t xml:space="preserve"> van Veldhoven</w:t>
      </w:r>
      <w:r w:rsidR="00CE4F5E">
        <w:rPr>
          <w:szCs w:val="18"/>
        </w:rPr>
        <w:t>-van der Meer</w:t>
      </w:r>
    </w:p>
    <w:p w:rsidRPr="000C5C0B" w:rsidR="00533D26" w:rsidP="00533D26" w:rsidRDefault="00533D26" w14:paraId="4724237D" w14:textId="77777777">
      <w:pPr>
        <w:rPr>
          <w:szCs w:val="18"/>
        </w:rPr>
      </w:pPr>
      <w:r>
        <w:rPr>
          <w:szCs w:val="18"/>
        </w:rPr>
        <w:t>Minister van Klimaat en Groene Groei</w:t>
      </w:r>
    </w:p>
    <w:p w:rsidRPr="002822CA" w:rsidR="00533D26" w:rsidP="002822CA" w:rsidRDefault="00533D26" w14:paraId="58341E5E" w14:textId="77777777"/>
    <w:p w:rsidR="007F439C" w:rsidP="00810C93" w:rsidRDefault="00CB578B" w14:paraId="4C240C21" w14:textId="77777777">
      <w:r>
        <w:br/>
      </w:r>
    </w:p>
    <w:p w:rsidR="00BD2D73" w:rsidP="00810C93" w:rsidRDefault="00BD2D73" w14:paraId="33F6C0DF"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9BA5" w14:textId="77777777" w:rsidR="008B58AF" w:rsidRDefault="008B58AF">
      <w:r>
        <w:separator/>
      </w:r>
    </w:p>
    <w:p w14:paraId="4F68B5E6" w14:textId="77777777" w:rsidR="008B58AF" w:rsidRDefault="008B58AF"/>
  </w:endnote>
  <w:endnote w:type="continuationSeparator" w:id="0">
    <w:p w14:paraId="33127F66" w14:textId="77777777" w:rsidR="008B58AF" w:rsidRDefault="008B58AF">
      <w:r>
        <w:continuationSeparator/>
      </w:r>
    </w:p>
    <w:p w14:paraId="67AE4032" w14:textId="77777777" w:rsidR="008B58AF" w:rsidRDefault="008B5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A39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7E79" w14:paraId="23CCD075" w14:textId="77777777" w:rsidTr="00CA6A25">
      <w:trPr>
        <w:trHeight w:hRule="exact" w:val="240"/>
      </w:trPr>
      <w:tc>
        <w:tcPr>
          <w:tcW w:w="7601" w:type="dxa"/>
        </w:tcPr>
        <w:p w14:paraId="3047EAD2" w14:textId="77777777" w:rsidR="00527BD4" w:rsidRDefault="00527BD4" w:rsidP="003F1F6B">
          <w:pPr>
            <w:pStyle w:val="Huisstijl-Rubricering"/>
          </w:pPr>
        </w:p>
      </w:tc>
      <w:tc>
        <w:tcPr>
          <w:tcW w:w="2156" w:type="dxa"/>
        </w:tcPr>
        <w:p w14:paraId="52084F08" w14:textId="1CC6B028" w:rsidR="00527BD4" w:rsidRPr="00645414" w:rsidRDefault="00CB57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901A3">
            <w:t>4</w:t>
          </w:r>
          <w:r w:rsidR="004425CC">
            <w:fldChar w:fldCharType="end"/>
          </w:r>
        </w:p>
      </w:tc>
    </w:tr>
  </w:tbl>
  <w:p w14:paraId="0365D73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7E79" w14:paraId="422C5670" w14:textId="77777777" w:rsidTr="00CA6A25">
      <w:trPr>
        <w:trHeight w:hRule="exact" w:val="240"/>
      </w:trPr>
      <w:tc>
        <w:tcPr>
          <w:tcW w:w="7601" w:type="dxa"/>
        </w:tcPr>
        <w:p w14:paraId="702966BA" w14:textId="77777777" w:rsidR="00527BD4" w:rsidRDefault="00527BD4" w:rsidP="008C356D">
          <w:pPr>
            <w:pStyle w:val="Huisstijl-Rubricering"/>
          </w:pPr>
        </w:p>
      </w:tc>
      <w:tc>
        <w:tcPr>
          <w:tcW w:w="2170" w:type="dxa"/>
        </w:tcPr>
        <w:p w14:paraId="7F56DB69" w14:textId="690FC3E0" w:rsidR="00527BD4" w:rsidRPr="00ED539E" w:rsidRDefault="00CB578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B901A3">
            <w:t>4</w:t>
          </w:r>
          <w:r w:rsidR="00A13FBD">
            <w:fldChar w:fldCharType="end"/>
          </w:r>
        </w:p>
      </w:tc>
    </w:tr>
  </w:tbl>
  <w:p w14:paraId="39FCD3F0" w14:textId="77777777" w:rsidR="00527BD4" w:rsidRPr="00BC3B53" w:rsidRDefault="00527BD4" w:rsidP="008C356D">
    <w:pPr>
      <w:pStyle w:val="Voettekst"/>
      <w:spacing w:line="240" w:lineRule="auto"/>
      <w:rPr>
        <w:sz w:val="2"/>
        <w:szCs w:val="2"/>
      </w:rPr>
    </w:pPr>
  </w:p>
  <w:p w14:paraId="335B82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B2CC" w14:textId="77777777" w:rsidR="008B58AF" w:rsidRDefault="008B58AF">
      <w:r>
        <w:separator/>
      </w:r>
    </w:p>
    <w:p w14:paraId="462902FE" w14:textId="77777777" w:rsidR="008B58AF" w:rsidRDefault="008B58AF"/>
  </w:footnote>
  <w:footnote w:type="continuationSeparator" w:id="0">
    <w:p w14:paraId="65018954" w14:textId="77777777" w:rsidR="008B58AF" w:rsidRDefault="008B58AF">
      <w:r>
        <w:continuationSeparator/>
      </w:r>
    </w:p>
    <w:p w14:paraId="06FE3E0D" w14:textId="77777777" w:rsidR="008B58AF" w:rsidRDefault="008B58AF"/>
  </w:footnote>
  <w:footnote w:id="1">
    <w:p w14:paraId="507246A1" w14:textId="77777777" w:rsidR="00533D26" w:rsidRPr="00D96981" w:rsidRDefault="00533D26" w:rsidP="00533D26">
      <w:pPr>
        <w:pStyle w:val="Voetnoottekst"/>
        <w:rPr>
          <w:szCs w:val="13"/>
        </w:rPr>
      </w:pPr>
      <w:r w:rsidRPr="00603031">
        <w:rPr>
          <w:rStyle w:val="Voetnootmarkering"/>
          <w:szCs w:val="13"/>
        </w:rPr>
        <w:footnoteRef/>
      </w:r>
      <w:r w:rsidRPr="00D96981">
        <w:rPr>
          <w:szCs w:val="13"/>
        </w:rPr>
        <w:t xml:space="preserve"> Tweede Kamer, vergaderjaar 2025-2026, 32849 nr. 293</w:t>
      </w:r>
    </w:p>
  </w:footnote>
  <w:footnote w:id="2">
    <w:p w14:paraId="040C8D37" w14:textId="68FE3778" w:rsidR="00F741FF" w:rsidRDefault="00F741FF">
      <w:pPr>
        <w:pStyle w:val="Voetnoottekst"/>
      </w:pPr>
      <w:r w:rsidRPr="00603031">
        <w:rPr>
          <w:rStyle w:val="Voetnootmarkering"/>
          <w:szCs w:val="13"/>
        </w:rPr>
        <w:footnoteRef/>
      </w:r>
      <w:r w:rsidRPr="00D96981">
        <w:rPr>
          <w:szCs w:val="13"/>
        </w:rPr>
        <w:t xml:space="preserve"> Voor activiteiten in de diepe ondergrond is een vergunning op grond van de Mijnbouwwet vereist. Dat begint voor </w:t>
      </w:r>
      <w:r w:rsidR="00FC5C1F" w:rsidRPr="00D96981">
        <w:rPr>
          <w:szCs w:val="13"/>
        </w:rPr>
        <w:t>de winning en opslag van (delf)stoffen</w:t>
      </w:r>
      <w:r w:rsidRPr="00D96981">
        <w:rPr>
          <w:szCs w:val="13"/>
        </w:rPr>
        <w:t xml:space="preserve"> op 100 meter diepte en voor de winning van aardwarmte op 500 meter diepte.</w:t>
      </w:r>
    </w:p>
  </w:footnote>
  <w:footnote w:id="3">
    <w:p w14:paraId="4B0C6E9F" w14:textId="77777777" w:rsidR="00533D26" w:rsidRPr="00D96981" w:rsidRDefault="00533D26" w:rsidP="00533D26">
      <w:pPr>
        <w:pStyle w:val="Voetnoottekst"/>
        <w:rPr>
          <w:szCs w:val="13"/>
        </w:rPr>
      </w:pPr>
      <w:r w:rsidRPr="00603031">
        <w:rPr>
          <w:rStyle w:val="Voetnootmarkering"/>
          <w:szCs w:val="13"/>
        </w:rPr>
        <w:footnoteRef/>
      </w:r>
      <w:r w:rsidRPr="00D96981">
        <w:rPr>
          <w:szCs w:val="13"/>
        </w:rPr>
        <w:t xml:space="preserve"> Kamerstuk 31 239, nr. 427</w:t>
      </w:r>
    </w:p>
  </w:footnote>
  <w:footnote w:id="4">
    <w:p w14:paraId="36FCA553" w14:textId="77777777" w:rsidR="00533D26" w:rsidRPr="00D96981" w:rsidRDefault="00533D26" w:rsidP="00533D26">
      <w:pPr>
        <w:pStyle w:val="Voetnoottekst"/>
        <w:rPr>
          <w:szCs w:val="13"/>
        </w:rPr>
      </w:pPr>
      <w:r w:rsidRPr="00603031">
        <w:rPr>
          <w:rStyle w:val="Voetnootmarkering"/>
          <w:szCs w:val="13"/>
        </w:rPr>
        <w:footnoteRef/>
      </w:r>
      <w:r w:rsidRPr="00D96981">
        <w:rPr>
          <w:szCs w:val="13"/>
        </w:rPr>
        <w:t xml:space="preserve"> Kamerstuk 32 849, nr. 296</w:t>
      </w:r>
    </w:p>
  </w:footnote>
  <w:footnote w:id="5">
    <w:p w14:paraId="155F39A5" w14:textId="77777777" w:rsidR="00533D26" w:rsidRPr="009D58E4" w:rsidRDefault="00533D26" w:rsidP="00533D26">
      <w:pPr>
        <w:pStyle w:val="Voetnoottekst"/>
      </w:pPr>
      <w:r w:rsidRPr="00603031">
        <w:rPr>
          <w:rStyle w:val="Voetnootmarkering"/>
          <w:szCs w:val="13"/>
        </w:rPr>
        <w:footnoteRef/>
      </w:r>
      <w:r w:rsidRPr="00D96981">
        <w:rPr>
          <w:szCs w:val="13"/>
        </w:rPr>
        <w:t xml:space="preserve"> Kamerstuk 36 800 XXIII, nr. 54</w:t>
      </w:r>
    </w:p>
  </w:footnote>
  <w:footnote w:id="6">
    <w:p w14:paraId="5D585C46" w14:textId="2C2AE733" w:rsidR="006B36A4" w:rsidRPr="006B36A4" w:rsidRDefault="006B36A4">
      <w:pPr>
        <w:pStyle w:val="Voetnoottekst"/>
      </w:pPr>
      <w:r>
        <w:rPr>
          <w:rStyle w:val="Voetnootmarkering"/>
        </w:rPr>
        <w:footnoteRef/>
      </w:r>
      <w:r>
        <w:t xml:space="preserve"> </w:t>
      </w:r>
      <w:r w:rsidRPr="006B36A4">
        <w:t>Handelingen II 2021/22, nr. 52, item 11, dossier 35531</w:t>
      </w:r>
    </w:p>
  </w:footnote>
  <w:footnote w:id="7">
    <w:p w14:paraId="01333647" w14:textId="77777777" w:rsidR="00533D26" w:rsidRPr="00D96981" w:rsidRDefault="00533D26" w:rsidP="00533D26">
      <w:pPr>
        <w:pStyle w:val="Voetnoottekst"/>
        <w:rPr>
          <w:szCs w:val="13"/>
        </w:rPr>
      </w:pPr>
      <w:r w:rsidRPr="00603031">
        <w:rPr>
          <w:rStyle w:val="Voetnootmarkering"/>
          <w:szCs w:val="13"/>
        </w:rPr>
        <w:footnoteRef/>
      </w:r>
      <w:r w:rsidRPr="00D96981">
        <w:rPr>
          <w:szCs w:val="13"/>
        </w:rPr>
        <w:t xml:space="preserve"> TZ202504-035</w:t>
      </w:r>
    </w:p>
  </w:footnote>
  <w:footnote w:id="8">
    <w:p w14:paraId="69CFFB80" w14:textId="0F3332C3" w:rsidR="00D96981" w:rsidRPr="00D96981" w:rsidRDefault="00D96981">
      <w:pPr>
        <w:pStyle w:val="Voetnoottekst"/>
        <w:rPr>
          <w:szCs w:val="13"/>
        </w:rPr>
      </w:pPr>
      <w:r w:rsidRPr="00603031">
        <w:rPr>
          <w:rStyle w:val="Voetnootmarkering"/>
          <w:szCs w:val="13"/>
        </w:rPr>
        <w:footnoteRef/>
      </w:r>
      <w:r w:rsidRPr="00D96981">
        <w:rPr>
          <w:szCs w:val="13"/>
        </w:rPr>
        <w:t xml:space="preserve"> https://www.provinciegroningen.nl/actueel/nieuws/nieuwsartikel/provincie-groningen-trekt-beroepen-zoutwinning-heiligerlee-en-zuidwending-in/</w:t>
      </w:r>
    </w:p>
  </w:footnote>
  <w:footnote w:id="9">
    <w:p w14:paraId="1704A21A" w14:textId="77777777" w:rsidR="00533D26" w:rsidRPr="00B56A09" w:rsidRDefault="00533D26" w:rsidP="00533D26">
      <w:pPr>
        <w:pStyle w:val="Voetnoottekst"/>
        <w:rPr>
          <w:sz w:val="16"/>
          <w:szCs w:val="16"/>
        </w:rPr>
      </w:pPr>
      <w:r w:rsidRPr="00603031">
        <w:rPr>
          <w:szCs w:val="13"/>
          <w:vertAlign w:val="superscript"/>
        </w:rPr>
        <w:footnoteRef/>
      </w:r>
      <w:r w:rsidRPr="00D96981">
        <w:rPr>
          <w:szCs w:val="13"/>
        </w:rPr>
        <w:t xml:space="preserve"> Tweede Kamer, vergaderjaar 2025-2026, 32849 nr. 306</w:t>
      </w:r>
    </w:p>
  </w:footnote>
  <w:footnote w:id="10">
    <w:p w14:paraId="6F41AD1E" w14:textId="1A3FBED1" w:rsidR="002D5900" w:rsidRPr="0049639C" w:rsidRDefault="002D5900">
      <w:pPr>
        <w:pStyle w:val="Voetnoottekst"/>
      </w:pPr>
      <w:r w:rsidRPr="00603031">
        <w:rPr>
          <w:rStyle w:val="Voetnootmarkering"/>
        </w:rPr>
        <w:footnoteRef/>
      </w:r>
      <w:r>
        <w:t xml:space="preserve"> </w:t>
      </w:r>
      <w:r w:rsidR="0049639C" w:rsidRPr="00D96981">
        <w:rPr>
          <w:szCs w:val="13"/>
        </w:rPr>
        <w:t xml:space="preserve">Tweede Kamer, vergaderjaar 2025-2026, 32849 nr. </w:t>
      </w:r>
      <w:r w:rsidR="0049639C">
        <w:rPr>
          <w:szCs w:val="13"/>
        </w:rPr>
        <w:t>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7E79" w14:paraId="120243BC" w14:textId="77777777" w:rsidTr="00A50CF6">
      <w:tc>
        <w:tcPr>
          <w:tcW w:w="2156" w:type="dxa"/>
        </w:tcPr>
        <w:p w14:paraId="5719C0B2" w14:textId="77777777" w:rsidR="00527BD4" w:rsidRPr="005819CE" w:rsidRDefault="00CB578B" w:rsidP="00A50CF6">
          <w:pPr>
            <w:pStyle w:val="Huisstijl-Adres"/>
            <w:rPr>
              <w:b/>
            </w:rPr>
          </w:pPr>
          <w:r>
            <w:rPr>
              <w:b/>
            </w:rPr>
            <w:t>Directoraat-generaal Klimaat en Energie</w:t>
          </w:r>
          <w:r w:rsidRPr="005819CE">
            <w:rPr>
              <w:b/>
            </w:rPr>
            <w:br/>
          </w:r>
        </w:p>
      </w:tc>
    </w:tr>
    <w:tr w:rsidR="00947E79" w14:paraId="56BCD734" w14:textId="77777777" w:rsidTr="00A50CF6">
      <w:trPr>
        <w:trHeight w:hRule="exact" w:val="200"/>
      </w:trPr>
      <w:tc>
        <w:tcPr>
          <w:tcW w:w="2156" w:type="dxa"/>
        </w:tcPr>
        <w:p w14:paraId="7BED3951" w14:textId="77777777" w:rsidR="00527BD4" w:rsidRPr="005819CE" w:rsidRDefault="00527BD4" w:rsidP="00A50CF6"/>
      </w:tc>
    </w:tr>
    <w:tr w:rsidR="00947E79" w14:paraId="6B244AE4" w14:textId="77777777" w:rsidTr="00502512">
      <w:trPr>
        <w:trHeight w:hRule="exact" w:val="774"/>
      </w:trPr>
      <w:tc>
        <w:tcPr>
          <w:tcW w:w="2156" w:type="dxa"/>
        </w:tcPr>
        <w:p w14:paraId="2598CC9F" w14:textId="77777777" w:rsidR="00527BD4" w:rsidRDefault="00CB578B" w:rsidP="003A5290">
          <w:pPr>
            <w:pStyle w:val="Huisstijl-Kopje"/>
          </w:pPr>
          <w:r>
            <w:t>Ons kenmerk</w:t>
          </w:r>
        </w:p>
        <w:p w14:paraId="71EEA45C" w14:textId="77777777" w:rsidR="00527BD4" w:rsidRPr="005819CE" w:rsidRDefault="00CB578B" w:rsidP="004425CC">
          <w:pPr>
            <w:pStyle w:val="Huisstijl-Kopje"/>
          </w:pPr>
          <w:r>
            <w:rPr>
              <w:b w:val="0"/>
            </w:rPr>
            <w:t>KGG_DGKE</w:t>
          </w:r>
          <w:r w:rsidRPr="00502512">
            <w:rPr>
              <w:b w:val="0"/>
            </w:rPr>
            <w:t xml:space="preserve"> / </w:t>
          </w:r>
          <w:r>
            <w:rPr>
              <w:b w:val="0"/>
            </w:rPr>
            <w:t>106351003</w:t>
          </w:r>
        </w:p>
      </w:tc>
    </w:tr>
  </w:tbl>
  <w:p w14:paraId="6A59F533" w14:textId="77777777" w:rsidR="00527BD4" w:rsidRDefault="00527BD4" w:rsidP="008C356D">
    <w:pPr>
      <w:pStyle w:val="Koptekst"/>
      <w:rPr>
        <w:rFonts w:cs="Verdana-Bold"/>
        <w:b/>
        <w:bCs/>
        <w:smallCaps/>
        <w:szCs w:val="18"/>
      </w:rPr>
    </w:pPr>
  </w:p>
  <w:p w14:paraId="1820A6C8" w14:textId="77777777" w:rsidR="00527BD4" w:rsidRDefault="00527BD4" w:rsidP="008C356D"/>
  <w:p w14:paraId="37AB06CC" w14:textId="77777777" w:rsidR="00527BD4" w:rsidRPr="00740712" w:rsidRDefault="00527BD4" w:rsidP="008C356D"/>
  <w:p w14:paraId="3730862B" w14:textId="77777777" w:rsidR="00527BD4" w:rsidRPr="00217880" w:rsidRDefault="00527BD4" w:rsidP="008C356D">
    <w:pPr>
      <w:spacing w:line="0" w:lineRule="atLeast"/>
      <w:rPr>
        <w:sz w:val="2"/>
        <w:szCs w:val="2"/>
      </w:rPr>
    </w:pPr>
  </w:p>
  <w:p w14:paraId="5B97F317" w14:textId="77777777" w:rsidR="00527BD4" w:rsidRDefault="00527BD4" w:rsidP="004F44C2">
    <w:pPr>
      <w:pStyle w:val="Koptekst"/>
      <w:rPr>
        <w:rFonts w:cs="Verdana-Bold"/>
        <w:b/>
        <w:bCs/>
        <w:smallCaps/>
        <w:szCs w:val="18"/>
      </w:rPr>
    </w:pPr>
  </w:p>
  <w:p w14:paraId="6F55A087" w14:textId="77777777" w:rsidR="00527BD4" w:rsidRDefault="00527BD4" w:rsidP="004F44C2"/>
  <w:p w14:paraId="42FC5FD1" w14:textId="77777777" w:rsidR="00527BD4" w:rsidRPr="00740712" w:rsidRDefault="00527BD4" w:rsidP="004F44C2"/>
  <w:p w14:paraId="66F4A9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7E79" w14:paraId="7E31BE3B" w14:textId="77777777" w:rsidTr="00751A6A">
      <w:trPr>
        <w:trHeight w:val="2636"/>
      </w:trPr>
      <w:tc>
        <w:tcPr>
          <w:tcW w:w="737" w:type="dxa"/>
        </w:tcPr>
        <w:p w14:paraId="5CE10F8C" w14:textId="77777777" w:rsidR="00527BD4" w:rsidRDefault="00527BD4" w:rsidP="00D0609E">
          <w:pPr>
            <w:framePr w:w="6340" w:h="2750" w:hRule="exact" w:hSpace="180" w:wrap="around" w:vAnchor="page" w:hAnchor="text" w:x="3873" w:y="-140"/>
            <w:spacing w:line="240" w:lineRule="auto"/>
          </w:pPr>
        </w:p>
      </w:tc>
      <w:tc>
        <w:tcPr>
          <w:tcW w:w="5156" w:type="dxa"/>
        </w:tcPr>
        <w:p w14:paraId="411E4DFE" w14:textId="77777777" w:rsidR="00527BD4" w:rsidRDefault="00CB578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8F097EC" wp14:editId="21010DB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2A2E4D6" w14:textId="77777777" w:rsidR="007269E3" w:rsidRDefault="007269E3" w:rsidP="00651CEE">
          <w:pPr>
            <w:framePr w:w="6340" w:h="2750" w:hRule="exact" w:hSpace="180" w:wrap="around" w:vAnchor="page" w:hAnchor="text" w:x="3873" w:y="-140"/>
            <w:spacing w:line="240" w:lineRule="auto"/>
          </w:pPr>
        </w:p>
      </w:tc>
    </w:tr>
  </w:tbl>
  <w:p w14:paraId="555BCB21" w14:textId="77777777" w:rsidR="00527BD4" w:rsidRDefault="00527BD4" w:rsidP="00D0609E">
    <w:pPr>
      <w:framePr w:w="6340" w:h="2750" w:hRule="exact" w:hSpace="180" w:wrap="around" w:vAnchor="page" w:hAnchor="text" w:x="3873" w:y="-140"/>
    </w:pPr>
  </w:p>
  <w:p w14:paraId="3D8C87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7E79" w14:paraId="59C3EBB5" w14:textId="77777777" w:rsidTr="00A50CF6">
      <w:tc>
        <w:tcPr>
          <w:tcW w:w="2160" w:type="dxa"/>
        </w:tcPr>
        <w:p w14:paraId="5343BDDC" w14:textId="77777777" w:rsidR="00527BD4" w:rsidRPr="005819CE" w:rsidRDefault="00CB578B" w:rsidP="00A50CF6">
          <w:pPr>
            <w:pStyle w:val="Huisstijl-Adres"/>
            <w:rPr>
              <w:b/>
            </w:rPr>
          </w:pPr>
          <w:r>
            <w:rPr>
              <w:b/>
            </w:rPr>
            <w:t>Directoraat-generaal Klimaat en Energie</w:t>
          </w:r>
          <w:r w:rsidRPr="005819CE">
            <w:rPr>
              <w:b/>
            </w:rPr>
            <w:br/>
          </w:r>
        </w:p>
        <w:p w14:paraId="68D785B3" w14:textId="77777777" w:rsidR="00527BD4" w:rsidRPr="00BE5ED9" w:rsidRDefault="00CB578B" w:rsidP="00A50CF6">
          <w:pPr>
            <w:pStyle w:val="Huisstijl-Adres"/>
          </w:pPr>
          <w:r>
            <w:rPr>
              <w:b/>
            </w:rPr>
            <w:t>Bezoekadres</w:t>
          </w:r>
          <w:r>
            <w:rPr>
              <w:b/>
            </w:rPr>
            <w:br/>
          </w:r>
          <w:r>
            <w:t>Bezuidenhoutseweg 73</w:t>
          </w:r>
          <w:r w:rsidRPr="005819CE">
            <w:br/>
          </w:r>
          <w:r>
            <w:t>2594 AC Den Haag</w:t>
          </w:r>
        </w:p>
        <w:p w14:paraId="2F3109A2" w14:textId="77777777" w:rsidR="00EF495B" w:rsidRDefault="00CB578B" w:rsidP="0098788A">
          <w:pPr>
            <w:pStyle w:val="Huisstijl-Adres"/>
          </w:pPr>
          <w:r>
            <w:rPr>
              <w:b/>
            </w:rPr>
            <w:t>Postadres</w:t>
          </w:r>
          <w:r>
            <w:rPr>
              <w:b/>
            </w:rPr>
            <w:br/>
          </w:r>
          <w:r>
            <w:t>Postbus 20401</w:t>
          </w:r>
          <w:r w:rsidRPr="005819CE">
            <w:br/>
            <w:t>2500 E</w:t>
          </w:r>
          <w:r>
            <w:t>K</w:t>
          </w:r>
          <w:r w:rsidRPr="005819CE">
            <w:t xml:space="preserve"> Den Haag</w:t>
          </w:r>
        </w:p>
        <w:p w14:paraId="074B4B05" w14:textId="77777777" w:rsidR="00EF495B" w:rsidRPr="005B3814" w:rsidRDefault="00CB578B" w:rsidP="0098788A">
          <w:pPr>
            <w:pStyle w:val="Huisstijl-Adres"/>
          </w:pPr>
          <w:r>
            <w:rPr>
              <w:b/>
            </w:rPr>
            <w:t>Overheidsidentificatienr</w:t>
          </w:r>
          <w:r>
            <w:rPr>
              <w:b/>
            </w:rPr>
            <w:br/>
          </w:r>
          <w:r w:rsidRPr="005B3814">
            <w:t>00000001003214369000</w:t>
          </w:r>
        </w:p>
        <w:p w14:paraId="68DBF7F2" w14:textId="0E99BB26" w:rsidR="00527BD4" w:rsidRPr="00260997" w:rsidRDefault="00CB578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47E79" w14:paraId="6035DFBF" w14:textId="77777777" w:rsidTr="00A50CF6">
      <w:trPr>
        <w:trHeight w:hRule="exact" w:val="200"/>
      </w:trPr>
      <w:tc>
        <w:tcPr>
          <w:tcW w:w="2160" w:type="dxa"/>
        </w:tcPr>
        <w:p w14:paraId="4C367511" w14:textId="77777777" w:rsidR="00527BD4" w:rsidRPr="005819CE" w:rsidRDefault="00527BD4" w:rsidP="00A50CF6"/>
      </w:tc>
    </w:tr>
    <w:tr w:rsidR="00947E79" w14:paraId="15B5D732" w14:textId="77777777" w:rsidTr="00A50CF6">
      <w:tc>
        <w:tcPr>
          <w:tcW w:w="2160" w:type="dxa"/>
        </w:tcPr>
        <w:p w14:paraId="0DD582AC" w14:textId="77777777" w:rsidR="000C0163" w:rsidRPr="005819CE" w:rsidRDefault="00CB578B" w:rsidP="000C0163">
          <w:pPr>
            <w:pStyle w:val="Huisstijl-Kopje"/>
          </w:pPr>
          <w:r>
            <w:t>Ons kenmerk</w:t>
          </w:r>
          <w:r w:rsidRPr="005819CE">
            <w:t xml:space="preserve"> </w:t>
          </w:r>
        </w:p>
        <w:p w14:paraId="6F0108A7" w14:textId="45185CD0" w:rsidR="00527BD4" w:rsidRPr="005819CE" w:rsidRDefault="00CB578B" w:rsidP="00260997">
          <w:pPr>
            <w:pStyle w:val="Huisstijl-Gegeven"/>
          </w:pPr>
          <w:r>
            <w:t>KGG_DGKE</w:t>
          </w:r>
          <w:r w:rsidR="00926AE2">
            <w:t xml:space="preserve"> / </w:t>
          </w:r>
          <w:r>
            <w:t>106351003</w:t>
          </w:r>
        </w:p>
      </w:tc>
    </w:tr>
  </w:tbl>
  <w:p w14:paraId="7C0D5B9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7E79" w:rsidRPr="00D51A0D" w14:paraId="173987ED" w14:textId="77777777" w:rsidTr="007610AA">
      <w:trPr>
        <w:trHeight w:val="400"/>
      </w:trPr>
      <w:tc>
        <w:tcPr>
          <w:tcW w:w="7520" w:type="dxa"/>
          <w:gridSpan w:val="2"/>
        </w:tcPr>
        <w:p w14:paraId="2780E763" w14:textId="77777777" w:rsidR="00527BD4" w:rsidRPr="00D51A0D" w:rsidRDefault="00CB578B" w:rsidP="00A50CF6">
          <w:pPr>
            <w:pStyle w:val="Huisstijl-Retouradres"/>
            <w:rPr>
              <w:lang w:val="de-DE"/>
            </w:rPr>
          </w:pPr>
          <w:r w:rsidRPr="00D51A0D">
            <w:rPr>
              <w:lang w:val="de-DE"/>
            </w:rPr>
            <w:t>&gt; Retouradres Postbus 20401 2500 EK Den Haag</w:t>
          </w:r>
        </w:p>
      </w:tc>
    </w:tr>
    <w:tr w:rsidR="00947E79" w:rsidRPr="00D51A0D" w14:paraId="11BAF22C" w14:textId="77777777" w:rsidTr="007610AA">
      <w:tc>
        <w:tcPr>
          <w:tcW w:w="7520" w:type="dxa"/>
          <w:gridSpan w:val="2"/>
        </w:tcPr>
        <w:p w14:paraId="1520431A" w14:textId="77777777" w:rsidR="00527BD4" w:rsidRPr="00D51A0D" w:rsidRDefault="00527BD4" w:rsidP="00A50CF6">
          <w:pPr>
            <w:pStyle w:val="Huisstijl-Rubricering"/>
            <w:rPr>
              <w:lang w:val="de-DE"/>
            </w:rPr>
          </w:pPr>
        </w:p>
      </w:tc>
    </w:tr>
    <w:tr w:rsidR="00947E79" w14:paraId="6C119ACB" w14:textId="77777777" w:rsidTr="007610AA">
      <w:trPr>
        <w:trHeight w:hRule="exact" w:val="2440"/>
      </w:trPr>
      <w:tc>
        <w:tcPr>
          <w:tcW w:w="7520" w:type="dxa"/>
          <w:gridSpan w:val="2"/>
        </w:tcPr>
        <w:p w14:paraId="4BE93E87" w14:textId="77777777" w:rsidR="00527BD4" w:rsidRDefault="00CB578B" w:rsidP="00A50CF6">
          <w:pPr>
            <w:pStyle w:val="Huisstijl-NAW"/>
          </w:pPr>
          <w:r>
            <w:t xml:space="preserve">De Voorzitter van de Tweede Kamer </w:t>
          </w:r>
        </w:p>
        <w:p w14:paraId="4E1091E4" w14:textId="77777777" w:rsidR="00947E79" w:rsidRDefault="00CB578B">
          <w:pPr>
            <w:pStyle w:val="Huisstijl-NAW"/>
          </w:pPr>
          <w:r>
            <w:t>der Staten-Generaal</w:t>
          </w:r>
        </w:p>
        <w:p w14:paraId="6CB9B14A" w14:textId="77777777" w:rsidR="00947E79" w:rsidRDefault="00CB578B">
          <w:pPr>
            <w:pStyle w:val="Huisstijl-NAW"/>
          </w:pPr>
          <w:r>
            <w:t>Prinses Irenestraat 6</w:t>
          </w:r>
        </w:p>
        <w:p w14:paraId="2AD35F71" w14:textId="77777777" w:rsidR="00947E79" w:rsidRDefault="00CB578B">
          <w:pPr>
            <w:pStyle w:val="Huisstijl-NAW"/>
          </w:pPr>
          <w:r>
            <w:t>2595 BD  DEN HAAG</w:t>
          </w:r>
        </w:p>
        <w:p w14:paraId="0A0139C3" w14:textId="77777777" w:rsidR="00947E79" w:rsidRDefault="00947E79">
          <w:pPr>
            <w:pStyle w:val="Huisstijl-NAW"/>
          </w:pPr>
        </w:p>
      </w:tc>
    </w:tr>
    <w:tr w:rsidR="00947E79" w14:paraId="2A46060F" w14:textId="77777777" w:rsidTr="007610AA">
      <w:trPr>
        <w:trHeight w:hRule="exact" w:val="400"/>
      </w:trPr>
      <w:tc>
        <w:tcPr>
          <w:tcW w:w="7520" w:type="dxa"/>
          <w:gridSpan w:val="2"/>
        </w:tcPr>
        <w:p w14:paraId="7A6C5D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7E79" w14:paraId="6905C639" w14:textId="77777777" w:rsidTr="007610AA">
      <w:trPr>
        <w:trHeight w:val="240"/>
      </w:trPr>
      <w:tc>
        <w:tcPr>
          <w:tcW w:w="900" w:type="dxa"/>
        </w:tcPr>
        <w:p w14:paraId="5B63487C" w14:textId="77777777" w:rsidR="00527BD4" w:rsidRPr="007709EF" w:rsidRDefault="00CB578B" w:rsidP="00A50CF6">
          <w:pPr>
            <w:rPr>
              <w:szCs w:val="18"/>
            </w:rPr>
          </w:pPr>
          <w:r>
            <w:rPr>
              <w:szCs w:val="18"/>
            </w:rPr>
            <w:t>Datum</w:t>
          </w:r>
        </w:p>
      </w:tc>
      <w:tc>
        <w:tcPr>
          <w:tcW w:w="6620" w:type="dxa"/>
        </w:tcPr>
        <w:p w14:paraId="0AE0B17D" w14:textId="44AD2BBA" w:rsidR="00527BD4" w:rsidRPr="007709EF" w:rsidRDefault="004B59BA" w:rsidP="00A50CF6">
          <w:r>
            <w:t>28 mei 2026</w:t>
          </w:r>
        </w:p>
      </w:tc>
    </w:tr>
    <w:tr w:rsidR="00947E79" w14:paraId="254F7B04" w14:textId="77777777" w:rsidTr="007610AA">
      <w:trPr>
        <w:trHeight w:val="240"/>
      </w:trPr>
      <w:tc>
        <w:tcPr>
          <w:tcW w:w="900" w:type="dxa"/>
        </w:tcPr>
        <w:p w14:paraId="1D92734B" w14:textId="77777777" w:rsidR="00527BD4" w:rsidRPr="007709EF" w:rsidRDefault="00CB578B" w:rsidP="00A50CF6">
          <w:pPr>
            <w:rPr>
              <w:szCs w:val="18"/>
            </w:rPr>
          </w:pPr>
          <w:r>
            <w:rPr>
              <w:szCs w:val="18"/>
            </w:rPr>
            <w:t>Betreft</w:t>
          </w:r>
        </w:p>
      </w:tc>
      <w:tc>
        <w:tcPr>
          <w:tcW w:w="6620" w:type="dxa"/>
        </w:tcPr>
        <w:p w14:paraId="165DBE05" w14:textId="77777777" w:rsidR="00527BD4" w:rsidRPr="007709EF" w:rsidRDefault="00CB578B" w:rsidP="00A50CF6">
          <w:r>
            <w:t>Actuele ontwikkelingen Diepe Ondergrond</w:t>
          </w:r>
        </w:p>
      </w:tc>
    </w:tr>
  </w:tbl>
  <w:p w14:paraId="752F20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44F702">
      <w:start w:val="1"/>
      <w:numFmt w:val="bullet"/>
      <w:pStyle w:val="Lijstopsomteken"/>
      <w:lvlText w:val="•"/>
      <w:lvlJc w:val="left"/>
      <w:pPr>
        <w:tabs>
          <w:tab w:val="num" w:pos="227"/>
        </w:tabs>
        <w:ind w:left="227" w:hanging="227"/>
      </w:pPr>
      <w:rPr>
        <w:rFonts w:ascii="Verdana" w:hAnsi="Verdana" w:hint="default"/>
        <w:sz w:val="18"/>
        <w:szCs w:val="18"/>
      </w:rPr>
    </w:lvl>
    <w:lvl w:ilvl="1" w:tplc="D3D89500" w:tentative="1">
      <w:start w:val="1"/>
      <w:numFmt w:val="bullet"/>
      <w:lvlText w:val="o"/>
      <w:lvlJc w:val="left"/>
      <w:pPr>
        <w:tabs>
          <w:tab w:val="num" w:pos="1440"/>
        </w:tabs>
        <w:ind w:left="1440" w:hanging="360"/>
      </w:pPr>
      <w:rPr>
        <w:rFonts w:ascii="Courier New" w:hAnsi="Courier New" w:cs="Courier New" w:hint="default"/>
      </w:rPr>
    </w:lvl>
    <w:lvl w:ilvl="2" w:tplc="CD2E05FA" w:tentative="1">
      <w:start w:val="1"/>
      <w:numFmt w:val="bullet"/>
      <w:lvlText w:val=""/>
      <w:lvlJc w:val="left"/>
      <w:pPr>
        <w:tabs>
          <w:tab w:val="num" w:pos="2160"/>
        </w:tabs>
        <w:ind w:left="2160" w:hanging="360"/>
      </w:pPr>
      <w:rPr>
        <w:rFonts w:ascii="Wingdings" w:hAnsi="Wingdings" w:hint="default"/>
      </w:rPr>
    </w:lvl>
    <w:lvl w:ilvl="3" w:tplc="C8D2D972" w:tentative="1">
      <w:start w:val="1"/>
      <w:numFmt w:val="bullet"/>
      <w:lvlText w:val=""/>
      <w:lvlJc w:val="left"/>
      <w:pPr>
        <w:tabs>
          <w:tab w:val="num" w:pos="2880"/>
        </w:tabs>
        <w:ind w:left="2880" w:hanging="360"/>
      </w:pPr>
      <w:rPr>
        <w:rFonts w:ascii="Symbol" w:hAnsi="Symbol" w:hint="default"/>
      </w:rPr>
    </w:lvl>
    <w:lvl w:ilvl="4" w:tplc="674A07B4" w:tentative="1">
      <w:start w:val="1"/>
      <w:numFmt w:val="bullet"/>
      <w:lvlText w:val="o"/>
      <w:lvlJc w:val="left"/>
      <w:pPr>
        <w:tabs>
          <w:tab w:val="num" w:pos="3600"/>
        </w:tabs>
        <w:ind w:left="3600" w:hanging="360"/>
      </w:pPr>
      <w:rPr>
        <w:rFonts w:ascii="Courier New" w:hAnsi="Courier New" w:cs="Courier New" w:hint="default"/>
      </w:rPr>
    </w:lvl>
    <w:lvl w:ilvl="5" w:tplc="F63035D4" w:tentative="1">
      <w:start w:val="1"/>
      <w:numFmt w:val="bullet"/>
      <w:lvlText w:val=""/>
      <w:lvlJc w:val="left"/>
      <w:pPr>
        <w:tabs>
          <w:tab w:val="num" w:pos="4320"/>
        </w:tabs>
        <w:ind w:left="4320" w:hanging="360"/>
      </w:pPr>
      <w:rPr>
        <w:rFonts w:ascii="Wingdings" w:hAnsi="Wingdings" w:hint="default"/>
      </w:rPr>
    </w:lvl>
    <w:lvl w:ilvl="6" w:tplc="6C928FEE" w:tentative="1">
      <w:start w:val="1"/>
      <w:numFmt w:val="bullet"/>
      <w:lvlText w:val=""/>
      <w:lvlJc w:val="left"/>
      <w:pPr>
        <w:tabs>
          <w:tab w:val="num" w:pos="5040"/>
        </w:tabs>
        <w:ind w:left="5040" w:hanging="360"/>
      </w:pPr>
      <w:rPr>
        <w:rFonts w:ascii="Symbol" w:hAnsi="Symbol" w:hint="default"/>
      </w:rPr>
    </w:lvl>
    <w:lvl w:ilvl="7" w:tplc="29AAD4A2" w:tentative="1">
      <w:start w:val="1"/>
      <w:numFmt w:val="bullet"/>
      <w:lvlText w:val="o"/>
      <w:lvlJc w:val="left"/>
      <w:pPr>
        <w:tabs>
          <w:tab w:val="num" w:pos="5760"/>
        </w:tabs>
        <w:ind w:left="5760" w:hanging="360"/>
      </w:pPr>
      <w:rPr>
        <w:rFonts w:ascii="Courier New" w:hAnsi="Courier New" w:cs="Courier New" w:hint="default"/>
      </w:rPr>
    </w:lvl>
    <w:lvl w:ilvl="8" w:tplc="DF9A9E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DA225C2">
      <w:start w:val="1"/>
      <w:numFmt w:val="bullet"/>
      <w:pStyle w:val="Lijstopsomteken2"/>
      <w:lvlText w:val="–"/>
      <w:lvlJc w:val="left"/>
      <w:pPr>
        <w:tabs>
          <w:tab w:val="num" w:pos="227"/>
        </w:tabs>
        <w:ind w:left="227" w:firstLine="0"/>
      </w:pPr>
      <w:rPr>
        <w:rFonts w:ascii="Verdana" w:hAnsi="Verdana" w:hint="default"/>
      </w:rPr>
    </w:lvl>
    <w:lvl w:ilvl="1" w:tplc="DC16DAFA" w:tentative="1">
      <w:start w:val="1"/>
      <w:numFmt w:val="bullet"/>
      <w:lvlText w:val="o"/>
      <w:lvlJc w:val="left"/>
      <w:pPr>
        <w:tabs>
          <w:tab w:val="num" w:pos="1440"/>
        </w:tabs>
        <w:ind w:left="1440" w:hanging="360"/>
      </w:pPr>
      <w:rPr>
        <w:rFonts w:ascii="Courier New" w:hAnsi="Courier New" w:cs="Courier New" w:hint="default"/>
      </w:rPr>
    </w:lvl>
    <w:lvl w:ilvl="2" w:tplc="3A60E344" w:tentative="1">
      <w:start w:val="1"/>
      <w:numFmt w:val="bullet"/>
      <w:lvlText w:val=""/>
      <w:lvlJc w:val="left"/>
      <w:pPr>
        <w:tabs>
          <w:tab w:val="num" w:pos="2160"/>
        </w:tabs>
        <w:ind w:left="2160" w:hanging="360"/>
      </w:pPr>
      <w:rPr>
        <w:rFonts w:ascii="Wingdings" w:hAnsi="Wingdings" w:hint="default"/>
      </w:rPr>
    </w:lvl>
    <w:lvl w:ilvl="3" w:tplc="450AECA6" w:tentative="1">
      <w:start w:val="1"/>
      <w:numFmt w:val="bullet"/>
      <w:lvlText w:val=""/>
      <w:lvlJc w:val="left"/>
      <w:pPr>
        <w:tabs>
          <w:tab w:val="num" w:pos="2880"/>
        </w:tabs>
        <w:ind w:left="2880" w:hanging="360"/>
      </w:pPr>
      <w:rPr>
        <w:rFonts w:ascii="Symbol" w:hAnsi="Symbol" w:hint="default"/>
      </w:rPr>
    </w:lvl>
    <w:lvl w:ilvl="4" w:tplc="2584BAD8" w:tentative="1">
      <w:start w:val="1"/>
      <w:numFmt w:val="bullet"/>
      <w:lvlText w:val="o"/>
      <w:lvlJc w:val="left"/>
      <w:pPr>
        <w:tabs>
          <w:tab w:val="num" w:pos="3600"/>
        </w:tabs>
        <w:ind w:left="3600" w:hanging="360"/>
      </w:pPr>
      <w:rPr>
        <w:rFonts w:ascii="Courier New" w:hAnsi="Courier New" w:cs="Courier New" w:hint="default"/>
      </w:rPr>
    </w:lvl>
    <w:lvl w:ilvl="5" w:tplc="6B40076E" w:tentative="1">
      <w:start w:val="1"/>
      <w:numFmt w:val="bullet"/>
      <w:lvlText w:val=""/>
      <w:lvlJc w:val="left"/>
      <w:pPr>
        <w:tabs>
          <w:tab w:val="num" w:pos="4320"/>
        </w:tabs>
        <w:ind w:left="4320" w:hanging="360"/>
      </w:pPr>
      <w:rPr>
        <w:rFonts w:ascii="Wingdings" w:hAnsi="Wingdings" w:hint="default"/>
      </w:rPr>
    </w:lvl>
    <w:lvl w:ilvl="6" w:tplc="8706777E" w:tentative="1">
      <w:start w:val="1"/>
      <w:numFmt w:val="bullet"/>
      <w:lvlText w:val=""/>
      <w:lvlJc w:val="left"/>
      <w:pPr>
        <w:tabs>
          <w:tab w:val="num" w:pos="5040"/>
        </w:tabs>
        <w:ind w:left="5040" w:hanging="360"/>
      </w:pPr>
      <w:rPr>
        <w:rFonts w:ascii="Symbol" w:hAnsi="Symbol" w:hint="default"/>
      </w:rPr>
    </w:lvl>
    <w:lvl w:ilvl="7" w:tplc="ADD6827A" w:tentative="1">
      <w:start w:val="1"/>
      <w:numFmt w:val="bullet"/>
      <w:lvlText w:val="o"/>
      <w:lvlJc w:val="left"/>
      <w:pPr>
        <w:tabs>
          <w:tab w:val="num" w:pos="5760"/>
        </w:tabs>
        <w:ind w:left="5760" w:hanging="360"/>
      </w:pPr>
      <w:rPr>
        <w:rFonts w:ascii="Courier New" w:hAnsi="Courier New" w:cs="Courier New" w:hint="default"/>
      </w:rPr>
    </w:lvl>
    <w:lvl w:ilvl="8" w:tplc="F41A46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8232163">
    <w:abstractNumId w:val="10"/>
  </w:num>
  <w:num w:numId="2" w16cid:durableId="395203242">
    <w:abstractNumId w:val="7"/>
  </w:num>
  <w:num w:numId="3" w16cid:durableId="1872456814">
    <w:abstractNumId w:val="6"/>
  </w:num>
  <w:num w:numId="4" w16cid:durableId="93746525">
    <w:abstractNumId w:val="5"/>
  </w:num>
  <w:num w:numId="5" w16cid:durableId="1278096495">
    <w:abstractNumId w:val="4"/>
  </w:num>
  <w:num w:numId="6" w16cid:durableId="1323586503">
    <w:abstractNumId w:val="8"/>
  </w:num>
  <w:num w:numId="7" w16cid:durableId="1631394146">
    <w:abstractNumId w:val="3"/>
  </w:num>
  <w:num w:numId="8" w16cid:durableId="1710495401">
    <w:abstractNumId w:val="2"/>
  </w:num>
  <w:num w:numId="9" w16cid:durableId="1628318322">
    <w:abstractNumId w:val="1"/>
  </w:num>
  <w:num w:numId="10" w16cid:durableId="2127581554">
    <w:abstractNumId w:val="0"/>
  </w:num>
  <w:num w:numId="11" w16cid:durableId="116922364">
    <w:abstractNumId w:val="9"/>
  </w:num>
  <w:num w:numId="12" w16cid:durableId="1720860099">
    <w:abstractNumId w:val="11"/>
  </w:num>
  <w:num w:numId="13" w16cid:durableId="603656305">
    <w:abstractNumId w:val="13"/>
  </w:num>
  <w:num w:numId="14" w16cid:durableId="3749319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1533"/>
    <w:rsid w:val="00102ABB"/>
    <w:rsid w:val="00114801"/>
    <w:rsid w:val="00121BF0"/>
    <w:rsid w:val="00123704"/>
    <w:rsid w:val="001243DA"/>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17A9"/>
    <w:rsid w:val="00222D66"/>
    <w:rsid w:val="00224A8A"/>
    <w:rsid w:val="002309A8"/>
    <w:rsid w:val="002369BF"/>
    <w:rsid w:val="00236CFE"/>
    <w:rsid w:val="00241D72"/>
    <w:rsid w:val="00242881"/>
    <w:rsid w:val="002428E3"/>
    <w:rsid w:val="00243031"/>
    <w:rsid w:val="00260997"/>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447A"/>
    <w:rsid w:val="002D001A"/>
    <w:rsid w:val="002D28E2"/>
    <w:rsid w:val="002D317B"/>
    <w:rsid w:val="002D3504"/>
    <w:rsid w:val="002D3587"/>
    <w:rsid w:val="002D502D"/>
    <w:rsid w:val="002D5900"/>
    <w:rsid w:val="002E0F69"/>
    <w:rsid w:val="002F5147"/>
    <w:rsid w:val="002F7ABD"/>
    <w:rsid w:val="00312597"/>
    <w:rsid w:val="00327BA5"/>
    <w:rsid w:val="0033326F"/>
    <w:rsid w:val="00334154"/>
    <w:rsid w:val="0033548D"/>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1D38"/>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14B8"/>
    <w:rsid w:val="003E3DD5"/>
    <w:rsid w:val="003F07C6"/>
    <w:rsid w:val="003F1F6B"/>
    <w:rsid w:val="003F3757"/>
    <w:rsid w:val="003F38BD"/>
    <w:rsid w:val="003F44B7"/>
    <w:rsid w:val="003F5364"/>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639C"/>
    <w:rsid w:val="00497279"/>
    <w:rsid w:val="004A163B"/>
    <w:rsid w:val="004A670A"/>
    <w:rsid w:val="004B5465"/>
    <w:rsid w:val="004B59BA"/>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3D26"/>
    <w:rsid w:val="00535BB8"/>
    <w:rsid w:val="00537095"/>
    <w:rsid w:val="005403C8"/>
    <w:rsid w:val="005429DC"/>
    <w:rsid w:val="00543818"/>
    <w:rsid w:val="005565F9"/>
    <w:rsid w:val="00561573"/>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3031"/>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6A4"/>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46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653E8"/>
    <w:rsid w:val="00872271"/>
    <w:rsid w:val="008738B5"/>
    <w:rsid w:val="00883137"/>
    <w:rsid w:val="0089117B"/>
    <w:rsid w:val="00894A3B"/>
    <w:rsid w:val="008A1F5D"/>
    <w:rsid w:val="008A28F5"/>
    <w:rsid w:val="008B1198"/>
    <w:rsid w:val="008B3471"/>
    <w:rsid w:val="008B3929"/>
    <w:rsid w:val="008B4091"/>
    <w:rsid w:val="008B4125"/>
    <w:rsid w:val="008B4CB3"/>
    <w:rsid w:val="008B567B"/>
    <w:rsid w:val="008B58AF"/>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5238"/>
    <w:rsid w:val="00947E79"/>
    <w:rsid w:val="009716D8"/>
    <w:rsid w:val="009718F9"/>
    <w:rsid w:val="00971F42"/>
    <w:rsid w:val="00972FB9"/>
    <w:rsid w:val="00975112"/>
    <w:rsid w:val="00981768"/>
    <w:rsid w:val="00983893"/>
    <w:rsid w:val="00983E8F"/>
    <w:rsid w:val="00983F37"/>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4A9B"/>
    <w:rsid w:val="00A77F6F"/>
    <w:rsid w:val="00A831FD"/>
    <w:rsid w:val="00A83352"/>
    <w:rsid w:val="00A850A2"/>
    <w:rsid w:val="00A91FA3"/>
    <w:rsid w:val="00A927D3"/>
    <w:rsid w:val="00AA7FC9"/>
    <w:rsid w:val="00AB237D"/>
    <w:rsid w:val="00AB5933"/>
    <w:rsid w:val="00AB7B10"/>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01A3"/>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0CF"/>
    <w:rsid w:val="00C011E5"/>
    <w:rsid w:val="00C13AE1"/>
    <w:rsid w:val="00C15A91"/>
    <w:rsid w:val="00C206F1"/>
    <w:rsid w:val="00C217E1"/>
    <w:rsid w:val="00C219B1"/>
    <w:rsid w:val="00C2508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B578B"/>
    <w:rsid w:val="00CC6290"/>
    <w:rsid w:val="00CC6947"/>
    <w:rsid w:val="00CD233D"/>
    <w:rsid w:val="00CD3499"/>
    <w:rsid w:val="00CD362D"/>
    <w:rsid w:val="00CD425F"/>
    <w:rsid w:val="00CD4A96"/>
    <w:rsid w:val="00CE101D"/>
    <w:rsid w:val="00CE1814"/>
    <w:rsid w:val="00CE1A95"/>
    <w:rsid w:val="00CE1C84"/>
    <w:rsid w:val="00CE4F5E"/>
    <w:rsid w:val="00CE5055"/>
    <w:rsid w:val="00CF053F"/>
    <w:rsid w:val="00CF1A17"/>
    <w:rsid w:val="00CF65AC"/>
    <w:rsid w:val="00D0375A"/>
    <w:rsid w:val="00D0609E"/>
    <w:rsid w:val="00D078E1"/>
    <w:rsid w:val="00D100E9"/>
    <w:rsid w:val="00D15470"/>
    <w:rsid w:val="00D17942"/>
    <w:rsid w:val="00D21E4B"/>
    <w:rsid w:val="00D22441"/>
    <w:rsid w:val="00D23522"/>
    <w:rsid w:val="00D264D6"/>
    <w:rsid w:val="00D32F78"/>
    <w:rsid w:val="00D33BF0"/>
    <w:rsid w:val="00D33DE0"/>
    <w:rsid w:val="00D36447"/>
    <w:rsid w:val="00D516BE"/>
    <w:rsid w:val="00D51A0D"/>
    <w:rsid w:val="00D5423B"/>
    <w:rsid w:val="00D54E6A"/>
    <w:rsid w:val="00D54F4E"/>
    <w:rsid w:val="00D56E01"/>
    <w:rsid w:val="00D57A56"/>
    <w:rsid w:val="00D604B3"/>
    <w:rsid w:val="00D60BA4"/>
    <w:rsid w:val="00D62419"/>
    <w:rsid w:val="00D66839"/>
    <w:rsid w:val="00D72E10"/>
    <w:rsid w:val="00D77870"/>
    <w:rsid w:val="00D80977"/>
    <w:rsid w:val="00D80CCE"/>
    <w:rsid w:val="00D86EEA"/>
    <w:rsid w:val="00D87D03"/>
    <w:rsid w:val="00D9360B"/>
    <w:rsid w:val="00D95C88"/>
    <w:rsid w:val="00D96981"/>
    <w:rsid w:val="00D97B2E"/>
    <w:rsid w:val="00DA241E"/>
    <w:rsid w:val="00DB36FE"/>
    <w:rsid w:val="00DB533A"/>
    <w:rsid w:val="00DB60AE"/>
    <w:rsid w:val="00DB6307"/>
    <w:rsid w:val="00DD1DCD"/>
    <w:rsid w:val="00DD338F"/>
    <w:rsid w:val="00DD66F2"/>
    <w:rsid w:val="00DE3FE0"/>
    <w:rsid w:val="00DE578A"/>
    <w:rsid w:val="00DF2583"/>
    <w:rsid w:val="00DF54D9"/>
    <w:rsid w:val="00DF5EC6"/>
    <w:rsid w:val="00DF7283"/>
    <w:rsid w:val="00E01A59"/>
    <w:rsid w:val="00E10DC6"/>
    <w:rsid w:val="00E11F8E"/>
    <w:rsid w:val="00E15881"/>
    <w:rsid w:val="00E16A8F"/>
    <w:rsid w:val="00E21DE3"/>
    <w:rsid w:val="00E273C5"/>
    <w:rsid w:val="00E307D1"/>
    <w:rsid w:val="00E35A76"/>
    <w:rsid w:val="00E3731D"/>
    <w:rsid w:val="00E51469"/>
    <w:rsid w:val="00E634E3"/>
    <w:rsid w:val="00E717C4"/>
    <w:rsid w:val="00E758FD"/>
    <w:rsid w:val="00E77E18"/>
    <w:rsid w:val="00E77F89"/>
    <w:rsid w:val="00E80330"/>
    <w:rsid w:val="00E806C5"/>
    <w:rsid w:val="00E80E71"/>
    <w:rsid w:val="00E84DD4"/>
    <w:rsid w:val="00E850D3"/>
    <w:rsid w:val="00E853D6"/>
    <w:rsid w:val="00E870C4"/>
    <w:rsid w:val="00E875F5"/>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7644"/>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41FF"/>
    <w:rsid w:val="00F75603"/>
    <w:rsid w:val="00F77D66"/>
    <w:rsid w:val="00F845B4"/>
    <w:rsid w:val="00F8713B"/>
    <w:rsid w:val="00F93F9E"/>
    <w:rsid w:val="00FA2CD7"/>
    <w:rsid w:val="00FB06ED"/>
    <w:rsid w:val="00FC2311"/>
    <w:rsid w:val="00FC3165"/>
    <w:rsid w:val="00FC36AB"/>
    <w:rsid w:val="00FC4300"/>
    <w:rsid w:val="00FC5C1F"/>
    <w:rsid w:val="00FC7F66"/>
    <w:rsid w:val="00FD5776"/>
    <w:rsid w:val="00FE1CB6"/>
    <w:rsid w:val="00FE486B"/>
    <w:rsid w:val="00FE4F08"/>
    <w:rsid w:val="00FF192E"/>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E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33D26"/>
    <w:rPr>
      <w:vertAlign w:val="superscript"/>
    </w:rPr>
  </w:style>
  <w:style w:type="character" w:styleId="Verwijzingopmerking">
    <w:name w:val="annotation reference"/>
    <w:basedOn w:val="Standaardalinea-lettertype"/>
    <w:semiHidden/>
    <w:unhideWhenUsed/>
    <w:rsid w:val="00533D26"/>
    <w:rPr>
      <w:sz w:val="16"/>
      <w:szCs w:val="16"/>
    </w:rPr>
  </w:style>
  <w:style w:type="character" w:styleId="Onopgelostemelding">
    <w:name w:val="Unresolved Mention"/>
    <w:basedOn w:val="Standaardalinea-lettertype"/>
    <w:uiPriority w:val="99"/>
    <w:semiHidden/>
    <w:unhideWhenUsed/>
    <w:rsid w:val="00D96981"/>
    <w:rPr>
      <w:color w:val="605E5C"/>
      <w:shd w:val="clear" w:color="auto" w:fill="E1DFDD"/>
    </w:rPr>
  </w:style>
  <w:style w:type="paragraph" w:styleId="Tekstopmerking">
    <w:name w:val="annotation text"/>
    <w:basedOn w:val="Standaard"/>
    <w:link w:val="TekstopmerkingChar"/>
    <w:unhideWhenUsed/>
    <w:rsid w:val="00DF5EC6"/>
    <w:pPr>
      <w:spacing w:line="240" w:lineRule="auto"/>
    </w:pPr>
    <w:rPr>
      <w:sz w:val="20"/>
      <w:szCs w:val="20"/>
    </w:rPr>
  </w:style>
  <w:style w:type="character" w:customStyle="1" w:styleId="TekstopmerkingChar">
    <w:name w:val="Tekst opmerking Char"/>
    <w:basedOn w:val="Standaardalinea-lettertype"/>
    <w:link w:val="Tekstopmerking"/>
    <w:rsid w:val="00DF5EC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F5EC6"/>
    <w:rPr>
      <w:b/>
      <w:bCs/>
    </w:rPr>
  </w:style>
  <w:style w:type="character" w:customStyle="1" w:styleId="OnderwerpvanopmerkingChar">
    <w:name w:val="Onderwerp van opmerking Char"/>
    <w:basedOn w:val="TekstopmerkingChar"/>
    <w:link w:val="Onderwerpvanopmerking"/>
    <w:semiHidden/>
    <w:rsid w:val="00DF5EC6"/>
    <w:rPr>
      <w:rFonts w:ascii="Verdana" w:hAnsi="Verdana"/>
      <w:b/>
      <w:bCs/>
      <w:lang w:val="nl-NL" w:eastAsia="nl-NL"/>
    </w:rPr>
  </w:style>
  <w:style w:type="paragraph" w:styleId="Revisie">
    <w:name w:val="Revision"/>
    <w:hidden/>
    <w:uiPriority w:val="99"/>
    <w:semiHidden/>
    <w:rsid w:val="002217A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1300</ap:Words>
  <ap:Characters>7933</ap:Characters>
  <ap:DocSecurity>0</ap:DocSecurity>
  <ap:Lines>66</ap:Lines>
  <ap:Paragraphs>18</ap:Paragraphs>
  <ap:ScaleCrop>false</ap:ScaleCrop>
  <ap:LinksUpToDate>false</ap:LinksUpToDate>
  <ap:CharactersWithSpaces>9215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2026-05-28T14:11:00.0000000Z</dcterms:created>
  <dcterms:modified xsi:type="dcterms:W3CDTF">2026-05-28T14:12:00.0000000Z</dcterms:modified>
  <dc:description>------------------------</dc:description>
  <dc:subject/>
  <keywords/>
  <version/>
  <category/>
</coreProperties>
</file>