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7554B0DA" w14:textId="77777777"/>
    <w:p w:rsidR="00B824BA" w:rsidP="00810C93" w:rsidRDefault="00C91672" w14:paraId="4D1189B7" w14:textId="77777777">
      <w:r>
        <w:t>Geachte Voorzitter,</w:t>
      </w:r>
    </w:p>
    <w:p w:rsidR="00D15779" w:rsidP="00810C93" w:rsidRDefault="00D15779" w14:paraId="34DD0853" w14:textId="77777777"/>
    <w:p w:rsidRPr="00FD5DEA" w:rsidR="00A051D3" w:rsidP="00A051D3" w:rsidRDefault="00A051D3" w14:paraId="21E347FA" w14:textId="77777777">
      <w:r w:rsidRPr="00FD5DEA">
        <w:t xml:space="preserve">Hierbij bied ik u het toetsingskader aan voor een garantie op de verlenging van de drijvende LNG-terminal in de Eemshaven. EET B.V. – een gezamenlijke onderneming van </w:t>
      </w:r>
      <w:proofErr w:type="spellStart"/>
      <w:r w:rsidRPr="00FD5DEA">
        <w:t>Gasunie</w:t>
      </w:r>
      <w:proofErr w:type="spellEnd"/>
      <w:r w:rsidRPr="00FD5DEA">
        <w:t xml:space="preserve"> en Vopak – heeft mij verzocht om een garantie te verlenen voor het dekken van een deel van de risico’s in het verlengingstraject van de EET LNG-terminal. Deze terminal speelt een cruciale rol in de Nederlandse gasleveringszekerheid. Gegeven de uitzonderlijke situatie in de markt door de crisis in het Midden-Oosten en vanuit het belang van leveringszekerheid, is het noodzakelijk om de EET terminal operationeel te houden. Hieronder wordt toegelicht waarom dit verzoek speelt, wat de risico’s zijn en hoe het kabinet hiermee omgaat.</w:t>
      </w:r>
    </w:p>
    <w:p w:rsidR="00A051D3" w:rsidP="00A051D3" w:rsidRDefault="00A051D3" w14:paraId="274CFA51" w14:textId="77777777">
      <w:pPr>
        <w:rPr>
          <w:b/>
          <w:bCs/>
        </w:rPr>
      </w:pPr>
    </w:p>
    <w:p w:rsidRPr="00FD5DEA" w:rsidR="00A051D3" w:rsidP="00A051D3" w:rsidRDefault="00A051D3" w14:paraId="4F2BCD9E" w14:textId="10788046">
      <w:r w:rsidRPr="20A5941F">
        <w:rPr>
          <w:b/>
          <w:bCs/>
        </w:rPr>
        <w:t>Rol van de EET-terminal</w:t>
      </w:r>
      <w:r>
        <w:br/>
      </w:r>
      <w:r w:rsidRPr="00FD5DEA">
        <w:t>De EET-terminal in de Eemshaven is in 2022 met spoed voor tijdelijk gebruik gebouwd om tijdens de toenmalige energiecrisis de leveringszekerheid te borgen. De terminal is operationeel tot september 2027. Het kabinet vindt het onder de huidige omstandigheden noodzakelijk om de LNG-importcapaciteit op peil te houden. Behoud van EET na september 2027 is daarvoor noodzakelijk. Er wordt nu gewerkt aan verlenging tot 1 november 2036. EET heeft momenteel een capaciteit van 8 miljard kubieke meter per jaar (BCMA), wat overeenkomt met circa een kwart van het jaarlijkse Nederlandse gasverbruik</w:t>
      </w:r>
      <w:r w:rsidRPr="00CA33AE">
        <w:t>. Ook GTS heeft aangegeven dat verlenging van de terminal essentieel is voor de gasleveringszekerheid. De beoogde nieuwe terminal krijgt</w:t>
      </w:r>
      <w:r w:rsidRPr="00FD5DEA">
        <w:t xml:space="preserve"> een capaciteit van 8,6</w:t>
      </w:r>
      <w:r w:rsidR="00EA495F">
        <w:t> </w:t>
      </w:r>
      <w:r w:rsidRPr="00FD5DEA">
        <w:t xml:space="preserve">BCMA, waarvan tot nu toe de helft is verkocht. </w:t>
      </w:r>
    </w:p>
    <w:p w:rsidRPr="00B025D1" w:rsidR="00A051D3" w:rsidP="00A051D3" w:rsidRDefault="00A051D3" w14:paraId="5E7BF838" w14:textId="77777777"/>
    <w:p w:rsidRPr="00B025D1" w:rsidR="00A051D3" w:rsidP="00A051D3" w:rsidRDefault="00A051D3" w14:paraId="54EE63AB" w14:textId="2BA16ACB">
      <w:r>
        <w:rPr>
          <w:b/>
          <w:bCs/>
        </w:rPr>
        <w:t>R</w:t>
      </w:r>
      <w:r w:rsidRPr="20A5941F">
        <w:rPr>
          <w:b/>
          <w:bCs/>
        </w:rPr>
        <w:t>isico’s en garantieverzoek</w:t>
      </w:r>
      <w:r>
        <w:br/>
      </w:r>
      <w:r w:rsidRPr="00FD5DEA">
        <w:t xml:space="preserve">Om de “Ready </w:t>
      </w:r>
      <w:proofErr w:type="spellStart"/>
      <w:r w:rsidRPr="00FD5DEA">
        <w:t>for</w:t>
      </w:r>
      <w:proofErr w:type="spellEnd"/>
      <w:r w:rsidRPr="00FD5DEA">
        <w:t xml:space="preserve"> </w:t>
      </w:r>
      <w:proofErr w:type="spellStart"/>
      <w:r w:rsidRPr="00FD5DEA">
        <w:t>Operation</w:t>
      </w:r>
      <w:proofErr w:type="spellEnd"/>
      <w:r w:rsidRPr="00FD5DEA">
        <w:t>”</w:t>
      </w:r>
      <w:r>
        <w:t xml:space="preserve"> (</w:t>
      </w:r>
      <w:proofErr w:type="spellStart"/>
      <w:r>
        <w:t>RfO</w:t>
      </w:r>
      <w:proofErr w:type="spellEnd"/>
      <w:r>
        <w:t xml:space="preserve">) </w:t>
      </w:r>
      <w:r w:rsidRPr="00FD5DEA">
        <w:t>-datum van 1 juni 2028 in beeld te houden, moet EET uiterlijk 31 mei 2026 (</w:t>
      </w:r>
      <w:r w:rsidRPr="006E7284">
        <w:rPr>
          <w:i/>
          <w:iCs/>
        </w:rPr>
        <w:t>de uiterlijke</w:t>
      </w:r>
      <w:r w:rsidRPr="00FD5DEA">
        <w:t xml:space="preserve"> </w:t>
      </w:r>
      <w:r w:rsidRPr="00FD5DEA">
        <w:rPr>
          <w:i/>
          <w:iCs/>
        </w:rPr>
        <w:t>datum voor het conditionele investeringsbesluit</w:t>
      </w:r>
      <w:r w:rsidRPr="00FD5DEA">
        <w:t>) grote financiële verplichtingen aangaan bij de eigenaar van de invoer- en LNG-</w:t>
      </w:r>
      <w:proofErr w:type="spellStart"/>
      <w:r w:rsidRPr="00FD5DEA">
        <w:t>hervergassingsschepen</w:t>
      </w:r>
      <w:proofErr w:type="spellEnd"/>
      <w:r w:rsidRPr="00FD5DEA">
        <w:t>. Door recente ontwikkelingen</w:t>
      </w:r>
      <w:r>
        <w:t xml:space="preserve"> in het Midden-Oosten en de impact hiervan op de energiemarkten </w:t>
      </w:r>
      <w:r w:rsidRPr="00FD5DEA">
        <w:t xml:space="preserve">is de onzekerheid in de markt aanzienlijk toegenomen. Daardoor zijn marktpartijen momenteel voorzichtig in het aangaan van lange termijn verplichtingen voor het afnemen van nieuwe importcapaciteit. </w:t>
      </w:r>
      <w:r>
        <w:t xml:space="preserve">Mede vanwege deze ontwikkelingen </w:t>
      </w:r>
      <w:r w:rsidRPr="00FD5DEA">
        <w:t xml:space="preserve">ziet EET zich </w:t>
      </w:r>
      <w:r w:rsidRPr="00FD5DEA">
        <w:lastRenderedPageBreak/>
        <w:t xml:space="preserve">geconfronteerd met </w:t>
      </w:r>
      <w:r>
        <w:t xml:space="preserve">teveel </w:t>
      </w:r>
      <w:r w:rsidRPr="00FD5DEA">
        <w:t>extra risico</w:t>
      </w:r>
      <w:r>
        <w:t>’</w:t>
      </w:r>
      <w:r w:rsidRPr="00FD5DEA">
        <w:t>s</w:t>
      </w:r>
      <w:r>
        <w:t xml:space="preserve"> om een tijdig conditioneel investeringsbesluit te kunnen nemen (en daarmee de beoogde </w:t>
      </w:r>
      <w:proofErr w:type="spellStart"/>
      <w:r>
        <w:t>RfO</w:t>
      </w:r>
      <w:proofErr w:type="spellEnd"/>
      <w:r>
        <w:t xml:space="preserve"> datum in beeld te houden)</w:t>
      </w:r>
      <w:r w:rsidRPr="00FD5DEA">
        <w:t xml:space="preserve">. EET vraagt daarom een garantie van €90 miljoen. Met deze garantie wordt een deel van het resterende (commerciële) risico gedekt tot aan de datum waarop de definitieve investeringsbeslissing wordt genomen (beoogd op 15 maart 2027). EET blijft volledig verantwoordelijk voor het verkrijgen van de vergunning en de commerciële uitrol, inclusief het actief </w:t>
      </w:r>
      <w:proofErr w:type="spellStart"/>
      <w:r w:rsidRPr="00FD5DEA">
        <w:t>vermarkten</w:t>
      </w:r>
      <w:proofErr w:type="spellEnd"/>
      <w:r w:rsidRPr="00FD5DEA">
        <w:t xml:space="preserve"> van de capaciteit. EET neemt daarmee zelf het grootste deel van de projectrisico’s voor haar rekening. Dit waarborgt doelmatigheid en voorkomt belemmering van marktwerking</w:t>
      </w:r>
      <w:r w:rsidRPr="00F5639E">
        <w:t xml:space="preserve">. De garantie </w:t>
      </w:r>
      <w:r w:rsidRPr="005776B3">
        <w:t xml:space="preserve">is </w:t>
      </w:r>
      <w:r w:rsidRPr="00F5639E">
        <w:t>budgettair verwerkt middels een Nota van Wijziging</w:t>
      </w:r>
      <w:r>
        <w:t xml:space="preserve"> (</w:t>
      </w:r>
      <w:r w:rsidRPr="00F5639E">
        <w:t>39615-XXIII-6</w:t>
      </w:r>
      <w:r>
        <w:t>)</w:t>
      </w:r>
      <w:r w:rsidRPr="00F5639E">
        <w:t xml:space="preserve"> op de begroting van KGG.</w:t>
      </w:r>
      <w:r w:rsidRPr="00FD5DEA">
        <w:t xml:space="preserve"> </w:t>
      </w:r>
      <w:r>
        <w:t>Deze is 22 mei naar uw Kamer verstuurd.</w:t>
      </w:r>
    </w:p>
    <w:p w:rsidRPr="00B025D1" w:rsidR="00A051D3" w:rsidP="00A051D3" w:rsidRDefault="00A051D3" w14:paraId="58728377" w14:textId="77777777"/>
    <w:p w:rsidRPr="00F26C98" w:rsidR="00A051D3" w:rsidP="00A051D3" w:rsidRDefault="00A051D3" w14:paraId="3C2A5F19" w14:textId="77777777">
      <w:r w:rsidRPr="20A5941F">
        <w:rPr>
          <w:b/>
          <w:bCs/>
        </w:rPr>
        <w:t xml:space="preserve">Voorwaarden en </w:t>
      </w:r>
      <w:proofErr w:type="spellStart"/>
      <w:r w:rsidRPr="20A5941F">
        <w:rPr>
          <w:b/>
          <w:bCs/>
        </w:rPr>
        <w:t>claw</w:t>
      </w:r>
      <w:proofErr w:type="spellEnd"/>
      <w:r w:rsidRPr="20A5941F">
        <w:rPr>
          <w:b/>
          <w:bCs/>
        </w:rPr>
        <w:t>-back principe</w:t>
      </w:r>
      <w:r>
        <w:br/>
      </w:r>
      <w:r w:rsidRPr="00F26C98">
        <w:t xml:space="preserve">De garantie is tijdelijk en vervalt als EET vóór 15 maart 2027 de gedekte risico’s voldoende heeft gemitigeerd. Mocht de garantie worden uitgekeerd, maar EET na 15 maart 2027 alsnog de gedekte risico’s voldoende kan mitigeren, dan wordt de garantie via een </w:t>
      </w:r>
      <w:proofErr w:type="spellStart"/>
      <w:r w:rsidRPr="00F26C98">
        <w:rPr>
          <w:i/>
          <w:iCs/>
        </w:rPr>
        <w:t>claw</w:t>
      </w:r>
      <w:proofErr w:type="spellEnd"/>
      <w:r w:rsidRPr="00F26C98">
        <w:rPr>
          <w:i/>
          <w:iCs/>
        </w:rPr>
        <w:t>-back principe</w:t>
      </w:r>
      <w:r w:rsidRPr="00F26C98">
        <w:t xml:space="preserve"> verrekend. Dit betekent dat de Staat (een deel van) de uitgekeerde garantie terugkrijgt, afhankelijk van de </w:t>
      </w:r>
      <w:r w:rsidRPr="00F26C98" w:rsidDel="008730AC">
        <w:t>opbrengsten uit latere capaciteitsverkopen</w:t>
      </w:r>
      <w:r w:rsidRPr="00F26C98">
        <w:t xml:space="preserve"> in de operationele periode. Hiermee wordt voorkomen dat de Staat overcompenseert. Op basis van de reeds gecontracteerde capaciteit, marktsignalen en actuele verwachtingen wordt ingeschat dat de door de staat gedekte risico’s vóór 15 maart 2027 voldoende kunnen worden gemitigeerd. De kans dat de garantie daadwerkelijk wordt ingeroepen, wordt daarom gering geacht.</w:t>
      </w:r>
    </w:p>
    <w:p w:rsidRPr="00B025D1" w:rsidR="00A051D3" w:rsidP="00A051D3" w:rsidRDefault="00A051D3" w14:paraId="408F0704" w14:textId="77777777"/>
    <w:p w:rsidR="00A051D3" w:rsidP="00A051D3" w:rsidRDefault="00A051D3" w14:paraId="4A0D027D" w14:textId="77777777">
      <w:pPr>
        <w:rPr>
          <w:b/>
          <w:bCs/>
        </w:rPr>
      </w:pPr>
      <w:r>
        <w:rPr>
          <w:b/>
          <w:bCs/>
        </w:rPr>
        <w:t>Tot slot en vervolg</w:t>
      </w:r>
    </w:p>
    <w:p w:rsidRPr="00B025D1" w:rsidR="00A051D3" w:rsidP="00A051D3" w:rsidRDefault="00A051D3" w14:paraId="70254DAC" w14:textId="77777777">
      <w:r>
        <w:t>Het kabinet</w:t>
      </w:r>
      <w:r w:rsidRPr="00B025D1">
        <w:t xml:space="preserve"> onderkent het belang van de EET-terminal voor de gasleveringszekerheid en de uitdagingen in de huidige LNG-markt. Tegelijkertijd wordt zorgvuldig afgewogen hoe publiek geld wordt ingezet voor</w:t>
      </w:r>
      <w:r>
        <w:t xml:space="preserve"> het dekken van (</w:t>
      </w:r>
      <w:r w:rsidRPr="00B025D1">
        <w:t>commerciële</w:t>
      </w:r>
      <w:r>
        <w:t>)</w:t>
      </w:r>
      <w:r w:rsidRPr="00B025D1">
        <w:t xml:space="preserve"> risico’s. </w:t>
      </w:r>
      <w:r>
        <w:t>Gegeven de uitzonderlijke situatie in de markt is d</w:t>
      </w:r>
      <w:r w:rsidRPr="00B025D1">
        <w:t>e voorgestelde garantie proportioneel, tijdelijk en voorzien van waarborgen (</w:t>
      </w:r>
      <w:proofErr w:type="spellStart"/>
      <w:r w:rsidRPr="00B025D1">
        <w:t>claw</w:t>
      </w:r>
      <w:proofErr w:type="spellEnd"/>
      <w:r w:rsidRPr="00B025D1">
        <w:t>-back) om overcompensatie te voorkomen.</w:t>
      </w:r>
    </w:p>
    <w:p w:rsidR="00A051D3" w:rsidP="00A051D3" w:rsidRDefault="00A051D3" w14:paraId="6221BEA3" w14:textId="77777777">
      <w:r w:rsidRPr="00B025D1">
        <w:br/>
      </w:r>
      <w:r>
        <w:t>Ik</w:t>
      </w:r>
      <w:r w:rsidRPr="00B025D1">
        <w:t xml:space="preserve"> zal </w:t>
      </w:r>
      <w:r>
        <w:t>uw</w:t>
      </w:r>
      <w:r w:rsidRPr="00B025D1">
        <w:t xml:space="preserve"> Kamer op de hoogte houden van de ontwikkelingen rondom de EET-terminal en het garantieverzoek</w:t>
      </w:r>
      <w:r>
        <w:t xml:space="preserve"> via de reguliere voortgangsbrieven op de gasleveringszekerheid</w:t>
      </w:r>
      <w:r w:rsidRPr="00B025D1">
        <w:t xml:space="preserve">. </w:t>
      </w:r>
    </w:p>
    <w:p w:rsidR="00B80207" w:rsidP="00B80207" w:rsidRDefault="00B80207" w14:paraId="6FF5E357" w14:textId="270264D7"/>
    <w:p w:rsidR="00D15779" w:rsidP="00810C93" w:rsidRDefault="00D15779" w14:paraId="59EB6EA1" w14:textId="77777777"/>
    <w:p w:rsidR="00D15779" w:rsidP="00810C93" w:rsidRDefault="00D15779" w14:paraId="37FFFC18" w14:textId="77777777"/>
    <w:p w:rsidRPr="005C65B5" w:rsidR="00C90702" w:rsidP="007F510A" w:rsidRDefault="00C90702" w14:paraId="3BA9C627" w14:textId="77777777"/>
    <w:p w:rsidRPr="005C65B5" w:rsidR="00C90702" w:rsidP="007F510A" w:rsidRDefault="00C90702" w14:paraId="7B23A300" w14:textId="77777777"/>
    <w:p w:rsidRPr="00B80207" w:rsidR="00B80207" w:rsidP="00B80207" w:rsidRDefault="00B80207" w14:paraId="0CB980E2" w14:textId="77777777">
      <w:pPr>
        <w:rPr>
          <w:szCs w:val="18"/>
        </w:rPr>
      </w:pPr>
      <w:proofErr w:type="spellStart"/>
      <w:r w:rsidRPr="00B80207">
        <w:rPr>
          <w:szCs w:val="18"/>
        </w:rPr>
        <w:t>Stientje</w:t>
      </w:r>
      <w:proofErr w:type="spellEnd"/>
      <w:r w:rsidRPr="00B80207">
        <w:rPr>
          <w:szCs w:val="18"/>
        </w:rPr>
        <w:t xml:space="preserve"> van Veldhoven-van der Meer </w:t>
      </w:r>
    </w:p>
    <w:p w:rsidRPr="00012B4F" w:rsidR="004E505E" w:rsidP="00B80207" w:rsidRDefault="00B80207" w14:paraId="786D3438" w14:textId="583FEF57">
      <w:r w:rsidRPr="00B80207">
        <w:rPr>
          <w:szCs w:val="18"/>
        </w:rPr>
        <w:t>Minister van Klimaat en Groene Groei</w:t>
      </w:r>
    </w:p>
    <w:sectPr w:rsidRPr="00012B4F"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7CC9" w14:textId="77777777" w:rsidR="000170B2" w:rsidRDefault="000170B2">
      <w:r>
        <w:separator/>
      </w:r>
    </w:p>
    <w:p w14:paraId="7301272C" w14:textId="77777777" w:rsidR="000170B2" w:rsidRDefault="000170B2"/>
  </w:endnote>
  <w:endnote w:type="continuationSeparator" w:id="0">
    <w:p w14:paraId="18553B89" w14:textId="77777777" w:rsidR="000170B2" w:rsidRDefault="000170B2">
      <w:r>
        <w:continuationSeparator/>
      </w:r>
    </w:p>
    <w:p w14:paraId="18D9B0C4" w14:textId="77777777" w:rsidR="000170B2" w:rsidRDefault="00017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15F0" w14:textId="6BBACAB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C0039D" w14:paraId="596641F0" w14:textId="77777777" w:rsidTr="006D1737">
      <w:trPr>
        <w:trHeight w:hRule="exact" w:val="240"/>
      </w:trPr>
      <w:tc>
        <w:tcPr>
          <w:tcW w:w="7601" w:type="dxa"/>
        </w:tcPr>
        <w:p w14:paraId="53C061D7" w14:textId="77777777" w:rsidR="006D1737" w:rsidRDefault="006D1737" w:rsidP="006D1737">
          <w:pPr>
            <w:pStyle w:val="Huisstijl-Rubricering"/>
          </w:pPr>
        </w:p>
      </w:tc>
      <w:tc>
        <w:tcPr>
          <w:tcW w:w="2156" w:type="dxa"/>
        </w:tcPr>
        <w:p w14:paraId="16766427" w14:textId="75F76875" w:rsidR="006D1737" w:rsidRPr="00645414" w:rsidRDefault="00C91672"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t>2</w:t>
          </w:r>
          <w:r w:rsidR="00D72F45">
            <w:fldChar w:fldCharType="end"/>
          </w:r>
          <w:r w:rsidRPr="00ED539E">
            <w:t xml:space="preserve"> </w:t>
          </w:r>
        </w:p>
      </w:tc>
      <w:tc>
        <w:tcPr>
          <w:tcW w:w="2156" w:type="dxa"/>
        </w:tcPr>
        <w:p w14:paraId="56ECE6FC" w14:textId="77777777" w:rsidR="006D1737" w:rsidRPr="00645414" w:rsidRDefault="00C91672" w:rsidP="006D1737">
          <w:pPr>
            <w:pStyle w:val="Huisstijl-Paginanummering"/>
          </w:pPr>
          <w:r w:rsidRPr="00645414">
            <w:t xml:space="preserve"> </w:t>
          </w:r>
        </w:p>
      </w:tc>
    </w:tr>
  </w:tbl>
  <w:p w14:paraId="42FC7FB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0039D" w14:paraId="1F6FC99D" w14:textId="77777777" w:rsidTr="00CA6A25">
      <w:trPr>
        <w:trHeight w:hRule="exact" w:val="240"/>
      </w:trPr>
      <w:tc>
        <w:tcPr>
          <w:tcW w:w="7601" w:type="dxa"/>
        </w:tcPr>
        <w:p w14:paraId="05AD8A22" w14:textId="1B0A0DA9" w:rsidR="00527BD4" w:rsidRDefault="00527BD4" w:rsidP="008C356D">
          <w:pPr>
            <w:pStyle w:val="Huisstijl-Rubricering"/>
          </w:pPr>
        </w:p>
      </w:tc>
      <w:tc>
        <w:tcPr>
          <w:tcW w:w="2170" w:type="dxa"/>
        </w:tcPr>
        <w:p w14:paraId="6D98F159" w14:textId="2F38788C" w:rsidR="00527BD4" w:rsidRPr="00ED539E" w:rsidRDefault="00C91672"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t>2</w:t>
          </w:r>
          <w:r w:rsidR="004B0F05">
            <w:fldChar w:fldCharType="end"/>
          </w:r>
        </w:p>
      </w:tc>
    </w:tr>
  </w:tbl>
  <w:p w14:paraId="1E963D44" w14:textId="77777777" w:rsidR="00527BD4" w:rsidRPr="00BC3B53" w:rsidRDefault="00527BD4" w:rsidP="008C356D">
    <w:pPr>
      <w:pStyle w:val="Voettekst"/>
      <w:spacing w:line="240" w:lineRule="auto"/>
      <w:rPr>
        <w:sz w:val="2"/>
        <w:szCs w:val="2"/>
      </w:rPr>
    </w:pPr>
  </w:p>
  <w:p w14:paraId="04B91A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84EB" w14:textId="77777777" w:rsidR="000170B2" w:rsidRDefault="000170B2">
      <w:r>
        <w:separator/>
      </w:r>
    </w:p>
    <w:p w14:paraId="3A72E48B" w14:textId="77777777" w:rsidR="000170B2" w:rsidRDefault="000170B2"/>
  </w:footnote>
  <w:footnote w:type="continuationSeparator" w:id="0">
    <w:p w14:paraId="465A29F1" w14:textId="77777777" w:rsidR="000170B2" w:rsidRDefault="000170B2">
      <w:r>
        <w:continuationSeparator/>
      </w:r>
    </w:p>
    <w:p w14:paraId="0C07ED41" w14:textId="77777777" w:rsidR="000170B2" w:rsidRDefault="00017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0039D" w14:paraId="4B7305D5" w14:textId="77777777" w:rsidTr="00A50CF6">
      <w:tc>
        <w:tcPr>
          <w:tcW w:w="2156" w:type="dxa"/>
        </w:tcPr>
        <w:p w14:paraId="181A7E7B" w14:textId="77777777" w:rsidR="00527BD4" w:rsidRPr="00624D22" w:rsidRDefault="00C91672" w:rsidP="00A50CF6">
          <w:pPr>
            <w:pStyle w:val="Huisstijl-Adres"/>
            <w:rPr>
              <w:b/>
            </w:rPr>
          </w:pPr>
          <w:r>
            <w:rPr>
              <w:b/>
            </w:rPr>
            <w:t>Directoraat-generaal Klimaat en Energie</w:t>
          </w:r>
        </w:p>
      </w:tc>
    </w:tr>
    <w:tr w:rsidR="00C0039D" w14:paraId="00F5E6C6" w14:textId="77777777" w:rsidTr="00A50CF6">
      <w:trPr>
        <w:trHeight w:hRule="exact" w:val="200"/>
      </w:trPr>
      <w:tc>
        <w:tcPr>
          <w:tcW w:w="2156" w:type="dxa"/>
        </w:tcPr>
        <w:p w14:paraId="16B38B5B" w14:textId="77777777" w:rsidR="00527BD4" w:rsidRPr="005819CE" w:rsidRDefault="00527BD4" w:rsidP="00A50CF6"/>
      </w:tc>
    </w:tr>
    <w:tr w:rsidR="00C0039D" w14:paraId="15D0CD5F" w14:textId="77777777" w:rsidTr="00502512">
      <w:trPr>
        <w:trHeight w:hRule="exact" w:val="774"/>
      </w:trPr>
      <w:tc>
        <w:tcPr>
          <w:tcW w:w="2156" w:type="dxa"/>
        </w:tcPr>
        <w:p w14:paraId="74A2DCB2" w14:textId="77777777" w:rsidR="00527BD4" w:rsidRDefault="00527BD4" w:rsidP="003A5290">
          <w:pPr>
            <w:pStyle w:val="Huisstijl-Kopje"/>
          </w:pPr>
        </w:p>
        <w:p w14:paraId="26F97D4C" w14:textId="77777777" w:rsidR="00502512" w:rsidRPr="00502512" w:rsidRDefault="00C91672" w:rsidP="003A5290">
          <w:pPr>
            <w:pStyle w:val="Huisstijl-Kopje"/>
            <w:rPr>
              <w:b w:val="0"/>
            </w:rPr>
          </w:pPr>
          <w:r>
            <w:rPr>
              <w:b w:val="0"/>
            </w:rPr>
            <w:t>KGG_DGKE</w:t>
          </w:r>
          <w:r w:rsidRPr="00502512">
            <w:rPr>
              <w:b w:val="0"/>
            </w:rPr>
            <w:t xml:space="preserve"> / </w:t>
          </w:r>
          <w:r>
            <w:rPr>
              <w:b w:val="0"/>
            </w:rPr>
            <w:t>106510282</w:t>
          </w:r>
        </w:p>
        <w:p w14:paraId="4C488987" w14:textId="77777777" w:rsidR="00527BD4" w:rsidRPr="005819CE" w:rsidRDefault="00527BD4" w:rsidP="00361A56">
          <w:pPr>
            <w:pStyle w:val="Huisstijl-Kopje"/>
          </w:pPr>
        </w:p>
      </w:tc>
    </w:tr>
  </w:tbl>
  <w:p w14:paraId="06637A60" w14:textId="77777777" w:rsidR="00527BD4" w:rsidRDefault="00527BD4" w:rsidP="008C356D">
    <w:pPr>
      <w:pStyle w:val="Koptekst"/>
      <w:rPr>
        <w:rFonts w:cs="Verdana-Bold"/>
        <w:b/>
        <w:bCs/>
        <w:smallCaps/>
        <w:szCs w:val="18"/>
      </w:rPr>
    </w:pPr>
  </w:p>
  <w:p w14:paraId="315A6594" w14:textId="77777777" w:rsidR="00527BD4" w:rsidRDefault="00527BD4" w:rsidP="008C356D"/>
  <w:p w14:paraId="73F7BB26" w14:textId="77777777" w:rsidR="00527BD4" w:rsidRPr="00740712" w:rsidRDefault="00527BD4" w:rsidP="008C356D"/>
  <w:p w14:paraId="01D39F96" w14:textId="77777777" w:rsidR="00527BD4" w:rsidRPr="00217880" w:rsidRDefault="00527BD4" w:rsidP="008C356D">
    <w:pPr>
      <w:spacing w:line="0" w:lineRule="atLeast"/>
      <w:rPr>
        <w:sz w:val="2"/>
        <w:szCs w:val="2"/>
      </w:rPr>
    </w:pPr>
  </w:p>
  <w:p w14:paraId="2E9DFDDB" w14:textId="77777777" w:rsidR="00527BD4" w:rsidRDefault="00527BD4" w:rsidP="004F44C2">
    <w:pPr>
      <w:pStyle w:val="Koptekst"/>
      <w:rPr>
        <w:rFonts w:cs="Verdana-Bold"/>
        <w:b/>
        <w:bCs/>
        <w:smallCaps/>
        <w:szCs w:val="18"/>
      </w:rPr>
    </w:pPr>
  </w:p>
  <w:p w14:paraId="7E209585" w14:textId="77777777" w:rsidR="00527BD4" w:rsidRDefault="00527BD4" w:rsidP="004F44C2"/>
  <w:p w14:paraId="431513CA" w14:textId="77777777" w:rsidR="00624D22" w:rsidRDefault="00624D22" w:rsidP="004F44C2"/>
  <w:p w14:paraId="1AA50B9F" w14:textId="77777777" w:rsidR="00624D22" w:rsidRDefault="00624D22" w:rsidP="004F44C2"/>
  <w:p w14:paraId="48BB8111" w14:textId="77777777" w:rsidR="00527BD4" w:rsidRPr="00740712" w:rsidRDefault="00527BD4" w:rsidP="004F44C2"/>
  <w:p w14:paraId="5C534CC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0039D" w14:paraId="69585E5D" w14:textId="77777777" w:rsidTr="00751A6A">
      <w:trPr>
        <w:trHeight w:val="2636"/>
      </w:trPr>
      <w:tc>
        <w:tcPr>
          <w:tcW w:w="737" w:type="dxa"/>
        </w:tcPr>
        <w:p w14:paraId="2E64B991" w14:textId="77777777" w:rsidR="00527BD4" w:rsidRDefault="00527BD4" w:rsidP="00D0609E">
          <w:pPr>
            <w:framePr w:w="6340" w:h="2750" w:hRule="exact" w:hSpace="180" w:wrap="around" w:vAnchor="page" w:hAnchor="text" w:x="3873" w:y="-140"/>
            <w:spacing w:line="240" w:lineRule="auto"/>
          </w:pPr>
        </w:p>
      </w:tc>
      <w:tc>
        <w:tcPr>
          <w:tcW w:w="5156" w:type="dxa"/>
        </w:tcPr>
        <w:p w14:paraId="692FC9AA" w14:textId="77777777" w:rsidR="00527BD4" w:rsidRDefault="00C91672"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06CA2FC0" wp14:editId="15969346">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7E290D4B" w14:textId="77777777" w:rsidR="00527BD4" w:rsidRDefault="00527BD4" w:rsidP="00D0609E">
    <w:pPr>
      <w:framePr w:w="6340" w:h="2750" w:hRule="exact" w:hSpace="180" w:wrap="around" w:vAnchor="page" w:hAnchor="text" w:x="3873" w:y="-140"/>
    </w:pPr>
  </w:p>
  <w:p w14:paraId="07EFEB9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0039D" w14:paraId="4861FBFC" w14:textId="77777777" w:rsidTr="00A50CF6">
      <w:tc>
        <w:tcPr>
          <w:tcW w:w="2160" w:type="dxa"/>
        </w:tcPr>
        <w:p w14:paraId="1A2D9E5B" w14:textId="77777777" w:rsidR="00527BD4" w:rsidRPr="00781DCA" w:rsidRDefault="00C91672" w:rsidP="00A50CF6">
          <w:pPr>
            <w:pStyle w:val="Huisstijl-Adres"/>
            <w:rPr>
              <w:b/>
            </w:rPr>
          </w:pPr>
          <w:r>
            <w:rPr>
              <w:b/>
            </w:rPr>
            <w:t>Directoraat-generaal Klimaat en Energie</w:t>
          </w:r>
          <w:r w:rsidRPr="005819CE">
            <w:rPr>
              <w:b/>
            </w:rPr>
            <w:br/>
          </w:r>
        </w:p>
        <w:p w14:paraId="6320B9C3" w14:textId="77777777" w:rsidR="00527BD4" w:rsidRPr="00BE5ED9" w:rsidRDefault="00C91672" w:rsidP="00A50CF6">
          <w:pPr>
            <w:pStyle w:val="Huisstijl-Adres"/>
          </w:pPr>
          <w:r>
            <w:rPr>
              <w:b/>
            </w:rPr>
            <w:t>Bezoekadres</w:t>
          </w:r>
          <w:r>
            <w:rPr>
              <w:b/>
            </w:rPr>
            <w:br/>
          </w:r>
          <w:r>
            <w:t>Bezuidenhoutseweg 73</w:t>
          </w:r>
          <w:r w:rsidRPr="005819CE">
            <w:br/>
          </w:r>
          <w:r>
            <w:t>2594 AC Den Haag</w:t>
          </w:r>
        </w:p>
        <w:p w14:paraId="79834A39" w14:textId="77777777" w:rsidR="00EF495B" w:rsidRDefault="00C91672" w:rsidP="0098788A">
          <w:pPr>
            <w:pStyle w:val="Huisstijl-Adres"/>
          </w:pPr>
          <w:r>
            <w:rPr>
              <w:b/>
            </w:rPr>
            <w:t>Postadres</w:t>
          </w:r>
          <w:r>
            <w:rPr>
              <w:b/>
            </w:rPr>
            <w:br/>
          </w:r>
          <w:r>
            <w:t>Postbus 20401</w:t>
          </w:r>
          <w:r w:rsidRPr="005819CE">
            <w:br/>
            <w:t>2500 E</w:t>
          </w:r>
          <w:r>
            <w:t>K</w:t>
          </w:r>
          <w:r w:rsidRPr="005819CE">
            <w:t xml:space="preserve"> Den Haag</w:t>
          </w:r>
        </w:p>
        <w:p w14:paraId="3CC36B7C" w14:textId="77777777" w:rsidR="00EF495B" w:rsidRPr="005B3814" w:rsidRDefault="00C91672" w:rsidP="0098788A">
          <w:pPr>
            <w:pStyle w:val="Huisstijl-Adres"/>
          </w:pPr>
          <w:r>
            <w:rPr>
              <w:b/>
            </w:rPr>
            <w:t>Overheidsidentificatienr</w:t>
          </w:r>
          <w:r>
            <w:rPr>
              <w:b/>
            </w:rPr>
            <w:br/>
          </w:r>
          <w:r w:rsidRPr="005B3814">
            <w:t>00000001003214369000</w:t>
          </w:r>
        </w:p>
        <w:p w14:paraId="2475704D" w14:textId="5B6BE8CC" w:rsidR="00527BD4" w:rsidRPr="00044EE2" w:rsidRDefault="00C91672"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0039D" w14:paraId="702F21F4" w14:textId="77777777" w:rsidTr="00A50CF6">
      <w:trPr>
        <w:trHeight w:hRule="exact" w:val="200"/>
      </w:trPr>
      <w:tc>
        <w:tcPr>
          <w:tcW w:w="2160" w:type="dxa"/>
        </w:tcPr>
        <w:p w14:paraId="720CCD5B" w14:textId="77777777" w:rsidR="00527BD4" w:rsidRPr="00D71182" w:rsidRDefault="00527BD4" w:rsidP="00A50CF6">
          <w:pPr>
            <w:rPr>
              <w:lang w:val="fr-FR"/>
            </w:rPr>
          </w:pPr>
        </w:p>
      </w:tc>
    </w:tr>
    <w:tr w:rsidR="00C0039D" w14:paraId="0028851F" w14:textId="77777777" w:rsidTr="00A50CF6">
      <w:tc>
        <w:tcPr>
          <w:tcW w:w="2160" w:type="dxa"/>
        </w:tcPr>
        <w:p w14:paraId="5B367E42" w14:textId="77777777" w:rsidR="000C0163" w:rsidRPr="005819CE" w:rsidRDefault="00C91672" w:rsidP="000C0163">
          <w:pPr>
            <w:pStyle w:val="Huisstijl-Kopje"/>
          </w:pPr>
          <w:r>
            <w:t>Ons kenmerk</w:t>
          </w:r>
        </w:p>
        <w:p w14:paraId="065C008A" w14:textId="425B1A73" w:rsidR="00527BD4" w:rsidRPr="005819CE" w:rsidRDefault="00C91672" w:rsidP="00A50CF6">
          <w:pPr>
            <w:pStyle w:val="Huisstijl-Gegeven"/>
          </w:pPr>
          <w:r>
            <w:t>KGG_DGKE</w:t>
          </w:r>
          <w:r w:rsidR="00926AE2">
            <w:t xml:space="preserve"> / </w:t>
          </w:r>
          <w:r>
            <w:t>106510282</w:t>
          </w:r>
        </w:p>
        <w:p w14:paraId="3CAA9194" w14:textId="77777777" w:rsidR="00527BD4" w:rsidRDefault="00C91672" w:rsidP="00044EE2">
          <w:pPr>
            <w:pStyle w:val="Huisstijl-Kopje"/>
          </w:pPr>
          <w:r>
            <w:t>Bijlage(n)</w:t>
          </w:r>
        </w:p>
        <w:p w14:paraId="536260CD" w14:textId="717040BE" w:rsidR="00044EE2" w:rsidRPr="00044EE2" w:rsidRDefault="00A051D3" w:rsidP="00A051D3">
          <w:pPr>
            <w:pStyle w:val="Huisstijl-Kopje"/>
            <w:numPr>
              <w:ilvl w:val="0"/>
              <w:numId w:val="17"/>
            </w:numPr>
            <w:rPr>
              <w:b w:val="0"/>
              <w:bCs/>
            </w:rPr>
          </w:pPr>
          <w:r>
            <w:rPr>
              <w:b w:val="0"/>
              <w:bCs/>
            </w:rPr>
            <w:t>Toetsingskader</w:t>
          </w:r>
          <w:r w:rsidR="00BF67F2">
            <w:rPr>
              <w:b w:val="0"/>
              <w:bCs/>
            </w:rPr>
            <w:t xml:space="preserve"> </w:t>
          </w:r>
          <w:r w:rsidR="00BF67F2" w:rsidRPr="00BF67F2">
            <w:rPr>
              <w:b w:val="0"/>
              <w:bCs/>
            </w:rPr>
            <w:t>Garantie Verlenging EET</w:t>
          </w:r>
        </w:p>
      </w:tc>
    </w:tr>
  </w:tbl>
  <w:p w14:paraId="2D87B84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0039D" w14:paraId="2408A872" w14:textId="77777777" w:rsidTr="00C37826">
      <w:trPr>
        <w:trHeight w:val="400"/>
      </w:trPr>
      <w:tc>
        <w:tcPr>
          <w:tcW w:w="7371" w:type="dxa"/>
          <w:gridSpan w:val="2"/>
        </w:tcPr>
        <w:p w14:paraId="4AB5303E" w14:textId="77777777" w:rsidR="00527BD4" w:rsidRPr="00BC3B53" w:rsidRDefault="00C91672"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C0039D" w14:paraId="6A338D97" w14:textId="77777777" w:rsidTr="00C37826">
      <w:tc>
        <w:tcPr>
          <w:tcW w:w="7371" w:type="dxa"/>
          <w:gridSpan w:val="2"/>
        </w:tcPr>
        <w:p w14:paraId="7B32E2CB" w14:textId="77777777" w:rsidR="00527BD4" w:rsidRPr="00983E8F" w:rsidRDefault="00527BD4" w:rsidP="00A50CF6">
          <w:pPr>
            <w:pStyle w:val="Huisstijl-Rubricering"/>
          </w:pPr>
        </w:p>
      </w:tc>
    </w:tr>
    <w:tr w:rsidR="00C0039D" w14:paraId="22F6EACC" w14:textId="77777777" w:rsidTr="00C37826">
      <w:trPr>
        <w:trHeight w:hRule="exact" w:val="2440"/>
      </w:trPr>
      <w:tc>
        <w:tcPr>
          <w:tcW w:w="7371" w:type="dxa"/>
          <w:gridSpan w:val="2"/>
        </w:tcPr>
        <w:p w14:paraId="56CBBFD5" w14:textId="77777777" w:rsidR="00527BD4" w:rsidRDefault="00C91672" w:rsidP="00A50CF6">
          <w:pPr>
            <w:pStyle w:val="Huisstijl-NAW"/>
          </w:pPr>
          <w:r>
            <w:t xml:space="preserve">De Voorzitter van de Tweede Kamer </w:t>
          </w:r>
        </w:p>
        <w:p w14:paraId="618B3062" w14:textId="77777777" w:rsidR="00D87195" w:rsidRDefault="00C91672" w:rsidP="00D87195">
          <w:pPr>
            <w:pStyle w:val="Huisstijl-NAW"/>
          </w:pPr>
          <w:r>
            <w:t>der Staten-Generaal</w:t>
          </w:r>
        </w:p>
        <w:p w14:paraId="33CC0FEC" w14:textId="77777777" w:rsidR="00EA0F13" w:rsidRDefault="00C91672" w:rsidP="00EA0F13">
          <w:pPr>
            <w:rPr>
              <w:szCs w:val="18"/>
            </w:rPr>
          </w:pPr>
          <w:r>
            <w:rPr>
              <w:szCs w:val="18"/>
            </w:rPr>
            <w:t>Prinses Irenestraat 6</w:t>
          </w:r>
        </w:p>
        <w:p w14:paraId="368B8EED" w14:textId="77777777" w:rsidR="00985E56" w:rsidRDefault="00C91672" w:rsidP="00EA0F13">
          <w:r>
            <w:rPr>
              <w:szCs w:val="18"/>
            </w:rPr>
            <w:t>2595 BD  DEN HAAG</w:t>
          </w:r>
        </w:p>
      </w:tc>
    </w:tr>
    <w:tr w:rsidR="00C0039D" w14:paraId="3E53CDA7" w14:textId="77777777" w:rsidTr="00C37826">
      <w:trPr>
        <w:trHeight w:hRule="exact" w:val="400"/>
      </w:trPr>
      <w:tc>
        <w:tcPr>
          <w:tcW w:w="7371" w:type="dxa"/>
          <w:gridSpan w:val="2"/>
        </w:tcPr>
        <w:p w14:paraId="759A5FA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0039D" w14:paraId="41CA917F" w14:textId="77777777" w:rsidTr="00C37826">
      <w:trPr>
        <w:trHeight w:val="240"/>
      </w:trPr>
      <w:tc>
        <w:tcPr>
          <w:tcW w:w="709" w:type="dxa"/>
        </w:tcPr>
        <w:p w14:paraId="300546A0" w14:textId="77777777" w:rsidR="00527BD4" w:rsidRPr="00C37826" w:rsidRDefault="00C91672" w:rsidP="00A50CF6">
          <w:pPr>
            <w:rPr>
              <w:szCs w:val="18"/>
            </w:rPr>
          </w:pPr>
          <w:r>
            <w:rPr>
              <w:szCs w:val="18"/>
            </w:rPr>
            <w:t>Datum</w:t>
          </w:r>
        </w:p>
      </w:tc>
      <w:tc>
        <w:tcPr>
          <w:tcW w:w="6662" w:type="dxa"/>
        </w:tcPr>
        <w:p w14:paraId="5573427D" w14:textId="35474EF8" w:rsidR="00527BD4" w:rsidRPr="007709EF" w:rsidRDefault="00EA495F" w:rsidP="00A50CF6">
          <w:r>
            <w:t>28 mei 2026</w:t>
          </w:r>
        </w:p>
      </w:tc>
    </w:tr>
    <w:tr w:rsidR="00C0039D" w14:paraId="53BD6DEF" w14:textId="77777777" w:rsidTr="00C37826">
      <w:trPr>
        <w:trHeight w:val="240"/>
      </w:trPr>
      <w:tc>
        <w:tcPr>
          <w:tcW w:w="709" w:type="dxa"/>
        </w:tcPr>
        <w:p w14:paraId="133C980C" w14:textId="77777777" w:rsidR="00527BD4" w:rsidRPr="00C37826" w:rsidRDefault="00C91672" w:rsidP="00A50CF6">
          <w:pPr>
            <w:rPr>
              <w:szCs w:val="18"/>
            </w:rPr>
          </w:pPr>
          <w:r>
            <w:rPr>
              <w:szCs w:val="18"/>
            </w:rPr>
            <w:t>Betreft</w:t>
          </w:r>
        </w:p>
      </w:tc>
      <w:tc>
        <w:tcPr>
          <w:tcW w:w="6662" w:type="dxa"/>
        </w:tcPr>
        <w:p w14:paraId="16A1AED9" w14:textId="77777777" w:rsidR="00527BD4" w:rsidRPr="007709EF" w:rsidRDefault="00C91672" w:rsidP="00A50CF6">
          <w:r>
            <w:t xml:space="preserve">Aanbiedingsbrief garantie verlenging LNG </w:t>
          </w:r>
          <w:proofErr w:type="spellStart"/>
          <w:r>
            <w:t>EemsEnergyTerminal</w:t>
          </w:r>
          <w:proofErr w:type="spellEnd"/>
          <w:r>
            <w:t xml:space="preserve"> </w:t>
          </w:r>
        </w:p>
      </w:tc>
    </w:tr>
  </w:tbl>
  <w:p w14:paraId="252F3F0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8505B16">
      <w:start w:val="1"/>
      <w:numFmt w:val="bullet"/>
      <w:pStyle w:val="Lijstopsomteken"/>
      <w:lvlText w:val="•"/>
      <w:lvlJc w:val="left"/>
      <w:pPr>
        <w:tabs>
          <w:tab w:val="num" w:pos="227"/>
        </w:tabs>
        <w:ind w:left="227" w:hanging="227"/>
      </w:pPr>
      <w:rPr>
        <w:rFonts w:ascii="Verdana" w:hAnsi="Verdana" w:hint="default"/>
        <w:sz w:val="18"/>
        <w:szCs w:val="18"/>
      </w:rPr>
    </w:lvl>
    <w:lvl w:ilvl="1" w:tplc="F128309A" w:tentative="1">
      <w:start w:val="1"/>
      <w:numFmt w:val="bullet"/>
      <w:lvlText w:val="o"/>
      <w:lvlJc w:val="left"/>
      <w:pPr>
        <w:tabs>
          <w:tab w:val="num" w:pos="1440"/>
        </w:tabs>
        <w:ind w:left="1440" w:hanging="360"/>
      </w:pPr>
      <w:rPr>
        <w:rFonts w:ascii="Courier New" w:hAnsi="Courier New" w:cs="Courier New" w:hint="default"/>
      </w:rPr>
    </w:lvl>
    <w:lvl w:ilvl="2" w:tplc="12826842" w:tentative="1">
      <w:start w:val="1"/>
      <w:numFmt w:val="bullet"/>
      <w:lvlText w:val=""/>
      <w:lvlJc w:val="left"/>
      <w:pPr>
        <w:tabs>
          <w:tab w:val="num" w:pos="2160"/>
        </w:tabs>
        <w:ind w:left="2160" w:hanging="360"/>
      </w:pPr>
      <w:rPr>
        <w:rFonts w:ascii="Wingdings" w:hAnsi="Wingdings" w:hint="default"/>
      </w:rPr>
    </w:lvl>
    <w:lvl w:ilvl="3" w:tplc="147E7AEA" w:tentative="1">
      <w:start w:val="1"/>
      <w:numFmt w:val="bullet"/>
      <w:lvlText w:val=""/>
      <w:lvlJc w:val="left"/>
      <w:pPr>
        <w:tabs>
          <w:tab w:val="num" w:pos="2880"/>
        </w:tabs>
        <w:ind w:left="2880" w:hanging="360"/>
      </w:pPr>
      <w:rPr>
        <w:rFonts w:ascii="Symbol" w:hAnsi="Symbol" w:hint="default"/>
      </w:rPr>
    </w:lvl>
    <w:lvl w:ilvl="4" w:tplc="FE1E87DC" w:tentative="1">
      <w:start w:val="1"/>
      <w:numFmt w:val="bullet"/>
      <w:lvlText w:val="o"/>
      <w:lvlJc w:val="left"/>
      <w:pPr>
        <w:tabs>
          <w:tab w:val="num" w:pos="3600"/>
        </w:tabs>
        <w:ind w:left="3600" w:hanging="360"/>
      </w:pPr>
      <w:rPr>
        <w:rFonts w:ascii="Courier New" w:hAnsi="Courier New" w:cs="Courier New" w:hint="default"/>
      </w:rPr>
    </w:lvl>
    <w:lvl w:ilvl="5" w:tplc="89A02D34" w:tentative="1">
      <w:start w:val="1"/>
      <w:numFmt w:val="bullet"/>
      <w:lvlText w:val=""/>
      <w:lvlJc w:val="left"/>
      <w:pPr>
        <w:tabs>
          <w:tab w:val="num" w:pos="4320"/>
        </w:tabs>
        <w:ind w:left="4320" w:hanging="360"/>
      </w:pPr>
      <w:rPr>
        <w:rFonts w:ascii="Wingdings" w:hAnsi="Wingdings" w:hint="default"/>
      </w:rPr>
    </w:lvl>
    <w:lvl w:ilvl="6" w:tplc="944A4462" w:tentative="1">
      <w:start w:val="1"/>
      <w:numFmt w:val="bullet"/>
      <w:lvlText w:val=""/>
      <w:lvlJc w:val="left"/>
      <w:pPr>
        <w:tabs>
          <w:tab w:val="num" w:pos="5040"/>
        </w:tabs>
        <w:ind w:left="5040" w:hanging="360"/>
      </w:pPr>
      <w:rPr>
        <w:rFonts w:ascii="Symbol" w:hAnsi="Symbol" w:hint="default"/>
      </w:rPr>
    </w:lvl>
    <w:lvl w:ilvl="7" w:tplc="B2FAD15C" w:tentative="1">
      <w:start w:val="1"/>
      <w:numFmt w:val="bullet"/>
      <w:lvlText w:val="o"/>
      <w:lvlJc w:val="left"/>
      <w:pPr>
        <w:tabs>
          <w:tab w:val="num" w:pos="5760"/>
        </w:tabs>
        <w:ind w:left="5760" w:hanging="360"/>
      </w:pPr>
      <w:rPr>
        <w:rFonts w:ascii="Courier New" w:hAnsi="Courier New" w:cs="Courier New" w:hint="default"/>
      </w:rPr>
    </w:lvl>
    <w:lvl w:ilvl="8" w:tplc="4D763E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223EBC">
      <w:start w:val="1"/>
      <w:numFmt w:val="bullet"/>
      <w:pStyle w:val="Lijstopsomteken2"/>
      <w:lvlText w:val="–"/>
      <w:lvlJc w:val="left"/>
      <w:pPr>
        <w:tabs>
          <w:tab w:val="num" w:pos="227"/>
        </w:tabs>
        <w:ind w:left="227" w:firstLine="0"/>
      </w:pPr>
      <w:rPr>
        <w:rFonts w:ascii="Verdana" w:hAnsi="Verdana" w:hint="default"/>
      </w:rPr>
    </w:lvl>
    <w:lvl w:ilvl="1" w:tplc="41D4BF48" w:tentative="1">
      <w:start w:val="1"/>
      <w:numFmt w:val="bullet"/>
      <w:lvlText w:val="o"/>
      <w:lvlJc w:val="left"/>
      <w:pPr>
        <w:tabs>
          <w:tab w:val="num" w:pos="1440"/>
        </w:tabs>
        <w:ind w:left="1440" w:hanging="360"/>
      </w:pPr>
      <w:rPr>
        <w:rFonts w:ascii="Courier New" w:hAnsi="Courier New" w:cs="Courier New" w:hint="default"/>
      </w:rPr>
    </w:lvl>
    <w:lvl w:ilvl="2" w:tplc="DACC7C5E" w:tentative="1">
      <w:start w:val="1"/>
      <w:numFmt w:val="bullet"/>
      <w:lvlText w:val=""/>
      <w:lvlJc w:val="left"/>
      <w:pPr>
        <w:tabs>
          <w:tab w:val="num" w:pos="2160"/>
        </w:tabs>
        <w:ind w:left="2160" w:hanging="360"/>
      </w:pPr>
      <w:rPr>
        <w:rFonts w:ascii="Wingdings" w:hAnsi="Wingdings" w:hint="default"/>
      </w:rPr>
    </w:lvl>
    <w:lvl w:ilvl="3" w:tplc="BB74E152" w:tentative="1">
      <w:start w:val="1"/>
      <w:numFmt w:val="bullet"/>
      <w:lvlText w:val=""/>
      <w:lvlJc w:val="left"/>
      <w:pPr>
        <w:tabs>
          <w:tab w:val="num" w:pos="2880"/>
        </w:tabs>
        <w:ind w:left="2880" w:hanging="360"/>
      </w:pPr>
      <w:rPr>
        <w:rFonts w:ascii="Symbol" w:hAnsi="Symbol" w:hint="default"/>
      </w:rPr>
    </w:lvl>
    <w:lvl w:ilvl="4" w:tplc="81C608DA" w:tentative="1">
      <w:start w:val="1"/>
      <w:numFmt w:val="bullet"/>
      <w:lvlText w:val="o"/>
      <w:lvlJc w:val="left"/>
      <w:pPr>
        <w:tabs>
          <w:tab w:val="num" w:pos="3600"/>
        </w:tabs>
        <w:ind w:left="3600" w:hanging="360"/>
      </w:pPr>
      <w:rPr>
        <w:rFonts w:ascii="Courier New" w:hAnsi="Courier New" w:cs="Courier New" w:hint="default"/>
      </w:rPr>
    </w:lvl>
    <w:lvl w:ilvl="5" w:tplc="F774E498" w:tentative="1">
      <w:start w:val="1"/>
      <w:numFmt w:val="bullet"/>
      <w:lvlText w:val=""/>
      <w:lvlJc w:val="left"/>
      <w:pPr>
        <w:tabs>
          <w:tab w:val="num" w:pos="4320"/>
        </w:tabs>
        <w:ind w:left="4320" w:hanging="360"/>
      </w:pPr>
      <w:rPr>
        <w:rFonts w:ascii="Wingdings" w:hAnsi="Wingdings" w:hint="default"/>
      </w:rPr>
    </w:lvl>
    <w:lvl w:ilvl="6" w:tplc="20EEB4AE" w:tentative="1">
      <w:start w:val="1"/>
      <w:numFmt w:val="bullet"/>
      <w:lvlText w:val=""/>
      <w:lvlJc w:val="left"/>
      <w:pPr>
        <w:tabs>
          <w:tab w:val="num" w:pos="5040"/>
        </w:tabs>
        <w:ind w:left="5040" w:hanging="360"/>
      </w:pPr>
      <w:rPr>
        <w:rFonts w:ascii="Symbol" w:hAnsi="Symbol" w:hint="default"/>
      </w:rPr>
    </w:lvl>
    <w:lvl w:ilvl="7" w:tplc="FDBCCCF6" w:tentative="1">
      <w:start w:val="1"/>
      <w:numFmt w:val="bullet"/>
      <w:lvlText w:val="o"/>
      <w:lvlJc w:val="left"/>
      <w:pPr>
        <w:tabs>
          <w:tab w:val="num" w:pos="5760"/>
        </w:tabs>
        <w:ind w:left="5760" w:hanging="360"/>
      </w:pPr>
      <w:rPr>
        <w:rFonts w:ascii="Courier New" w:hAnsi="Courier New" w:cs="Courier New" w:hint="default"/>
      </w:rPr>
    </w:lvl>
    <w:lvl w:ilvl="8" w:tplc="769E03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E770A"/>
    <w:multiLevelType w:val="hybridMultilevel"/>
    <w:tmpl w:val="6BF65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E908F5"/>
    <w:multiLevelType w:val="hybridMultilevel"/>
    <w:tmpl w:val="2BDACAD4"/>
    <w:lvl w:ilvl="0" w:tplc="FF363E6A">
      <w:numFmt w:val="bullet"/>
      <w:lvlText w:val="-"/>
      <w:lvlJc w:val="left"/>
      <w:pPr>
        <w:ind w:left="720" w:hanging="360"/>
      </w:pPr>
      <w:rPr>
        <w:rFonts w:ascii="Calibri" w:eastAsia="Times New Roman" w:hAnsi="Calibri" w:cs="Calibri" w:hint="default"/>
      </w:rPr>
    </w:lvl>
    <w:lvl w:ilvl="1" w:tplc="D94276E4">
      <w:start w:val="1"/>
      <w:numFmt w:val="bullet"/>
      <w:lvlText w:val="o"/>
      <w:lvlJc w:val="left"/>
      <w:pPr>
        <w:ind w:left="1440" w:hanging="360"/>
      </w:pPr>
      <w:rPr>
        <w:rFonts w:ascii="Courier New" w:hAnsi="Courier New" w:cs="Courier New" w:hint="default"/>
      </w:rPr>
    </w:lvl>
    <w:lvl w:ilvl="2" w:tplc="661EF530">
      <w:start w:val="1"/>
      <w:numFmt w:val="bullet"/>
      <w:lvlText w:val=""/>
      <w:lvlJc w:val="left"/>
      <w:pPr>
        <w:ind w:left="2160" w:hanging="360"/>
      </w:pPr>
      <w:rPr>
        <w:rFonts w:ascii="Wingdings" w:hAnsi="Wingdings" w:hint="default"/>
      </w:rPr>
    </w:lvl>
    <w:lvl w:ilvl="3" w:tplc="D344842C">
      <w:start w:val="1"/>
      <w:numFmt w:val="bullet"/>
      <w:lvlText w:val=""/>
      <w:lvlJc w:val="left"/>
      <w:pPr>
        <w:ind w:left="2880" w:hanging="360"/>
      </w:pPr>
      <w:rPr>
        <w:rFonts w:ascii="Symbol" w:hAnsi="Symbol" w:hint="default"/>
      </w:rPr>
    </w:lvl>
    <w:lvl w:ilvl="4" w:tplc="2BD4BB08">
      <w:start w:val="1"/>
      <w:numFmt w:val="bullet"/>
      <w:lvlText w:val="o"/>
      <w:lvlJc w:val="left"/>
      <w:pPr>
        <w:ind w:left="3600" w:hanging="360"/>
      </w:pPr>
      <w:rPr>
        <w:rFonts w:ascii="Courier New" w:hAnsi="Courier New" w:cs="Courier New" w:hint="default"/>
      </w:rPr>
    </w:lvl>
    <w:lvl w:ilvl="5" w:tplc="9D1CB962">
      <w:start w:val="1"/>
      <w:numFmt w:val="bullet"/>
      <w:lvlText w:val=""/>
      <w:lvlJc w:val="left"/>
      <w:pPr>
        <w:ind w:left="4320" w:hanging="360"/>
      </w:pPr>
      <w:rPr>
        <w:rFonts w:ascii="Wingdings" w:hAnsi="Wingdings" w:hint="default"/>
      </w:rPr>
    </w:lvl>
    <w:lvl w:ilvl="6" w:tplc="9C20FB8E">
      <w:start w:val="1"/>
      <w:numFmt w:val="bullet"/>
      <w:lvlText w:val=""/>
      <w:lvlJc w:val="left"/>
      <w:pPr>
        <w:ind w:left="5040" w:hanging="360"/>
      </w:pPr>
      <w:rPr>
        <w:rFonts w:ascii="Symbol" w:hAnsi="Symbol" w:hint="default"/>
      </w:rPr>
    </w:lvl>
    <w:lvl w:ilvl="7" w:tplc="3E56E9D4">
      <w:start w:val="1"/>
      <w:numFmt w:val="bullet"/>
      <w:lvlText w:val="o"/>
      <w:lvlJc w:val="left"/>
      <w:pPr>
        <w:ind w:left="5760" w:hanging="360"/>
      </w:pPr>
      <w:rPr>
        <w:rFonts w:ascii="Courier New" w:hAnsi="Courier New" w:cs="Courier New" w:hint="default"/>
      </w:rPr>
    </w:lvl>
    <w:lvl w:ilvl="8" w:tplc="2CAC107E">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824F9"/>
    <w:multiLevelType w:val="hybridMultilevel"/>
    <w:tmpl w:val="4EAEBC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04246650">
    <w:abstractNumId w:val="10"/>
  </w:num>
  <w:num w:numId="2" w16cid:durableId="1904214968">
    <w:abstractNumId w:val="7"/>
  </w:num>
  <w:num w:numId="3" w16cid:durableId="826632429">
    <w:abstractNumId w:val="6"/>
  </w:num>
  <w:num w:numId="4" w16cid:durableId="758870787">
    <w:abstractNumId w:val="5"/>
  </w:num>
  <w:num w:numId="5" w16cid:durableId="653417859">
    <w:abstractNumId w:val="4"/>
  </w:num>
  <w:num w:numId="6" w16cid:durableId="1993829746">
    <w:abstractNumId w:val="8"/>
  </w:num>
  <w:num w:numId="7" w16cid:durableId="633874476">
    <w:abstractNumId w:val="3"/>
  </w:num>
  <w:num w:numId="8" w16cid:durableId="515777630">
    <w:abstractNumId w:val="2"/>
  </w:num>
  <w:num w:numId="9" w16cid:durableId="762260648">
    <w:abstractNumId w:val="1"/>
  </w:num>
  <w:num w:numId="10" w16cid:durableId="1692612164">
    <w:abstractNumId w:val="0"/>
  </w:num>
  <w:num w:numId="11" w16cid:durableId="2074232317">
    <w:abstractNumId w:val="9"/>
  </w:num>
  <w:num w:numId="12" w16cid:durableId="588078577">
    <w:abstractNumId w:val="11"/>
  </w:num>
  <w:num w:numId="13" w16cid:durableId="1794397924">
    <w:abstractNumId w:val="15"/>
  </w:num>
  <w:num w:numId="14" w16cid:durableId="1029526774">
    <w:abstractNumId w:val="12"/>
  </w:num>
  <w:num w:numId="15" w16cid:durableId="1023559543">
    <w:abstractNumId w:val="14"/>
  </w:num>
  <w:num w:numId="16" w16cid:durableId="1775325340">
    <w:abstractNumId w:val="16"/>
  </w:num>
  <w:num w:numId="17" w16cid:durableId="95767982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170B2"/>
    <w:rsid w:val="00020189"/>
    <w:rsid w:val="00020EE4"/>
    <w:rsid w:val="00023E9A"/>
    <w:rsid w:val="00033CDD"/>
    <w:rsid w:val="00034A84"/>
    <w:rsid w:val="00035E67"/>
    <w:rsid w:val="000366F3"/>
    <w:rsid w:val="00044EE2"/>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2B0E"/>
    <w:rsid w:val="00153E28"/>
    <w:rsid w:val="00154908"/>
    <w:rsid w:val="00154937"/>
    <w:rsid w:val="001569AB"/>
    <w:rsid w:val="00164D63"/>
    <w:rsid w:val="0016725C"/>
    <w:rsid w:val="001726F3"/>
    <w:rsid w:val="00173C51"/>
    <w:rsid w:val="00174CC2"/>
    <w:rsid w:val="00176CC6"/>
    <w:rsid w:val="00181BE4"/>
    <w:rsid w:val="00185576"/>
    <w:rsid w:val="00185951"/>
    <w:rsid w:val="00193925"/>
    <w:rsid w:val="00196B8B"/>
    <w:rsid w:val="001A2BEA"/>
    <w:rsid w:val="001A6AF9"/>
    <w:rsid w:val="001A6D93"/>
    <w:rsid w:val="001C32EC"/>
    <w:rsid w:val="001C38BD"/>
    <w:rsid w:val="001C4D5A"/>
    <w:rsid w:val="001C56AF"/>
    <w:rsid w:val="001E34C6"/>
    <w:rsid w:val="001E5581"/>
    <w:rsid w:val="001F3C70"/>
    <w:rsid w:val="001F4D60"/>
    <w:rsid w:val="00200D88"/>
    <w:rsid w:val="00201F68"/>
    <w:rsid w:val="00211214"/>
    <w:rsid w:val="00212F2A"/>
    <w:rsid w:val="00214F2B"/>
    <w:rsid w:val="00217880"/>
    <w:rsid w:val="00222D66"/>
    <w:rsid w:val="00224A8A"/>
    <w:rsid w:val="00230238"/>
    <w:rsid w:val="002309A8"/>
    <w:rsid w:val="00236CFE"/>
    <w:rsid w:val="002428E3"/>
    <w:rsid w:val="00243031"/>
    <w:rsid w:val="002541A0"/>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127BA"/>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100C"/>
    <w:rsid w:val="003B7EE7"/>
    <w:rsid w:val="003C2CCB"/>
    <w:rsid w:val="003D21AE"/>
    <w:rsid w:val="003D39EC"/>
    <w:rsid w:val="003D5DED"/>
    <w:rsid w:val="003E3DD5"/>
    <w:rsid w:val="003E4281"/>
    <w:rsid w:val="003F07C6"/>
    <w:rsid w:val="003F1F6B"/>
    <w:rsid w:val="003F3757"/>
    <w:rsid w:val="003F38BD"/>
    <w:rsid w:val="003F44B7"/>
    <w:rsid w:val="004008E9"/>
    <w:rsid w:val="00413D48"/>
    <w:rsid w:val="00413F26"/>
    <w:rsid w:val="00441AC2"/>
    <w:rsid w:val="0044249B"/>
    <w:rsid w:val="0045023C"/>
    <w:rsid w:val="00451A5B"/>
    <w:rsid w:val="004523AB"/>
    <w:rsid w:val="00452BCD"/>
    <w:rsid w:val="00452CEA"/>
    <w:rsid w:val="00460EAD"/>
    <w:rsid w:val="00465B52"/>
    <w:rsid w:val="0046708E"/>
    <w:rsid w:val="00472A65"/>
    <w:rsid w:val="00474463"/>
    <w:rsid w:val="00474B75"/>
    <w:rsid w:val="00482715"/>
    <w:rsid w:val="00483F0B"/>
    <w:rsid w:val="00496319"/>
    <w:rsid w:val="00497279"/>
    <w:rsid w:val="004A163B"/>
    <w:rsid w:val="004A670A"/>
    <w:rsid w:val="004B0F05"/>
    <w:rsid w:val="004B5465"/>
    <w:rsid w:val="004B70F0"/>
    <w:rsid w:val="004D2480"/>
    <w:rsid w:val="004D505E"/>
    <w:rsid w:val="004D72CA"/>
    <w:rsid w:val="004E2242"/>
    <w:rsid w:val="004E2A28"/>
    <w:rsid w:val="004E4776"/>
    <w:rsid w:val="004E505E"/>
    <w:rsid w:val="004F42FF"/>
    <w:rsid w:val="004F44C2"/>
    <w:rsid w:val="00502512"/>
    <w:rsid w:val="00503FD2"/>
    <w:rsid w:val="00505262"/>
    <w:rsid w:val="00516022"/>
    <w:rsid w:val="00521CEE"/>
    <w:rsid w:val="00524FB4"/>
    <w:rsid w:val="00526FFE"/>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1A0C"/>
    <w:rsid w:val="005C2538"/>
    <w:rsid w:val="005C34E1"/>
    <w:rsid w:val="005C3FE0"/>
    <w:rsid w:val="005C65B5"/>
    <w:rsid w:val="005C740C"/>
    <w:rsid w:val="005D32D1"/>
    <w:rsid w:val="005D625B"/>
    <w:rsid w:val="005F51BD"/>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195"/>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284"/>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0258"/>
    <w:rsid w:val="007B4503"/>
    <w:rsid w:val="007B7905"/>
    <w:rsid w:val="007C141B"/>
    <w:rsid w:val="007C406E"/>
    <w:rsid w:val="007C5183"/>
    <w:rsid w:val="007C7573"/>
    <w:rsid w:val="007D7C22"/>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1FC9"/>
    <w:rsid w:val="008E465D"/>
    <w:rsid w:val="008E49AD"/>
    <w:rsid w:val="008E698E"/>
    <w:rsid w:val="008F2584"/>
    <w:rsid w:val="008F3246"/>
    <w:rsid w:val="008F3C1B"/>
    <w:rsid w:val="008F508C"/>
    <w:rsid w:val="0090271B"/>
    <w:rsid w:val="00902E51"/>
    <w:rsid w:val="00910642"/>
    <w:rsid w:val="00910DDF"/>
    <w:rsid w:val="00926AE2"/>
    <w:rsid w:val="00930B13"/>
    <w:rsid w:val="009311C8"/>
    <w:rsid w:val="00933376"/>
    <w:rsid w:val="00933A2F"/>
    <w:rsid w:val="00961CA8"/>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E7AB0"/>
    <w:rsid w:val="009F3259"/>
    <w:rsid w:val="00A051D3"/>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866A3"/>
    <w:rsid w:val="00A91FA3"/>
    <w:rsid w:val="00A927D3"/>
    <w:rsid w:val="00AA1964"/>
    <w:rsid w:val="00AA7FC9"/>
    <w:rsid w:val="00AB237D"/>
    <w:rsid w:val="00AB5933"/>
    <w:rsid w:val="00AC6EFC"/>
    <w:rsid w:val="00AE013D"/>
    <w:rsid w:val="00AE11B7"/>
    <w:rsid w:val="00AE7F68"/>
    <w:rsid w:val="00AF2321"/>
    <w:rsid w:val="00AF52F6"/>
    <w:rsid w:val="00AF54A8"/>
    <w:rsid w:val="00AF7237"/>
    <w:rsid w:val="00B0043A"/>
    <w:rsid w:val="00B00D75"/>
    <w:rsid w:val="00B070CB"/>
    <w:rsid w:val="00B12456"/>
    <w:rsid w:val="00B145F0"/>
    <w:rsid w:val="00B215F2"/>
    <w:rsid w:val="00B259C8"/>
    <w:rsid w:val="00B26CCF"/>
    <w:rsid w:val="00B30FC2"/>
    <w:rsid w:val="00B331A2"/>
    <w:rsid w:val="00B425F0"/>
    <w:rsid w:val="00B42DFA"/>
    <w:rsid w:val="00B531DD"/>
    <w:rsid w:val="00B55014"/>
    <w:rsid w:val="00B62232"/>
    <w:rsid w:val="00B70BF3"/>
    <w:rsid w:val="00B71DC2"/>
    <w:rsid w:val="00B80207"/>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BF67F2"/>
    <w:rsid w:val="00C0039D"/>
    <w:rsid w:val="00C07A3E"/>
    <w:rsid w:val="00C15A91"/>
    <w:rsid w:val="00C206F1"/>
    <w:rsid w:val="00C217E1"/>
    <w:rsid w:val="00C219B1"/>
    <w:rsid w:val="00C225DD"/>
    <w:rsid w:val="00C37826"/>
    <w:rsid w:val="00C40122"/>
    <w:rsid w:val="00C4015B"/>
    <w:rsid w:val="00C40268"/>
    <w:rsid w:val="00C40C60"/>
    <w:rsid w:val="00C5258E"/>
    <w:rsid w:val="00C526BE"/>
    <w:rsid w:val="00C530C9"/>
    <w:rsid w:val="00C619A7"/>
    <w:rsid w:val="00C73D5F"/>
    <w:rsid w:val="00C82AFE"/>
    <w:rsid w:val="00C83DBC"/>
    <w:rsid w:val="00C83EAD"/>
    <w:rsid w:val="00C90702"/>
    <w:rsid w:val="00C91672"/>
    <w:rsid w:val="00C97C80"/>
    <w:rsid w:val="00CA33AE"/>
    <w:rsid w:val="00CA47D3"/>
    <w:rsid w:val="00CA6533"/>
    <w:rsid w:val="00CA6A25"/>
    <w:rsid w:val="00CA6A3F"/>
    <w:rsid w:val="00CA7C99"/>
    <w:rsid w:val="00CB7254"/>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4647B"/>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0EDF"/>
    <w:rsid w:val="00DD1DCD"/>
    <w:rsid w:val="00DD338F"/>
    <w:rsid w:val="00DD66F2"/>
    <w:rsid w:val="00DE3FE0"/>
    <w:rsid w:val="00DE578A"/>
    <w:rsid w:val="00DF1EE4"/>
    <w:rsid w:val="00DF2583"/>
    <w:rsid w:val="00DF5286"/>
    <w:rsid w:val="00DF54D9"/>
    <w:rsid w:val="00DF7283"/>
    <w:rsid w:val="00E01A59"/>
    <w:rsid w:val="00E10DC6"/>
    <w:rsid w:val="00E11F8E"/>
    <w:rsid w:val="00E15881"/>
    <w:rsid w:val="00E16A8F"/>
    <w:rsid w:val="00E21DE3"/>
    <w:rsid w:val="00E252EF"/>
    <w:rsid w:val="00E273C5"/>
    <w:rsid w:val="00E307D1"/>
    <w:rsid w:val="00E3731D"/>
    <w:rsid w:val="00E51469"/>
    <w:rsid w:val="00E535AB"/>
    <w:rsid w:val="00E573A1"/>
    <w:rsid w:val="00E634E3"/>
    <w:rsid w:val="00E717C4"/>
    <w:rsid w:val="00E77E18"/>
    <w:rsid w:val="00E77F89"/>
    <w:rsid w:val="00E80330"/>
    <w:rsid w:val="00E806C5"/>
    <w:rsid w:val="00E80E71"/>
    <w:rsid w:val="00E850D3"/>
    <w:rsid w:val="00E853D6"/>
    <w:rsid w:val="00E876B9"/>
    <w:rsid w:val="00EA0F13"/>
    <w:rsid w:val="00EA495F"/>
    <w:rsid w:val="00EC0DFF"/>
    <w:rsid w:val="00EC237D"/>
    <w:rsid w:val="00EC2918"/>
    <w:rsid w:val="00EC4D0E"/>
    <w:rsid w:val="00EC4E2B"/>
    <w:rsid w:val="00ED072A"/>
    <w:rsid w:val="00ED539E"/>
    <w:rsid w:val="00EE1795"/>
    <w:rsid w:val="00EE4A1F"/>
    <w:rsid w:val="00EE4C2D"/>
    <w:rsid w:val="00EF1B5A"/>
    <w:rsid w:val="00EF24FB"/>
    <w:rsid w:val="00EF2CCA"/>
    <w:rsid w:val="00EF495B"/>
    <w:rsid w:val="00EF60DC"/>
    <w:rsid w:val="00F00F54"/>
    <w:rsid w:val="00F03963"/>
    <w:rsid w:val="00F07644"/>
    <w:rsid w:val="00F11068"/>
    <w:rsid w:val="00F1256D"/>
    <w:rsid w:val="00F12C95"/>
    <w:rsid w:val="00F13A4E"/>
    <w:rsid w:val="00F172BB"/>
    <w:rsid w:val="00F17B10"/>
    <w:rsid w:val="00F21BEF"/>
    <w:rsid w:val="00F2315B"/>
    <w:rsid w:val="00F26C98"/>
    <w:rsid w:val="00F41A6F"/>
    <w:rsid w:val="00F45A25"/>
    <w:rsid w:val="00F5036A"/>
    <w:rsid w:val="00F50F86"/>
    <w:rsid w:val="00F53F91"/>
    <w:rsid w:val="00F61569"/>
    <w:rsid w:val="00F61A72"/>
    <w:rsid w:val="00F62B67"/>
    <w:rsid w:val="00F66F13"/>
    <w:rsid w:val="00F71F3C"/>
    <w:rsid w:val="00F74073"/>
    <w:rsid w:val="00F748E6"/>
    <w:rsid w:val="00F74D1E"/>
    <w:rsid w:val="00F75603"/>
    <w:rsid w:val="00F845B4"/>
    <w:rsid w:val="00F8713B"/>
    <w:rsid w:val="00F93F9E"/>
    <w:rsid w:val="00FA2CD7"/>
    <w:rsid w:val="00FB06ED"/>
    <w:rsid w:val="00FC2311"/>
    <w:rsid w:val="00FC3165"/>
    <w:rsid w:val="00FC36AB"/>
    <w:rsid w:val="00FC4300"/>
    <w:rsid w:val="00FC7F66"/>
    <w:rsid w:val="00FD5776"/>
    <w:rsid w:val="00FD5DE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1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5C1A0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5C1A0C"/>
    <w:rPr>
      <w:b/>
      <w:bCs/>
    </w:rPr>
  </w:style>
  <w:style w:type="character" w:customStyle="1" w:styleId="OnderwerpvanopmerkingChar">
    <w:name w:val="Onderwerp van opmerking Char"/>
    <w:basedOn w:val="TekstopmerkingChar"/>
    <w:link w:val="Onderwerpvanopmerking"/>
    <w:semiHidden/>
    <w:rsid w:val="005C1A0C"/>
    <w:rPr>
      <w:rFonts w:ascii="Verdana" w:hAnsi="Verdana"/>
      <w:b/>
      <w:bCs/>
      <w:lang w:val="nl-NL" w:eastAsia="nl-NL"/>
    </w:rPr>
  </w:style>
  <w:style w:type="character" w:styleId="Voetnootmarkering">
    <w:name w:val="footnote reference"/>
    <w:basedOn w:val="Standaardalinea-lettertype"/>
    <w:semiHidden/>
    <w:unhideWhenUsed/>
    <w:rsid w:val="00DF52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662</ap:Words>
  <ap:Characters>3884</ap:Characters>
  <ap:DocSecurity>0</ap:DocSecurity>
  <ap:Lines>32</ap:Lines>
  <ap:Paragraphs>9</ap:Paragraphs>
  <ap:ScaleCrop>false</ap:ScaleCrop>
  <ap:LinksUpToDate>false</ap:LinksUpToDate>
  <ap:CharactersWithSpaces>4537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2026-05-28T13:03:00.0000000Z</dcterms:created>
  <dcterms:modified xsi:type="dcterms:W3CDTF">2026-05-28T13:03:00.0000000Z</dcterms:modified>
  <dc:description>------------------------</dc:description>
  <dc:subject/>
  <keywords/>
  <version/>
  <category/>
</coreProperties>
</file>