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E93" w:rsidRDefault="00461E93" w14:paraId="33041718" w14:textId="77777777"/>
    <w:p w:rsidR="00461E93" w:rsidRDefault="00461E93" w14:paraId="1ACBD48F" w14:textId="024D6639">
      <w:r>
        <w:t>In antwoord op uw brief van 29 april 2026 deel ik u mede dat de vragen van het lid Faber (PVV) over de toepassing van snelrecht bij Azc-demonstrant en niet bij A12-bezetter, worden beantwoord zoals aangegeven in de bijlage bij deze brief.</w:t>
      </w:r>
    </w:p>
    <w:p w:rsidR="00461E93" w:rsidRDefault="00461E93" w14:paraId="3AF85DD7" w14:textId="77777777"/>
    <w:p w:rsidR="00461E93" w:rsidRDefault="00461E93" w14:paraId="337E8FD7" w14:textId="77777777"/>
    <w:p w:rsidR="00461E93" w:rsidRDefault="00461E93" w14:paraId="37194B57" w14:textId="7EF12575">
      <w:r>
        <w:t>De Minister van Justitie en Veiligheid,</w:t>
      </w:r>
    </w:p>
    <w:p w:rsidR="00461E93" w:rsidRDefault="00461E93" w14:paraId="4A531AE1" w14:textId="77777777"/>
    <w:p w:rsidR="00EB5AA5" w:rsidRDefault="00EB5AA5" w14:paraId="2C5D1081" w14:textId="77777777"/>
    <w:p w:rsidR="00461E93" w:rsidRDefault="00461E93" w14:paraId="01442816" w14:textId="77777777"/>
    <w:p w:rsidR="00461E93" w:rsidRDefault="00461E93" w14:paraId="783593DE" w14:textId="77777777"/>
    <w:p w:rsidR="00461E93" w:rsidRDefault="00461E93" w14:paraId="73938419" w14:textId="259C9E0D">
      <w:r>
        <w:t>D.</w:t>
      </w:r>
      <w:r w:rsidR="00EB5AA5">
        <w:t>M.</w:t>
      </w:r>
      <w:r>
        <w:t xml:space="preserve"> van Weel</w:t>
      </w:r>
    </w:p>
    <w:p w:rsidR="00461E93" w:rsidRDefault="00461E93" w14:paraId="52DCD799" w14:textId="77777777"/>
    <w:p w:rsidR="00461E93" w:rsidRDefault="00461E93" w14:paraId="4B2A8ADF" w14:textId="77777777"/>
    <w:p w:rsidR="00461E93" w:rsidRDefault="00461E93" w14:paraId="3979A098" w14:textId="77777777"/>
    <w:p w:rsidR="00461E93" w:rsidRDefault="00461E93" w14:paraId="0CB8EBCC" w14:textId="77777777"/>
    <w:p w:rsidR="00461E93" w:rsidRDefault="00461E93" w14:paraId="3E195C8B" w14:textId="77777777"/>
    <w:p w:rsidR="00461E93" w:rsidRDefault="00461E93" w14:paraId="14E26836" w14:textId="77777777"/>
    <w:p w:rsidR="00461E93" w:rsidRDefault="00461E93" w14:paraId="2CA7CD41" w14:textId="77777777"/>
    <w:p w:rsidR="00461E93" w:rsidRDefault="00461E93" w14:paraId="2F40E18F" w14:textId="77777777"/>
    <w:p w:rsidR="00461E93" w:rsidP="00461E93" w:rsidRDefault="00461E93" w14:paraId="0F5C4B0C" w14:textId="77777777"/>
    <w:p w:rsidR="00461E93" w:rsidP="00461E93" w:rsidRDefault="00461E93" w14:paraId="3DF2EB7C" w14:textId="77777777"/>
    <w:p w:rsidR="00461E93" w:rsidP="00461E93" w:rsidRDefault="00461E93" w14:paraId="6E782288" w14:textId="77777777"/>
    <w:p w:rsidR="00461E93" w:rsidP="00461E93" w:rsidRDefault="00461E93" w14:paraId="36AC9AB2" w14:textId="77777777"/>
    <w:p w:rsidR="00461E93" w:rsidP="00461E93" w:rsidRDefault="00461E93" w14:paraId="15327A16" w14:textId="77777777"/>
    <w:p w:rsidR="00461E93" w:rsidP="00461E93" w:rsidRDefault="00461E93" w14:paraId="3DBBA2EE" w14:textId="77777777"/>
    <w:p w:rsidR="00461E93" w:rsidP="00461E93" w:rsidRDefault="00461E93" w14:paraId="0D4D955D" w14:textId="77777777"/>
    <w:p w:rsidR="00461E93" w:rsidP="00461E93" w:rsidRDefault="00461E93" w14:paraId="4AA1FE5E" w14:textId="77777777"/>
    <w:p w:rsidR="00461E93" w:rsidP="00461E93" w:rsidRDefault="00461E93" w14:paraId="26AD8246" w14:textId="77777777"/>
    <w:p w:rsidR="00461E93" w:rsidP="00461E93" w:rsidRDefault="00461E93" w14:paraId="5D0D289E" w14:textId="77777777"/>
    <w:p w:rsidR="00461E93" w:rsidP="00461E93" w:rsidRDefault="00461E93" w14:paraId="051E3C59" w14:textId="77777777"/>
    <w:p w:rsidR="00461E93" w:rsidP="00461E93" w:rsidRDefault="00461E93" w14:paraId="6C33F58A" w14:textId="77777777"/>
    <w:p w:rsidR="00461E93" w:rsidP="00461E93" w:rsidRDefault="00461E93" w14:paraId="1226C45F" w14:textId="77777777"/>
    <w:p w:rsidR="00461E93" w:rsidP="00461E93" w:rsidRDefault="00461E93" w14:paraId="0F8807DA" w14:textId="77777777"/>
    <w:p w:rsidR="00461E93" w:rsidP="00461E93" w:rsidRDefault="00461E93" w14:paraId="0EFB783F" w14:textId="77777777"/>
    <w:p w:rsidR="00461E93" w:rsidP="00461E93" w:rsidRDefault="00461E93" w14:paraId="2DFD13AB" w14:textId="77777777"/>
    <w:p w:rsidR="00461E93" w:rsidP="00461E93" w:rsidRDefault="00461E93" w14:paraId="48F187AF" w14:textId="77777777"/>
    <w:p w:rsidR="003364A0" w:rsidP="003364A0" w:rsidRDefault="00461E93" w14:paraId="2FCD4E3E" w14:textId="77777777">
      <w:pPr>
        <w:pBdr>
          <w:bottom w:val="single" w:color="auto" w:sz="4" w:space="1"/>
        </w:pBdr>
        <w:rPr>
          <w:b/>
          <w:bCs/>
        </w:rPr>
      </w:pPr>
      <w:r w:rsidRPr="00461E93">
        <w:rPr>
          <w:b/>
          <w:bCs/>
        </w:rPr>
        <w:t>Vragen van het lid Faber (PVV) aan de minister van Justitie en Veiligheid over de toepassing van snelrecht bij Azc-demonstrant en niet bij A12-bezetter</w:t>
      </w:r>
      <w:r w:rsidR="00EB5AA5">
        <w:rPr>
          <w:b/>
          <w:bCs/>
        </w:rPr>
        <w:t xml:space="preserve"> </w:t>
      </w:r>
    </w:p>
    <w:p w:rsidR="00461E93" w:rsidP="003364A0" w:rsidRDefault="00461E93" w14:paraId="261BBABD" w14:textId="495A7F2A">
      <w:pPr>
        <w:pBdr>
          <w:bottom w:val="single" w:color="auto" w:sz="4" w:space="1"/>
        </w:pBdr>
        <w:rPr>
          <w:b/>
          <w:bCs/>
        </w:rPr>
      </w:pPr>
      <w:r w:rsidRPr="00461E93">
        <w:rPr>
          <w:b/>
          <w:bCs/>
        </w:rPr>
        <w:t>(ingezonden op 29 april 2026, 2026Z09126)</w:t>
      </w:r>
    </w:p>
    <w:p w:rsidR="00EB5AA5" w:rsidP="00461E93" w:rsidRDefault="00EB5AA5" w14:paraId="32C88F0C" w14:textId="77777777">
      <w:pPr>
        <w:rPr>
          <w:b/>
          <w:bCs/>
        </w:rPr>
      </w:pPr>
    </w:p>
    <w:p w:rsidR="003364A0" w:rsidP="00461E93" w:rsidRDefault="003364A0" w14:paraId="0671888A" w14:textId="77777777">
      <w:pPr>
        <w:rPr>
          <w:b/>
          <w:bCs/>
        </w:rPr>
      </w:pPr>
    </w:p>
    <w:p w:rsidRPr="00EB5AA5" w:rsidR="00461E93" w:rsidP="00EB5AA5" w:rsidRDefault="00EB5AA5" w14:paraId="585AD73D" w14:textId="2015EE27">
      <w:pPr>
        <w:rPr>
          <w:b/>
          <w:bCs/>
        </w:rPr>
      </w:pPr>
      <w:r w:rsidRPr="00EB5AA5">
        <w:rPr>
          <w:b/>
          <w:bCs/>
        </w:rPr>
        <w:t>Vraag 1</w:t>
      </w:r>
      <w:bookmarkStart w:name="_Hlk229390794" w:id="0"/>
    </w:p>
    <w:p w:rsidR="00EB5AA5" w:rsidP="00EB5AA5" w:rsidRDefault="00461E93" w14:paraId="2988398A" w14:textId="77777777">
      <w:pPr>
        <w:rPr>
          <w:b/>
          <w:bCs/>
        </w:rPr>
      </w:pPr>
      <w:r w:rsidRPr="00EB5AA5">
        <w:rPr>
          <w:b/>
          <w:bCs/>
        </w:rPr>
        <w:t>Bent u bekend met het bericht ‘Azc-demonstrant snel berecht, A12-bezetter niet: wanneer wordt supersnelrecht ingezet’? 1)</w:t>
      </w:r>
    </w:p>
    <w:p w:rsidRPr="00EB5AA5" w:rsidR="00EB5AA5" w:rsidP="00EB5AA5" w:rsidRDefault="00EB5AA5" w14:paraId="542FC674" w14:textId="77777777">
      <w:pPr>
        <w:rPr>
          <w:b/>
          <w:bCs/>
        </w:rPr>
      </w:pPr>
    </w:p>
    <w:p w:rsidR="00EB5AA5" w:rsidP="00EB5AA5" w:rsidRDefault="00EB5AA5" w14:paraId="6A8828B4" w14:textId="048E6AD2">
      <w:r w:rsidRPr="00EB5AA5">
        <w:rPr>
          <w:b/>
          <w:bCs/>
        </w:rPr>
        <w:t>Antwoord op vraag 1</w:t>
      </w:r>
    </w:p>
    <w:p w:rsidR="00461E93" w:rsidP="00EB5AA5" w:rsidRDefault="00A543AE" w14:paraId="10D7A494" w14:textId="06439A6E">
      <w:r w:rsidRPr="00A543AE">
        <w:t>Ja.</w:t>
      </w:r>
    </w:p>
    <w:p w:rsidR="00EB5AA5" w:rsidP="00EB5AA5" w:rsidRDefault="00EB5AA5" w14:paraId="0ED0839F" w14:textId="77777777"/>
    <w:p w:rsidRPr="00EB5AA5" w:rsidR="00461E93" w:rsidP="00EB5AA5" w:rsidRDefault="00EB5AA5" w14:paraId="4BD57137" w14:textId="67DDF572">
      <w:pPr>
        <w:rPr>
          <w:b/>
          <w:bCs/>
        </w:rPr>
      </w:pPr>
      <w:r w:rsidRPr="00EB5AA5">
        <w:rPr>
          <w:b/>
          <w:bCs/>
        </w:rPr>
        <w:t>Vraag 2</w:t>
      </w:r>
    </w:p>
    <w:p w:rsidRPr="00EB5AA5" w:rsidR="00EB5AA5" w:rsidP="00EB5AA5" w:rsidRDefault="00461E93" w14:paraId="1F9EDC5F" w14:textId="77777777">
      <w:pPr>
        <w:rPr>
          <w:b/>
          <w:bCs/>
        </w:rPr>
      </w:pPr>
      <w:r w:rsidRPr="00EB5AA5">
        <w:rPr>
          <w:b/>
          <w:bCs/>
        </w:rPr>
        <w:t>Hoe vaak werden er in de afgelopen drie jaar strafzaken afgedaan via snelrecht of supersnelrecht? En voor verdenking van welke strafbare feiten werd (super)snelrecht ingezet?</w:t>
      </w:r>
    </w:p>
    <w:p w:rsidRPr="00EB5AA5" w:rsidR="00EB5AA5" w:rsidP="00EB5AA5" w:rsidRDefault="00EB5AA5" w14:paraId="3322D7E6" w14:textId="77777777">
      <w:pPr>
        <w:rPr>
          <w:b/>
          <w:bCs/>
        </w:rPr>
      </w:pPr>
    </w:p>
    <w:p w:rsidRPr="00461E93" w:rsidR="00461E93" w:rsidP="00EB5AA5" w:rsidRDefault="00EB5AA5" w14:paraId="3BD172EB" w14:textId="206549B3">
      <w:r w:rsidRPr="00EB5AA5">
        <w:rPr>
          <w:b/>
          <w:bCs/>
        </w:rPr>
        <w:t>Antwoord op vraag 2</w:t>
      </w:r>
      <w:r w:rsidRPr="00461E93" w:rsidR="00461E93">
        <w:br/>
      </w:r>
      <w:r w:rsidRPr="00A543AE" w:rsidR="00A543AE">
        <w:t>In de afgelopen drie jaar zijn in totaal 25181 zaken afgedaan via (super)snelrecht. Het gaat hierbij om vermogensdelicten, misdrijven tegen openbare orde en gezag, geweldsdelicten, verkeersdelicten, drugsdelicten, wapenmisdrijven, overige misdrijven uit het Wetboek van strafrecht en misdrijven uit andere wetten.</w:t>
      </w:r>
      <w:r w:rsidR="00A543AE">
        <w:tab/>
      </w:r>
    </w:p>
    <w:p w:rsidR="00EB5AA5" w:rsidP="00EB5AA5" w:rsidRDefault="00EB5AA5" w14:paraId="45911C98" w14:textId="77777777"/>
    <w:p w:rsidRPr="00EB5AA5" w:rsidR="00461E93" w:rsidP="00EB5AA5" w:rsidRDefault="00EB5AA5" w14:paraId="47F1D4B3" w14:textId="5AC152C4">
      <w:pPr>
        <w:rPr>
          <w:b/>
          <w:bCs/>
        </w:rPr>
      </w:pPr>
      <w:r w:rsidRPr="00EB5AA5">
        <w:rPr>
          <w:b/>
          <w:bCs/>
        </w:rPr>
        <w:t>Vraag 3</w:t>
      </w:r>
    </w:p>
    <w:p w:rsidRPr="00EB5AA5" w:rsidR="00EB5AA5" w:rsidP="00EB5AA5" w:rsidRDefault="00461E93" w14:paraId="47D02FDB" w14:textId="77777777">
      <w:pPr>
        <w:rPr>
          <w:b/>
          <w:bCs/>
        </w:rPr>
      </w:pPr>
      <w:r w:rsidRPr="00EB5AA5">
        <w:rPr>
          <w:b/>
          <w:bCs/>
        </w:rPr>
        <w:t>Waarom worden strafzaken tegen azc-demonstranten wel afgedaan via het (super)snelrecht en niet bij A12-bezetters? De zes bestuurders die de A12 blokkeerden leenden zich toch ook voor (super)snelrecht nu zij op heterdaad werden betrapt? En hoe zit dat met de A12-bezetters, zij werden door de politie verwijderd van de snelweg, dan was het bewijs toch ook direct voorhanden?</w:t>
      </w:r>
    </w:p>
    <w:p w:rsidRPr="00EB5AA5" w:rsidR="00EB5AA5" w:rsidP="00EB5AA5" w:rsidRDefault="00EB5AA5" w14:paraId="63EF1C3A" w14:textId="77777777">
      <w:pPr>
        <w:rPr>
          <w:b/>
          <w:bCs/>
        </w:rPr>
      </w:pPr>
    </w:p>
    <w:p w:rsidR="00461E93" w:rsidP="00EB5AA5" w:rsidRDefault="00EB5AA5" w14:paraId="6D328134" w14:textId="3927324C">
      <w:r w:rsidRPr="00EB5AA5">
        <w:rPr>
          <w:b/>
          <w:bCs/>
        </w:rPr>
        <w:t>Antwoord op vraag 3</w:t>
      </w:r>
      <w:r w:rsidRPr="00461E93" w:rsidR="00461E93">
        <w:br/>
      </w:r>
      <w:r w:rsidR="002411F4">
        <w:t xml:space="preserve">De inhoud van de boodschap van demonstranten </w:t>
      </w:r>
      <w:r w:rsidR="00F422BB">
        <w:t xml:space="preserve">speelt </w:t>
      </w:r>
      <w:r w:rsidR="002411F4">
        <w:t xml:space="preserve">geen rol bij de wijze van afdoening van strafbare feiten. </w:t>
      </w:r>
      <w:r w:rsidRPr="00A543AE" w:rsidR="00A543AE">
        <w:t xml:space="preserve">(Super)snelrecht is een versnelde wijze van afdoen waarbij de verdachte al binnen enkele dagen voor de rechter verschijnt. Deze vorm van afdoeding wordt gebruikt voor eenvoudige zaken (als bedoeld in art 368 </w:t>
      </w:r>
      <w:r>
        <w:t>Wetboek van Strafvordering</w:t>
      </w:r>
      <w:r w:rsidRPr="00A543AE" w:rsidR="00A543AE">
        <w:t xml:space="preserve">) waarbij het bewijs snel beschikbaar moet zijn. Daarnaast moet het dossier voldoende duidelijk, eenvoudig én compleet te zijn. Alhoewel de verdachte niet hoeft in te stemmen met de toepassing van </w:t>
      </w:r>
      <w:r>
        <w:t>(super)snelrecht</w:t>
      </w:r>
      <w:r w:rsidRPr="00A543AE" w:rsidR="00A543AE">
        <w:t xml:space="preserve">, moeten de rechten van de verdachte in voldoende mate worden gewaarborgd. Voor de toepassing van </w:t>
      </w:r>
      <w:r>
        <w:t>(super)snelrecht</w:t>
      </w:r>
      <w:r w:rsidRPr="00A543AE">
        <w:t xml:space="preserve"> </w:t>
      </w:r>
      <w:r w:rsidRPr="00A543AE" w:rsidR="00A543AE">
        <w:t xml:space="preserve">moet dus aan een aantal voorwaarden zijn voldaan. Daarom kan het voorkomen dat bij sommige voorvallen </w:t>
      </w:r>
      <w:r>
        <w:t>(super)snelrecht</w:t>
      </w:r>
      <w:r w:rsidRPr="00A543AE">
        <w:t xml:space="preserve"> </w:t>
      </w:r>
      <w:r w:rsidRPr="00A543AE" w:rsidR="00A543AE">
        <w:t xml:space="preserve">wél en bij andere (vergelijkbare) voorvallen </w:t>
      </w:r>
      <w:r>
        <w:t>(super)snelrecht</w:t>
      </w:r>
      <w:r w:rsidRPr="00A543AE">
        <w:t xml:space="preserve"> </w:t>
      </w:r>
      <w:r w:rsidRPr="00A543AE" w:rsidR="00A543AE">
        <w:t xml:space="preserve">niet kan worden toegepast. Zelfs komt het voor dat ten aanzien van verdachten die allen betrokken zijn bij hetzelfde voorval, voor de ene verdachte </w:t>
      </w:r>
      <w:r>
        <w:t>(super)snelrecht</w:t>
      </w:r>
      <w:r w:rsidRPr="00A543AE">
        <w:t xml:space="preserve"> </w:t>
      </w:r>
      <w:r w:rsidRPr="00A543AE" w:rsidR="00A543AE">
        <w:t>wél mogelijk is en voor de andere niet.</w:t>
      </w:r>
      <w:r w:rsidR="00A543AE">
        <w:br/>
      </w:r>
    </w:p>
    <w:p w:rsidR="00EB5AA5" w:rsidP="00EB5AA5" w:rsidRDefault="00EB5AA5" w14:paraId="0527427F" w14:textId="77777777"/>
    <w:p w:rsidR="00EB5AA5" w:rsidP="00EB5AA5" w:rsidRDefault="00EB5AA5" w14:paraId="712817A3" w14:textId="77777777"/>
    <w:p w:rsidR="00EB5AA5" w:rsidP="00EB5AA5" w:rsidRDefault="00EB5AA5" w14:paraId="1C2572FD" w14:textId="77777777"/>
    <w:p w:rsidR="00EB5AA5" w:rsidP="00EB5AA5" w:rsidRDefault="00EB5AA5" w14:paraId="4E59FBBF" w14:textId="77777777"/>
    <w:p w:rsidRPr="00EB5AA5" w:rsidR="00461E93" w:rsidP="00EB5AA5" w:rsidRDefault="00EB5AA5" w14:paraId="57B5AC15" w14:textId="44D48483">
      <w:pPr>
        <w:rPr>
          <w:b/>
          <w:bCs/>
        </w:rPr>
      </w:pPr>
      <w:r w:rsidRPr="00EB5AA5">
        <w:rPr>
          <w:b/>
          <w:bCs/>
        </w:rPr>
        <w:t>Vraag 4</w:t>
      </w:r>
    </w:p>
    <w:p w:rsidRPr="00EB5AA5" w:rsidR="00EB5AA5" w:rsidP="00EB5AA5" w:rsidRDefault="00461E93" w14:paraId="3322B027" w14:textId="77777777">
      <w:pPr>
        <w:rPr>
          <w:b/>
          <w:bCs/>
        </w:rPr>
      </w:pPr>
      <w:r w:rsidRPr="00EB5AA5">
        <w:rPr>
          <w:b/>
          <w:bCs/>
        </w:rPr>
        <w:t>Deelt u de mening dat het er sterk op lijkt dat het Openbaar Ministerie en de rechter de azc-demonstraties de kop wil indrukken, aangezien (super)snelrecht voornamelijk wordt ingezet voor het maken van een statement?</w:t>
      </w:r>
    </w:p>
    <w:p w:rsidRPr="00EB5AA5" w:rsidR="00EB5AA5" w:rsidP="00EB5AA5" w:rsidRDefault="00EB5AA5" w14:paraId="0715D840" w14:textId="77777777">
      <w:pPr>
        <w:rPr>
          <w:b/>
          <w:bCs/>
        </w:rPr>
      </w:pPr>
    </w:p>
    <w:p w:rsidRPr="00461E93" w:rsidR="00461E93" w:rsidP="00EB5AA5" w:rsidRDefault="00EB5AA5" w14:paraId="45938DF1" w14:textId="15643980">
      <w:r w:rsidRPr="00EB5AA5">
        <w:rPr>
          <w:b/>
          <w:bCs/>
        </w:rPr>
        <w:t>Antwoord op vraag 4</w:t>
      </w:r>
      <w:r w:rsidRPr="00461E93" w:rsidR="00461E93">
        <w:br/>
      </w:r>
      <w:r w:rsidRPr="00652778" w:rsidR="00A543AE">
        <w:t xml:space="preserve">Zoals in het antwoord op vraag 3 </w:t>
      </w:r>
      <w:r w:rsidRPr="00F422BB" w:rsidR="00A543AE">
        <w:t>is toegelicht</w:t>
      </w:r>
      <w:r w:rsidRPr="00F422BB">
        <w:t>,</w:t>
      </w:r>
      <w:r w:rsidRPr="00F422BB" w:rsidR="00A543AE">
        <w:t xml:space="preserve"> is de toepassing van (super)snelrecht afhankelijk van de omstandigheden. Het OM</w:t>
      </w:r>
      <w:r w:rsidRPr="00F422BB" w:rsidR="00652778">
        <w:t xml:space="preserve"> en de rechter </w:t>
      </w:r>
      <w:r w:rsidRPr="00F422BB" w:rsidR="00A543AE">
        <w:t>behandel</w:t>
      </w:r>
      <w:r w:rsidRPr="00F422BB" w:rsidR="00652778">
        <w:t>en</w:t>
      </w:r>
      <w:r w:rsidRPr="00F422BB" w:rsidR="00A543AE">
        <w:t xml:space="preserve"> personen </w:t>
      </w:r>
      <w:r w:rsidRPr="00F422BB" w:rsidR="00743F78">
        <w:t>die</w:t>
      </w:r>
      <w:r w:rsidRPr="00F422BB" w:rsidR="00652778">
        <w:t xml:space="preserve"> strafbare feiten plegen niet </w:t>
      </w:r>
      <w:r w:rsidRPr="00F422BB" w:rsidR="00743F78">
        <w:t xml:space="preserve">verschillend </w:t>
      </w:r>
      <w:r w:rsidRPr="00F422BB" w:rsidR="00777B24">
        <w:t>op basis van</w:t>
      </w:r>
      <w:r w:rsidRPr="00F422BB" w:rsidR="00743F78">
        <w:t xml:space="preserve"> het onderwerp van de demonstratie</w:t>
      </w:r>
      <w:r w:rsidRPr="00F422BB" w:rsidR="00652778">
        <w:t>.</w:t>
      </w:r>
      <w:r w:rsidR="00652778">
        <w:t xml:space="preserve"> </w:t>
      </w:r>
    </w:p>
    <w:bookmarkEnd w:id="0"/>
    <w:p w:rsidR="00461E93" w:rsidP="00EB5AA5" w:rsidRDefault="00461E93" w14:paraId="48B93FAD" w14:textId="77777777">
      <w:r>
        <w:t> </w:t>
      </w:r>
      <w:r>
        <w:br/>
      </w:r>
    </w:p>
    <w:p w:rsidR="00461E93" w:rsidP="00EB5AA5" w:rsidRDefault="00461E93" w14:paraId="05CCA39F" w14:textId="65BD7CBD">
      <w:r>
        <w:t>1) De Telegraaf, 29 april 2026, Azc-demonstrant snel berecht, A12-bezetter niet: wanneer wordt supersnelrecht ingezet? (</w:t>
      </w:r>
      <w:r w:rsidR="00A543AE">
        <w:t>Https://www.telegraaf.nl/binnenland/azc-demonstrant-snel-berecht-a12-bezetter-niet-wanneer-wordt-supersnelrecht-ingezet/150008028.html</w:t>
      </w:r>
      <w:r>
        <w:t>).</w:t>
      </w:r>
    </w:p>
    <w:p w:rsidR="00461E93" w:rsidRDefault="00461E93" w14:paraId="6A761F3A" w14:textId="4EB75A4F"/>
    <w:sectPr w:rsidR="00461E93" w:rsidSect="00EB5AA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C56E" w14:textId="77777777" w:rsidR="00D925F8" w:rsidRDefault="00D925F8">
      <w:pPr>
        <w:spacing w:line="240" w:lineRule="auto"/>
      </w:pPr>
      <w:r>
        <w:separator/>
      </w:r>
    </w:p>
  </w:endnote>
  <w:endnote w:type="continuationSeparator" w:id="0">
    <w:p w14:paraId="31F6C88E" w14:textId="77777777" w:rsidR="00D925F8" w:rsidRDefault="00D9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8DC7" w14:textId="77777777" w:rsidR="00D925F8" w:rsidRDefault="00D925F8">
      <w:pPr>
        <w:spacing w:line="240" w:lineRule="auto"/>
      </w:pPr>
      <w:r>
        <w:separator/>
      </w:r>
    </w:p>
  </w:footnote>
  <w:footnote w:type="continuationSeparator" w:id="0">
    <w:p w14:paraId="0FA7AE37" w14:textId="77777777" w:rsidR="00D925F8" w:rsidRDefault="00D92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BF38" w14:textId="77777777" w:rsidR="00D54B70" w:rsidRDefault="00D925F8">
    <w:r>
      <w:rPr>
        <w:noProof/>
      </w:rPr>
      <mc:AlternateContent>
        <mc:Choice Requires="wps">
          <w:drawing>
            <wp:anchor distT="0" distB="0" distL="0" distR="0" simplePos="0" relativeHeight="251652096" behindDoc="0" locked="1" layoutInCell="1" allowOverlap="1" wp14:anchorId="57E6AB23" wp14:editId="47403E1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339859" w14:textId="77777777" w:rsidR="000B42F1" w:rsidRDefault="000B42F1"/>
                      </w:txbxContent>
                    </wps:txbx>
                    <wps:bodyPr vert="horz" wrap="square" lIns="0" tIns="0" rIns="0" bIns="0" anchor="t" anchorCtr="0"/>
                  </wps:wsp>
                </a:graphicData>
              </a:graphic>
            </wp:anchor>
          </w:drawing>
        </mc:Choice>
        <mc:Fallback>
          <w:pict>
            <v:shapetype w14:anchorId="57E6AB2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0339859" w14:textId="77777777" w:rsidR="000B42F1" w:rsidRDefault="000B42F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9A2903" wp14:editId="6323FDD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F8CE1C" w14:textId="77777777" w:rsidR="00D54B70" w:rsidRDefault="00D925F8">
                          <w:pPr>
                            <w:pStyle w:val="Referentiegegevensbold"/>
                          </w:pPr>
                          <w:r>
                            <w:t>Directoraat-Generaal Rechtspleging en Rechtshandhaving</w:t>
                          </w:r>
                        </w:p>
                        <w:p w14:paraId="3307D3A0" w14:textId="77777777" w:rsidR="00D54B70" w:rsidRDefault="00D925F8">
                          <w:pPr>
                            <w:pStyle w:val="Referentiegegevens"/>
                          </w:pPr>
                          <w:r>
                            <w:t xml:space="preserve">Directie Rechtshandhaving en </w:t>
                          </w:r>
                          <w:r>
                            <w:t>Criminaliteitsbestrijding</w:t>
                          </w:r>
                        </w:p>
                        <w:p w14:paraId="4E4E7797" w14:textId="77777777" w:rsidR="00D54B70" w:rsidRDefault="00D54B70">
                          <w:pPr>
                            <w:pStyle w:val="WitregelW2"/>
                          </w:pPr>
                        </w:p>
                        <w:p w14:paraId="334ECD39" w14:textId="77777777" w:rsidR="00D54B70" w:rsidRDefault="00D925F8">
                          <w:pPr>
                            <w:pStyle w:val="Referentiegegevensbold"/>
                          </w:pPr>
                          <w:r>
                            <w:t>Datum</w:t>
                          </w:r>
                        </w:p>
                        <w:p w14:paraId="7123D6BA" w14:textId="6D29B6EB" w:rsidR="00D54B70" w:rsidRDefault="00D925F8">
                          <w:pPr>
                            <w:pStyle w:val="Referentiegegevens"/>
                          </w:pPr>
                          <w:sdt>
                            <w:sdtPr>
                              <w:id w:val="1248545536"/>
                              <w:date w:fullDate="2026-05-28T00:00:00Z">
                                <w:dateFormat w:val="d MMMM yyyy"/>
                                <w:lid w:val="nl"/>
                                <w:storeMappedDataAs w:val="dateTime"/>
                                <w:calendar w:val="gregorian"/>
                              </w:date>
                            </w:sdtPr>
                            <w:sdtEndPr/>
                            <w:sdtContent>
                              <w:r w:rsidR="003364A0">
                                <w:rPr>
                                  <w:lang w:val="nl"/>
                                </w:rPr>
                                <w:t>28 mei 2026</w:t>
                              </w:r>
                            </w:sdtContent>
                          </w:sdt>
                        </w:p>
                        <w:p w14:paraId="06F1814E" w14:textId="77777777" w:rsidR="00D54B70" w:rsidRDefault="00D54B70">
                          <w:pPr>
                            <w:pStyle w:val="WitregelW1"/>
                          </w:pPr>
                        </w:p>
                        <w:p w14:paraId="79FA37D1" w14:textId="77777777" w:rsidR="00D54B70" w:rsidRDefault="00D925F8">
                          <w:pPr>
                            <w:pStyle w:val="Referentiegegevensbold"/>
                          </w:pPr>
                          <w:r>
                            <w:t>Onze referentie</w:t>
                          </w:r>
                        </w:p>
                        <w:p w14:paraId="0F3C4CC2" w14:textId="77777777" w:rsidR="00D54B70" w:rsidRDefault="00D925F8">
                          <w:pPr>
                            <w:pStyle w:val="Referentiegegevens"/>
                          </w:pPr>
                          <w:r>
                            <w:t>7543507</w:t>
                          </w:r>
                        </w:p>
                      </w:txbxContent>
                    </wps:txbx>
                    <wps:bodyPr vert="horz" wrap="square" lIns="0" tIns="0" rIns="0" bIns="0" anchor="t" anchorCtr="0"/>
                  </wps:wsp>
                </a:graphicData>
              </a:graphic>
            </wp:anchor>
          </w:drawing>
        </mc:Choice>
        <mc:Fallback>
          <w:pict>
            <v:shape w14:anchorId="069A290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BF8CE1C" w14:textId="77777777" w:rsidR="00D54B70" w:rsidRDefault="00D925F8">
                    <w:pPr>
                      <w:pStyle w:val="Referentiegegevensbold"/>
                    </w:pPr>
                    <w:r>
                      <w:t>Directoraat-Generaal Rechtspleging en Rechtshandhaving</w:t>
                    </w:r>
                  </w:p>
                  <w:p w14:paraId="3307D3A0" w14:textId="77777777" w:rsidR="00D54B70" w:rsidRDefault="00D925F8">
                    <w:pPr>
                      <w:pStyle w:val="Referentiegegevens"/>
                    </w:pPr>
                    <w:r>
                      <w:t xml:space="preserve">Directie Rechtshandhaving en </w:t>
                    </w:r>
                    <w:r>
                      <w:t>Criminaliteitsbestrijding</w:t>
                    </w:r>
                  </w:p>
                  <w:p w14:paraId="4E4E7797" w14:textId="77777777" w:rsidR="00D54B70" w:rsidRDefault="00D54B70">
                    <w:pPr>
                      <w:pStyle w:val="WitregelW2"/>
                    </w:pPr>
                  </w:p>
                  <w:p w14:paraId="334ECD39" w14:textId="77777777" w:rsidR="00D54B70" w:rsidRDefault="00D925F8">
                    <w:pPr>
                      <w:pStyle w:val="Referentiegegevensbold"/>
                    </w:pPr>
                    <w:r>
                      <w:t>Datum</w:t>
                    </w:r>
                  </w:p>
                  <w:p w14:paraId="7123D6BA" w14:textId="6D29B6EB" w:rsidR="00D54B70" w:rsidRDefault="00D925F8">
                    <w:pPr>
                      <w:pStyle w:val="Referentiegegevens"/>
                    </w:pPr>
                    <w:sdt>
                      <w:sdtPr>
                        <w:id w:val="1248545536"/>
                        <w:date w:fullDate="2026-05-28T00:00:00Z">
                          <w:dateFormat w:val="d MMMM yyyy"/>
                          <w:lid w:val="nl"/>
                          <w:storeMappedDataAs w:val="dateTime"/>
                          <w:calendar w:val="gregorian"/>
                        </w:date>
                      </w:sdtPr>
                      <w:sdtEndPr/>
                      <w:sdtContent>
                        <w:r w:rsidR="003364A0">
                          <w:rPr>
                            <w:lang w:val="nl"/>
                          </w:rPr>
                          <w:t>28 mei 2026</w:t>
                        </w:r>
                      </w:sdtContent>
                    </w:sdt>
                  </w:p>
                  <w:p w14:paraId="06F1814E" w14:textId="77777777" w:rsidR="00D54B70" w:rsidRDefault="00D54B70">
                    <w:pPr>
                      <w:pStyle w:val="WitregelW1"/>
                    </w:pPr>
                  </w:p>
                  <w:p w14:paraId="79FA37D1" w14:textId="77777777" w:rsidR="00D54B70" w:rsidRDefault="00D925F8">
                    <w:pPr>
                      <w:pStyle w:val="Referentiegegevensbold"/>
                    </w:pPr>
                    <w:r>
                      <w:t>Onze referentie</w:t>
                    </w:r>
                  </w:p>
                  <w:p w14:paraId="0F3C4CC2" w14:textId="77777777" w:rsidR="00D54B70" w:rsidRDefault="00D925F8">
                    <w:pPr>
                      <w:pStyle w:val="Referentiegegevens"/>
                    </w:pPr>
                    <w:r>
                      <w:t>7543507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CE8303" wp14:editId="6B84FCB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632712" w14:textId="77777777" w:rsidR="000B42F1" w:rsidRDefault="000B42F1"/>
                      </w:txbxContent>
                    </wps:txbx>
                    <wps:bodyPr vert="horz" wrap="square" lIns="0" tIns="0" rIns="0" bIns="0" anchor="t" anchorCtr="0"/>
                  </wps:wsp>
                </a:graphicData>
              </a:graphic>
            </wp:anchor>
          </w:drawing>
        </mc:Choice>
        <mc:Fallback>
          <w:pict>
            <v:shape w14:anchorId="76CE830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A632712" w14:textId="77777777" w:rsidR="000B42F1" w:rsidRDefault="000B42F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7E06879" wp14:editId="2714E25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ABF934" w14:textId="009379FE" w:rsidR="00D54B70" w:rsidRDefault="00D925F8">
                          <w:pPr>
                            <w:pStyle w:val="Referentiegegevens"/>
                          </w:pPr>
                          <w:r>
                            <w:t xml:space="preserve">Pagina </w:t>
                          </w:r>
                          <w:r>
                            <w:fldChar w:fldCharType="begin"/>
                          </w:r>
                          <w:r>
                            <w:instrText>PAGE</w:instrText>
                          </w:r>
                          <w:r>
                            <w:fldChar w:fldCharType="separate"/>
                          </w:r>
                          <w:r w:rsidR="00461E93">
                            <w:rPr>
                              <w:noProof/>
                            </w:rPr>
                            <w:t>2</w:t>
                          </w:r>
                          <w:r>
                            <w:fldChar w:fldCharType="end"/>
                          </w:r>
                          <w:r>
                            <w:t xml:space="preserve"> van </w:t>
                          </w:r>
                          <w:r>
                            <w:fldChar w:fldCharType="begin"/>
                          </w:r>
                          <w:r>
                            <w:instrText>NUMPAGES</w:instrText>
                          </w:r>
                          <w:r>
                            <w:fldChar w:fldCharType="separate"/>
                          </w:r>
                          <w:r w:rsidR="00461E93">
                            <w:rPr>
                              <w:noProof/>
                            </w:rPr>
                            <w:t>1</w:t>
                          </w:r>
                          <w:r>
                            <w:fldChar w:fldCharType="end"/>
                          </w:r>
                        </w:p>
                      </w:txbxContent>
                    </wps:txbx>
                    <wps:bodyPr vert="horz" wrap="square" lIns="0" tIns="0" rIns="0" bIns="0" anchor="t" anchorCtr="0"/>
                  </wps:wsp>
                </a:graphicData>
              </a:graphic>
            </wp:anchor>
          </w:drawing>
        </mc:Choice>
        <mc:Fallback>
          <w:pict>
            <v:shape w14:anchorId="67E0687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ABF934" w14:textId="009379FE" w:rsidR="00D54B70" w:rsidRDefault="00D925F8">
                    <w:pPr>
                      <w:pStyle w:val="Referentiegegevens"/>
                    </w:pPr>
                    <w:r>
                      <w:t xml:space="preserve">Pagina </w:t>
                    </w:r>
                    <w:r>
                      <w:fldChar w:fldCharType="begin"/>
                    </w:r>
                    <w:r>
                      <w:instrText>PAGE</w:instrText>
                    </w:r>
                    <w:r>
                      <w:fldChar w:fldCharType="separate"/>
                    </w:r>
                    <w:r w:rsidR="00461E93">
                      <w:rPr>
                        <w:noProof/>
                      </w:rPr>
                      <w:t>2</w:t>
                    </w:r>
                    <w:r>
                      <w:fldChar w:fldCharType="end"/>
                    </w:r>
                    <w:r>
                      <w:t xml:space="preserve"> van </w:t>
                    </w:r>
                    <w:r>
                      <w:fldChar w:fldCharType="begin"/>
                    </w:r>
                    <w:r>
                      <w:instrText>NUMPAGES</w:instrText>
                    </w:r>
                    <w:r>
                      <w:fldChar w:fldCharType="separate"/>
                    </w:r>
                    <w:r w:rsidR="00461E9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C2E7" w14:textId="77777777" w:rsidR="00D54B70" w:rsidRDefault="00D925F8">
    <w:pPr>
      <w:spacing w:after="6377" w:line="14" w:lineRule="exact"/>
    </w:pPr>
    <w:r>
      <w:rPr>
        <w:noProof/>
      </w:rPr>
      <mc:AlternateContent>
        <mc:Choice Requires="wps">
          <w:drawing>
            <wp:anchor distT="0" distB="0" distL="0" distR="0" simplePos="0" relativeHeight="251656192" behindDoc="0" locked="1" layoutInCell="1" allowOverlap="1" wp14:anchorId="673D0604" wp14:editId="2B1CA77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EB2583" w14:textId="77777777" w:rsidR="00D54B70" w:rsidRDefault="00D925F8">
                          <w:pPr>
                            <w:spacing w:line="240" w:lineRule="auto"/>
                          </w:pPr>
                          <w:r>
                            <w:rPr>
                              <w:noProof/>
                            </w:rPr>
                            <w:drawing>
                              <wp:inline distT="0" distB="0" distL="0" distR="0" wp14:anchorId="13C019B9" wp14:editId="4BA78906">
                                <wp:extent cx="467995" cy="1583865"/>
                                <wp:effectExtent l="0" t="0" r="0" b="0"/>
                                <wp:docPr id="7333664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3D060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EB2583" w14:textId="77777777" w:rsidR="00D54B70" w:rsidRDefault="00D925F8">
                    <w:pPr>
                      <w:spacing w:line="240" w:lineRule="auto"/>
                    </w:pPr>
                    <w:r>
                      <w:rPr>
                        <w:noProof/>
                      </w:rPr>
                      <w:drawing>
                        <wp:inline distT="0" distB="0" distL="0" distR="0" wp14:anchorId="13C019B9" wp14:editId="4BA78906">
                          <wp:extent cx="467995" cy="1583865"/>
                          <wp:effectExtent l="0" t="0" r="0" b="0"/>
                          <wp:docPr id="7333664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5504151" wp14:editId="72E67A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D2FB09" w14:textId="77777777" w:rsidR="00D54B70" w:rsidRDefault="00D925F8">
                          <w:pPr>
                            <w:spacing w:line="240" w:lineRule="auto"/>
                          </w:pPr>
                          <w:r>
                            <w:rPr>
                              <w:noProof/>
                            </w:rPr>
                            <w:drawing>
                              <wp:inline distT="0" distB="0" distL="0" distR="0" wp14:anchorId="75409B92" wp14:editId="4A9D1B90">
                                <wp:extent cx="2339975" cy="1582834"/>
                                <wp:effectExtent l="0" t="0" r="0" b="0"/>
                                <wp:docPr id="6670655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50415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FD2FB09" w14:textId="77777777" w:rsidR="00D54B70" w:rsidRDefault="00D925F8">
                    <w:pPr>
                      <w:spacing w:line="240" w:lineRule="auto"/>
                    </w:pPr>
                    <w:r>
                      <w:rPr>
                        <w:noProof/>
                      </w:rPr>
                      <w:drawing>
                        <wp:inline distT="0" distB="0" distL="0" distR="0" wp14:anchorId="75409B92" wp14:editId="4A9D1B90">
                          <wp:extent cx="2339975" cy="1582834"/>
                          <wp:effectExtent l="0" t="0" r="0" b="0"/>
                          <wp:docPr id="6670655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01AAB2" wp14:editId="4DFE265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E41C4B" w14:textId="77777777" w:rsidR="00D54B70" w:rsidRDefault="00D925F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F01AAB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FE41C4B" w14:textId="77777777" w:rsidR="00D54B70" w:rsidRDefault="00D925F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118982" wp14:editId="7DD5190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4B8851" w14:textId="77777777" w:rsidR="00D54B70" w:rsidRDefault="00D925F8">
                          <w:r>
                            <w:t>Aan de Voorzitter van de Tweede Kamer</w:t>
                          </w:r>
                        </w:p>
                        <w:p w14:paraId="1BB997C5" w14:textId="271C4393" w:rsidR="00D54B70" w:rsidRDefault="00D925F8">
                          <w:r>
                            <w:t xml:space="preserve">der </w:t>
                          </w:r>
                          <w:r w:rsidR="00461E93">
                            <w:t>Staten-Generaal</w:t>
                          </w:r>
                        </w:p>
                        <w:p w14:paraId="3A001C49" w14:textId="77777777" w:rsidR="00D54B70" w:rsidRDefault="00D925F8">
                          <w:r>
                            <w:t xml:space="preserve">Postbus 20018 </w:t>
                          </w:r>
                        </w:p>
                        <w:p w14:paraId="3149ED71" w14:textId="77777777" w:rsidR="00D54B70" w:rsidRDefault="00D925F8">
                          <w:r>
                            <w:t>2500 EA  DEN HAAG</w:t>
                          </w:r>
                        </w:p>
                      </w:txbxContent>
                    </wps:txbx>
                    <wps:bodyPr vert="horz" wrap="square" lIns="0" tIns="0" rIns="0" bIns="0" anchor="t" anchorCtr="0"/>
                  </wps:wsp>
                </a:graphicData>
              </a:graphic>
            </wp:anchor>
          </w:drawing>
        </mc:Choice>
        <mc:Fallback>
          <w:pict>
            <v:shape w14:anchorId="2A11898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4B8851" w14:textId="77777777" w:rsidR="00D54B70" w:rsidRDefault="00D925F8">
                    <w:r>
                      <w:t>Aan de Voorzitter van de Tweede Kamer</w:t>
                    </w:r>
                  </w:p>
                  <w:p w14:paraId="1BB997C5" w14:textId="271C4393" w:rsidR="00D54B70" w:rsidRDefault="00D925F8">
                    <w:r>
                      <w:t xml:space="preserve">der </w:t>
                    </w:r>
                    <w:r w:rsidR="00461E93">
                      <w:t>Staten-Generaal</w:t>
                    </w:r>
                  </w:p>
                  <w:p w14:paraId="3A001C49" w14:textId="77777777" w:rsidR="00D54B70" w:rsidRDefault="00D925F8">
                    <w:r>
                      <w:t xml:space="preserve">Postbus 20018 </w:t>
                    </w:r>
                  </w:p>
                  <w:p w14:paraId="3149ED71" w14:textId="77777777" w:rsidR="00D54B70" w:rsidRDefault="00D925F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32D91A8" wp14:editId="3639C6C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4B70" w14:paraId="249716B7" w14:textId="77777777">
                            <w:trPr>
                              <w:trHeight w:val="240"/>
                            </w:trPr>
                            <w:tc>
                              <w:tcPr>
                                <w:tcW w:w="1140" w:type="dxa"/>
                              </w:tcPr>
                              <w:p w14:paraId="7BB1AE1E" w14:textId="77777777" w:rsidR="00D54B70" w:rsidRDefault="00D925F8">
                                <w:r>
                                  <w:t>Datum</w:t>
                                </w:r>
                              </w:p>
                            </w:tc>
                            <w:tc>
                              <w:tcPr>
                                <w:tcW w:w="5918" w:type="dxa"/>
                              </w:tcPr>
                              <w:p w14:paraId="6A71A36A" w14:textId="4B45A1BC" w:rsidR="00D54B70" w:rsidRDefault="00D925F8">
                                <w:sdt>
                                  <w:sdtPr>
                                    <w:id w:val="1074088842"/>
                                    <w:date w:fullDate="2026-05-28T00:00:00Z">
                                      <w:dateFormat w:val="d MMMM yyyy"/>
                                      <w:lid w:val="nl"/>
                                      <w:storeMappedDataAs w:val="dateTime"/>
                                      <w:calendar w:val="gregorian"/>
                                    </w:date>
                                  </w:sdtPr>
                                  <w:sdtEndPr/>
                                  <w:sdtContent>
                                    <w:r w:rsidR="003364A0">
                                      <w:rPr>
                                        <w:lang w:val="nl"/>
                                      </w:rPr>
                                      <w:t>28 mei 2026</w:t>
                                    </w:r>
                                  </w:sdtContent>
                                </w:sdt>
                              </w:p>
                            </w:tc>
                          </w:tr>
                          <w:tr w:rsidR="00D54B70" w14:paraId="4E4C640B" w14:textId="77777777">
                            <w:trPr>
                              <w:trHeight w:val="240"/>
                            </w:trPr>
                            <w:tc>
                              <w:tcPr>
                                <w:tcW w:w="1140" w:type="dxa"/>
                              </w:tcPr>
                              <w:p w14:paraId="534F31F6" w14:textId="77777777" w:rsidR="00D54B70" w:rsidRDefault="00D925F8">
                                <w:r>
                                  <w:t>Betreft</w:t>
                                </w:r>
                              </w:p>
                            </w:tc>
                            <w:tc>
                              <w:tcPr>
                                <w:tcW w:w="5918" w:type="dxa"/>
                              </w:tcPr>
                              <w:p w14:paraId="203C8F26" w14:textId="77777777" w:rsidR="00D54B70" w:rsidRDefault="00D925F8">
                                <w:r>
                                  <w:t>Antwoorden Kamervragen over de toepassing van snelrecht bij AZC-demonstrant en niet bij AZC-bezetter</w:t>
                                </w:r>
                              </w:p>
                            </w:tc>
                          </w:tr>
                        </w:tbl>
                        <w:p w14:paraId="63A6DF86" w14:textId="77777777" w:rsidR="000B42F1" w:rsidRDefault="000B42F1"/>
                      </w:txbxContent>
                    </wps:txbx>
                    <wps:bodyPr vert="horz" wrap="square" lIns="0" tIns="0" rIns="0" bIns="0" anchor="t" anchorCtr="0"/>
                  </wps:wsp>
                </a:graphicData>
              </a:graphic>
            </wp:anchor>
          </w:drawing>
        </mc:Choice>
        <mc:Fallback>
          <w:pict>
            <v:shape w14:anchorId="732D91A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4B70" w14:paraId="249716B7" w14:textId="77777777">
                      <w:trPr>
                        <w:trHeight w:val="240"/>
                      </w:trPr>
                      <w:tc>
                        <w:tcPr>
                          <w:tcW w:w="1140" w:type="dxa"/>
                        </w:tcPr>
                        <w:p w14:paraId="7BB1AE1E" w14:textId="77777777" w:rsidR="00D54B70" w:rsidRDefault="00D925F8">
                          <w:r>
                            <w:t>Datum</w:t>
                          </w:r>
                        </w:p>
                      </w:tc>
                      <w:tc>
                        <w:tcPr>
                          <w:tcW w:w="5918" w:type="dxa"/>
                        </w:tcPr>
                        <w:p w14:paraId="6A71A36A" w14:textId="4B45A1BC" w:rsidR="00D54B70" w:rsidRDefault="00D925F8">
                          <w:sdt>
                            <w:sdtPr>
                              <w:id w:val="1074088842"/>
                              <w:date w:fullDate="2026-05-28T00:00:00Z">
                                <w:dateFormat w:val="d MMMM yyyy"/>
                                <w:lid w:val="nl"/>
                                <w:storeMappedDataAs w:val="dateTime"/>
                                <w:calendar w:val="gregorian"/>
                              </w:date>
                            </w:sdtPr>
                            <w:sdtEndPr/>
                            <w:sdtContent>
                              <w:r w:rsidR="003364A0">
                                <w:rPr>
                                  <w:lang w:val="nl"/>
                                </w:rPr>
                                <w:t>28 mei 2026</w:t>
                              </w:r>
                            </w:sdtContent>
                          </w:sdt>
                        </w:p>
                      </w:tc>
                    </w:tr>
                    <w:tr w:rsidR="00D54B70" w14:paraId="4E4C640B" w14:textId="77777777">
                      <w:trPr>
                        <w:trHeight w:val="240"/>
                      </w:trPr>
                      <w:tc>
                        <w:tcPr>
                          <w:tcW w:w="1140" w:type="dxa"/>
                        </w:tcPr>
                        <w:p w14:paraId="534F31F6" w14:textId="77777777" w:rsidR="00D54B70" w:rsidRDefault="00D925F8">
                          <w:r>
                            <w:t>Betreft</w:t>
                          </w:r>
                        </w:p>
                      </w:tc>
                      <w:tc>
                        <w:tcPr>
                          <w:tcW w:w="5918" w:type="dxa"/>
                        </w:tcPr>
                        <w:p w14:paraId="203C8F26" w14:textId="77777777" w:rsidR="00D54B70" w:rsidRDefault="00D925F8">
                          <w:r>
                            <w:t>Antwoorden Kamervragen over de toepassing van snelrecht bij AZC-demonstrant en niet bij AZC-bezetter</w:t>
                          </w:r>
                        </w:p>
                      </w:tc>
                    </w:tr>
                  </w:tbl>
                  <w:p w14:paraId="63A6DF86" w14:textId="77777777" w:rsidR="000B42F1" w:rsidRDefault="000B42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8AA32B" wp14:editId="1EA2864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C864D8" w14:textId="77777777" w:rsidR="00D54B70" w:rsidRDefault="00D925F8">
                          <w:pPr>
                            <w:pStyle w:val="Referentiegegevensbold"/>
                          </w:pPr>
                          <w:r>
                            <w:t>Directoraat-Generaal Rechtspleging en Rechtshandhaving</w:t>
                          </w:r>
                        </w:p>
                        <w:p w14:paraId="41D16E69" w14:textId="77777777" w:rsidR="00D54B70" w:rsidRDefault="00D925F8">
                          <w:pPr>
                            <w:pStyle w:val="Referentiegegevens"/>
                          </w:pPr>
                          <w:r>
                            <w:t>Directie Rechtshandhaving en Criminaliteitsbestrijding</w:t>
                          </w:r>
                        </w:p>
                        <w:p w14:paraId="1A8597FA" w14:textId="77777777" w:rsidR="00D54B70" w:rsidRDefault="00D54B70">
                          <w:pPr>
                            <w:pStyle w:val="WitregelW1"/>
                          </w:pPr>
                        </w:p>
                        <w:p w14:paraId="1223FF88" w14:textId="77777777" w:rsidR="00D54B70" w:rsidRPr="00A543AE" w:rsidRDefault="00D925F8">
                          <w:pPr>
                            <w:pStyle w:val="Referentiegegevens"/>
                            <w:rPr>
                              <w:lang w:val="de-DE"/>
                            </w:rPr>
                          </w:pPr>
                          <w:proofErr w:type="spellStart"/>
                          <w:r w:rsidRPr="00A543AE">
                            <w:rPr>
                              <w:lang w:val="de-DE"/>
                            </w:rPr>
                            <w:t>Turfmarkt</w:t>
                          </w:r>
                          <w:proofErr w:type="spellEnd"/>
                          <w:r w:rsidRPr="00A543AE">
                            <w:rPr>
                              <w:lang w:val="de-DE"/>
                            </w:rPr>
                            <w:t xml:space="preserve"> 147</w:t>
                          </w:r>
                        </w:p>
                        <w:p w14:paraId="0A0EB03E" w14:textId="77777777" w:rsidR="00D54B70" w:rsidRPr="00A543AE" w:rsidRDefault="00D925F8">
                          <w:pPr>
                            <w:pStyle w:val="Referentiegegevens"/>
                            <w:rPr>
                              <w:lang w:val="de-DE"/>
                            </w:rPr>
                          </w:pPr>
                          <w:r w:rsidRPr="00A543AE">
                            <w:rPr>
                              <w:lang w:val="de-DE"/>
                            </w:rPr>
                            <w:t>2511 DP  Den Haag</w:t>
                          </w:r>
                        </w:p>
                        <w:p w14:paraId="708BF7F6" w14:textId="77777777" w:rsidR="00D54B70" w:rsidRPr="00A543AE" w:rsidRDefault="00D925F8">
                          <w:pPr>
                            <w:pStyle w:val="Referentiegegevens"/>
                            <w:rPr>
                              <w:lang w:val="de-DE"/>
                            </w:rPr>
                          </w:pPr>
                          <w:r w:rsidRPr="00A543AE">
                            <w:rPr>
                              <w:lang w:val="de-DE"/>
                            </w:rPr>
                            <w:t>Postbus 20301</w:t>
                          </w:r>
                        </w:p>
                        <w:p w14:paraId="44B49679" w14:textId="77777777" w:rsidR="00D54B70" w:rsidRPr="00A543AE" w:rsidRDefault="00D925F8">
                          <w:pPr>
                            <w:pStyle w:val="Referentiegegevens"/>
                            <w:rPr>
                              <w:lang w:val="de-DE"/>
                            </w:rPr>
                          </w:pPr>
                          <w:r w:rsidRPr="00A543AE">
                            <w:rPr>
                              <w:lang w:val="de-DE"/>
                            </w:rPr>
                            <w:t>2500 EH  Den Haag</w:t>
                          </w:r>
                        </w:p>
                        <w:p w14:paraId="5EFD6E68" w14:textId="77777777" w:rsidR="00D54B70" w:rsidRPr="00A543AE" w:rsidRDefault="00D925F8">
                          <w:pPr>
                            <w:pStyle w:val="Referentiegegevens"/>
                            <w:rPr>
                              <w:lang w:val="de-DE"/>
                            </w:rPr>
                          </w:pPr>
                          <w:r w:rsidRPr="00A543AE">
                            <w:rPr>
                              <w:lang w:val="de-DE"/>
                            </w:rPr>
                            <w:t>www.rijksoverheid.nl/jenv</w:t>
                          </w:r>
                        </w:p>
                        <w:p w14:paraId="3B816C70" w14:textId="77777777" w:rsidR="00D54B70" w:rsidRPr="00A543AE" w:rsidRDefault="00D54B70">
                          <w:pPr>
                            <w:pStyle w:val="WitregelW1"/>
                            <w:rPr>
                              <w:lang w:val="de-DE"/>
                            </w:rPr>
                          </w:pPr>
                        </w:p>
                        <w:p w14:paraId="4D0F256E" w14:textId="77777777" w:rsidR="00D54B70" w:rsidRDefault="00D925F8">
                          <w:pPr>
                            <w:pStyle w:val="Referentiegegevensbold"/>
                          </w:pPr>
                          <w:r>
                            <w:t>Onze referentie</w:t>
                          </w:r>
                        </w:p>
                        <w:p w14:paraId="591BB950" w14:textId="77777777" w:rsidR="00D54B70" w:rsidRDefault="00D925F8">
                          <w:pPr>
                            <w:pStyle w:val="Referentiegegevens"/>
                          </w:pPr>
                          <w:r>
                            <w:t>7543507</w:t>
                          </w:r>
                        </w:p>
                        <w:p w14:paraId="17A10F6D" w14:textId="77777777" w:rsidR="00D54B70" w:rsidRDefault="00D54B70">
                          <w:pPr>
                            <w:pStyle w:val="WitregelW1"/>
                          </w:pPr>
                        </w:p>
                        <w:p w14:paraId="18D98884" w14:textId="77777777" w:rsidR="00D54B70" w:rsidRDefault="00D925F8">
                          <w:pPr>
                            <w:pStyle w:val="Referentiegegevensbold"/>
                          </w:pPr>
                          <w:r>
                            <w:t>Uw referentie</w:t>
                          </w:r>
                        </w:p>
                        <w:p w14:paraId="6C56E11B" w14:textId="77777777" w:rsidR="00D54B70" w:rsidRDefault="00D925F8">
                          <w:pPr>
                            <w:pStyle w:val="Referentiegegevens"/>
                          </w:pPr>
                          <w:sdt>
                            <w:sdtPr>
                              <w:id w:val="1397856908"/>
                              <w:dataBinding w:prefixMappings="xmlns:ns0='docgen-assistant'" w:xpath="/ns0:CustomXml[1]/ns0:Variables[1]/ns0:Variable[1]/ns0:Value[1]" w:storeItemID="{69D6EEC8-C9E1-4904-8281-341938F2DEB0}"/>
                              <w:text/>
                            </w:sdtPr>
                            <w:sdtEndPr/>
                            <w:sdtContent>
                              <w:r w:rsidR="00020076">
                                <w:t>2026Z09126</w:t>
                              </w:r>
                            </w:sdtContent>
                          </w:sdt>
                        </w:p>
                      </w:txbxContent>
                    </wps:txbx>
                    <wps:bodyPr vert="horz" wrap="square" lIns="0" tIns="0" rIns="0" bIns="0" anchor="t" anchorCtr="0"/>
                  </wps:wsp>
                </a:graphicData>
              </a:graphic>
            </wp:anchor>
          </w:drawing>
        </mc:Choice>
        <mc:Fallback>
          <w:pict>
            <v:shape w14:anchorId="618AA32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BC864D8" w14:textId="77777777" w:rsidR="00D54B70" w:rsidRDefault="00D925F8">
                    <w:pPr>
                      <w:pStyle w:val="Referentiegegevensbold"/>
                    </w:pPr>
                    <w:r>
                      <w:t>Directoraat-Generaal Rechtspleging en Rechtshandhaving</w:t>
                    </w:r>
                  </w:p>
                  <w:p w14:paraId="41D16E69" w14:textId="77777777" w:rsidR="00D54B70" w:rsidRDefault="00D925F8">
                    <w:pPr>
                      <w:pStyle w:val="Referentiegegevens"/>
                    </w:pPr>
                    <w:r>
                      <w:t>Directie Rechtshandhaving en Criminaliteitsbestrijding</w:t>
                    </w:r>
                  </w:p>
                  <w:p w14:paraId="1A8597FA" w14:textId="77777777" w:rsidR="00D54B70" w:rsidRDefault="00D54B70">
                    <w:pPr>
                      <w:pStyle w:val="WitregelW1"/>
                    </w:pPr>
                  </w:p>
                  <w:p w14:paraId="1223FF88" w14:textId="77777777" w:rsidR="00D54B70" w:rsidRPr="00A543AE" w:rsidRDefault="00D925F8">
                    <w:pPr>
                      <w:pStyle w:val="Referentiegegevens"/>
                      <w:rPr>
                        <w:lang w:val="de-DE"/>
                      </w:rPr>
                    </w:pPr>
                    <w:proofErr w:type="spellStart"/>
                    <w:r w:rsidRPr="00A543AE">
                      <w:rPr>
                        <w:lang w:val="de-DE"/>
                      </w:rPr>
                      <w:t>Turfmarkt</w:t>
                    </w:r>
                    <w:proofErr w:type="spellEnd"/>
                    <w:r w:rsidRPr="00A543AE">
                      <w:rPr>
                        <w:lang w:val="de-DE"/>
                      </w:rPr>
                      <w:t xml:space="preserve"> 147</w:t>
                    </w:r>
                  </w:p>
                  <w:p w14:paraId="0A0EB03E" w14:textId="77777777" w:rsidR="00D54B70" w:rsidRPr="00A543AE" w:rsidRDefault="00D925F8">
                    <w:pPr>
                      <w:pStyle w:val="Referentiegegevens"/>
                      <w:rPr>
                        <w:lang w:val="de-DE"/>
                      </w:rPr>
                    </w:pPr>
                    <w:r w:rsidRPr="00A543AE">
                      <w:rPr>
                        <w:lang w:val="de-DE"/>
                      </w:rPr>
                      <w:t>2511 DP  Den Haag</w:t>
                    </w:r>
                  </w:p>
                  <w:p w14:paraId="708BF7F6" w14:textId="77777777" w:rsidR="00D54B70" w:rsidRPr="00A543AE" w:rsidRDefault="00D925F8">
                    <w:pPr>
                      <w:pStyle w:val="Referentiegegevens"/>
                      <w:rPr>
                        <w:lang w:val="de-DE"/>
                      </w:rPr>
                    </w:pPr>
                    <w:r w:rsidRPr="00A543AE">
                      <w:rPr>
                        <w:lang w:val="de-DE"/>
                      </w:rPr>
                      <w:t>Postbus 20301</w:t>
                    </w:r>
                  </w:p>
                  <w:p w14:paraId="44B49679" w14:textId="77777777" w:rsidR="00D54B70" w:rsidRPr="00A543AE" w:rsidRDefault="00D925F8">
                    <w:pPr>
                      <w:pStyle w:val="Referentiegegevens"/>
                      <w:rPr>
                        <w:lang w:val="de-DE"/>
                      </w:rPr>
                    </w:pPr>
                    <w:r w:rsidRPr="00A543AE">
                      <w:rPr>
                        <w:lang w:val="de-DE"/>
                      </w:rPr>
                      <w:t>2500 EH  Den Haag</w:t>
                    </w:r>
                  </w:p>
                  <w:p w14:paraId="5EFD6E68" w14:textId="77777777" w:rsidR="00D54B70" w:rsidRPr="00A543AE" w:rsidRDefault="00D925F8">
                    <w:pPr>
                      <w:pStyle w:val="Referentiegegevens"/>
                      <w:rPr>
                        <w:lang w:val="de-DE"/>
                      </w:rPr>
                    </w:pPr>
                    <w:r w:rsidRPr="00A543AE">
                      <w:rPr>
                        <w:lang w:val="de-DE"/>
                      </w:rPr>
                      <w:t>www.rijksoverheid.nl/jenv</w:t>
                    </w:r>
                  </w:p>
                  <w:p w14:paraId="3B816C70" w14:textId="77777777" w:rsidR="00D54B70" w:rsidRPr="00A543AE" w:rsidRDefault="00D54B70">
                    <w:pPr>
                      <w:pStyle w:val="WitregelW1"/>
                      <w:rPr>
                        <w:lang w:val="de-DE"/>
                      </w:rPr>
                    </w:pPr>
                  </w:p>
                  <w:p w14:paraId="4D0F256E" w14:textId="77777777" w:rsidR="00D54B70" w:rsidRDefault="00D925F8">
                    <w:pPr>
                      <w:pStyle w:val="Referentiegegevensbold"/>
                    </w:pPr>
                    <w:r>
                      <w:t>Onze referentie</w:t>
                    </w:r>
                  </w:p>
                  <w:p w14:paraId="591BB950" w14:textId="77777777" w:rsidR="00D54B70" w:rsidRDefault="00D925F8">
                    <w:pPr>
                      <w:pStyle w:val="Referentiegegevens"/>
                    </w:pPr>
                    <w:r>
                      <w:t>7543507</w:t>
                    </w:r>
                  </w:p>
                  <w:p w14:paraId="17A10F6D" w14:textId="77777777" w:rsidR="00D54B70" w:rsidRDefault="00D54B70">
                    <w:pPr>
                      <w:pStyle w:val="WitregelW1"/>
                    </w:pPr>
                  </w:p>
                  <w:p w14:paraId="18D98884" w14:textId="77777777" w:rsidR="00D54B70" w:rsidRDefault="00D925F8">
                    <w:pPr>
                      <w:pStyle w:val="Referentiegegevensbold"/>
                    </w:pPr>
                    <w:r>
                      <w:t>Uw referentie</w:t>
                    </w:r>
                  </w:p>
                  <w:p w14:paraId="6C56E11B" w14:textId="77777777" w:rsidR="00D54B70" w:rsidRDefault="00D925F8">
                    <w:pPr>
                      <w:pStyle w:val="Referentiegegevens"/>
                    </w:pPr>
                    <w:sdt>
                      <w:sdtPr>
                        <w:id w:val="1397856908"/>
                        <w:dataBinding w:prefixMappings="xmlns:ns0='docgen-assistant'" w:xpath="/ns0:CustomXml[1]/ns0:Variables[1]/ns0:Variable[1]/ns0:Value[1]" w:storeItemID="{69D6EEC8-C9E1-4904-8281-341938F2DEB0}"/>
                        <w:text/>
                      </w:sdtPr>
                      <w:sdtEndPr/>
                      <w:sdtContent>
                        <w:r w:rsidR="00020076">
                          <w:t>2026Z09126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C0653F1" wp14:editId="79CF31F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8081B6" w14:textId="77777777" w:rsidR="00D54B70" w:rsidRDefault="00D925F8">
                          <w:pPr>
                            <w:pStyle w:val="Referentiegegevens"/>
                          </w:pPr>
                          <w:r>
                            <w:t xml:space="preserve">Pagina </w:t>
                          </w:r>
                          <w:r>
                            <w:fldChar w:fldCharType="begin"/>
                          </w:r>
                          <w:r>
                            <w:instrText>PAGE</w:instrText>
                          </w:r>
                          <w:r>
                            <w:fldChar w:fldCharType="separate"/>
                          </w:r>
                          <w:r w:rsidR="00461E93">
                            <w:rPr>
                              <w:noProof/>
                            </w:rPr>
                            <w:t>1</w:t>
                          </w:r>
                          <w:r>
                            <w:fldChar w:fldCharType="end"/>
                          </w:r>
                          <w:r>
                            <w:t xml:space="preserve"> van </w:t>
                          </w:r>
                          <w:r>
                            <w:fldChar w:fldCharType="begin"/>
                          </w:r>
                          <w:r>
                            <w:instrText>NUMPAGES</w:instrText>
                          </w:r>
                          <w:r>
                            <w:fldChar w:fldCharType="separate"/>
                          </w:r>
                          <w:r w:rsidR="00461E93">
                            <w:rPr>
                              <w:noProof/>
                            </w:rPr>
                            <w:t>1</w:t>
                          </w:r>
                          <w:r>
                            <w:fldChar w:fldCharType="end"/>
                          </w:r>
                        </w:p>
                      </w:txbxContent>
                    </wps:txbx>
                    <wps:bodyPr vert="horz" wrap="square" lIns="0" tIns="0" rIns="0" bIns="0" anchor="t" anchorCtr="0"/>
                  </wps:wsp>
                </a:graphicData>
              </a:graphic>
            </wp:anchor>
          </w:drawing>
        </mc:Choice>
        <mc:Fallback>
          <w:pict>
            <v:shape w14:anchorId="5C0653F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8081B6" w14:textId="77777777" w:rsidR="00D54B70" w:rsidRDefault="00D925F8">
                    <w:pPr>
                      <w:pStyle w:val="Referentiegegevens"/>
                    </w:pPr>
                    <w:r>
                      <w:t xml:space="preserve">Pagina </w:t>
                    </w:r>
                    <w:r>
                      <w:fldChar w:fldCharType="begin"/>
                    </w:r>
                    <w:r>
                      <w:instrText>PAGE</w:instrText>
                    </w:r>
                    <w:r>
                      <w:fldChar w:fldCharType="separate"/>
                    </w:r>
                    <w:r w:rsidR="00461E93">
                      <w:rPr>
                        <w:noProof/>
                      </w:rPr>
                      <w:t>1</w:t>
                    </w:r>
                    <w:r>
                      <w:fldChar w:fldCharType="end"/>
                    </w:r>
                    <w:r>
                      <w:t xml:space="preserve"> van </w:t>
                    </w:r>
                    <w:r>
                      <w:fldChar w:fldCharType="begin"/>
                    </w:r>
                    <w:r>
                      <w:instrText>NUMPAGES</w:instrText>
                    </w:r>
                    <w:r>
                      <w:fldChar w:fldCharType="separate"/>
                    </w:r>
                    <w:r w:rsidR="00461E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BBF240" wp14:editId="714932E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5192F5" w14:textId="77777777" w:rsidR="000B42F1" w:rsidRDefault="000B42F1"/>
                      </w:txbxContent>
                    </wps:txbx>
                    <wps:bodyPr vert="horz" wrap="square" lIns="0" tIns="0" rIns="0" bIns="0" anchor="t" anchorCtr="0"/>
                  </wps:wsp>
                </a:graphicData>
              </a:graphic>
            </wp:anchor>
          </w:drawing>
        </mc:Choice>
        <mc:Fallback>
          <w:pict>
            <v:shape w14:anchorId="1CBBF24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E5192F5" w14:textId="77777777" w:rsidR="000B42F1" w:rsidRDefault="000B42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468E0"/>
    <w:multiLevelType w:val="multilevel"/>
    <w:tmpl w:val="02FFE22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08565FB"/>
    <w:multiLevelType w:val="multilevel"/>
    <w:tmpl w:val="2D65E36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53194B1"/>
    <w:multiLevelType w:val="multilevel"/>
    <w:tmpl w:val="7342AC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0B43C2"/>
    <w:multiLevelType w:val="multilevel"/>
    <w:tmpl w:val="14C6C2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DFF72C"/>
    <w:multiLevelType w:val="multilevel"/>
    <w:tmpl w:val="60070E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1F85A0A"/>
    <w:multiLevelType w:val="hybridMultilevel"/>
    <w:tmpl w:val="ED5A43D2"/>
    <w:lvl w:ilvl="0" w:tplc="4F48E210">
      <w:start w:val="1"/>
      <w:numFmt w:val="decimal"/>
      <w:lvlText w:val="%1."/>
      <w:lvlJc w:val="left"/>
      <w:pPr>
        <w:ind w:left="720" w:hanging="360"/>
      </w:pPr>
    </w:lvl>
    <w:lvl w:ilvl="1" w:tplc="0A026A7E">
      <w:start w:val="1"/>
      <w:numFmt w:val="lowerLetter"/>
      <w:lvlText w:val="%2."/>
      <w:lvlJc w:val="left"/>
      <w:pPr>
        <w:ind w:left="1440" w:hanging="360"/>
      </w:pPr>
    </w:lvl>
    <w:lvl w:ilvl="2" w:tplc="F4945DF4">
      <w:start w:val="1"/>
      <w:numFmt w:val="lowerRoman"/>
      <w:lvlText w:val="%3."/>
      <w:lvlJc w:val="right"/>
      <w:pPr>
        <w:ind w:left="2160" w:hanging="180"/>
      </w:pPr>
    </w:lvl>
    <w:lvl w:ilvl="3" w:tplc="C8F04ED0">
      <w:start w:val="1"/>
      <w:numFmt w:val="decimal"/>
      <w:lvlText w:val="%4."/>
      <w:lvlJc w:val="left"/>
      <w:pPr>
        <w:ind w:left="2880" w:hanging="360"/>
      </w:pPr>
    </w:lvl>
    <w:lvl w:ilvl="4" w:tplc="D3D89B36">
      <w:start w:val="1"/>
      <w:numFmt w:val="lowerLetter"/>
      <w:lvlText w:val="%5."/>
      <w:lvlJc w:val="left"/>
      <w:pPr>
        <w:ind w:left="3600" w:hanging="360"/>
      </w:pPr>
    </w:lvl>
    <w:lvl w:ilvl="5" w:tplc="ECFAB94A">
      <w:start w:val="1"/>
      <w:numFmt w:val="lowerRoman"/>
      <w:lvlText w:val="%6."/>
      <w:lvlJc w:val="right"/>
      <w:pPr>
        <w:ind w:left="4320" w:hanging="180"/>
      </w:pPr>
    </w:lvl>
    <w:lvl w:ilvl="6" w:tplc="00F4CBFC">
      <w:start w:val="1"/>
      <w:numFmt w:val="decimal"/>
      <w:lvlText w:val="%7."/>
      <w:lvlJc w:val="left"/>
      <w:pPr>
        <w:ind w:left="5040" w:hanging="360"/>
      </w:pPr>
    </w:lvl>
    <w:lvl w:ilvl="7" w:tplc="0E7E60CE">
      <w:start w:val="1"/>
      <w:numFmt w:val="lowerLetter"/>
      <w:lvlText w:val="%8."/>
      <w:lvlJc w:val="left"/>
      <w:pPr>
        <w:ind w:left="5760" w:hanging="360"/>
      </w:pPr>
    </w:lvl>
    <w:lvl w:ilvl="8" w:tplc="1D3E3EC4">
      <w:start w:val="1"/>
      <w:numFmt w:val="lowerRoman"/>
      <w:lvlText w:val="%9."/>
      <w:lvlJc w:val="right"/>
      <w:pPr>
        <w:ind w:left="6480" w:hanging="180"/>
      </w:pPr>
    </w:lvl>
  </w:abstractNum>
  <w:abstractNum w:abstractNumId="6" w15:restartNumberingAfterBreak="0">
    <w:nsid w:val="7F48FAE7"/>
    <w:multiLevelType w:val="multilevel"/>
    <w:tmpl w:val="C0B87E3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21157263">
    <w:abstractNumId w:val="1"/>
  </w:num>
  <w:num w:numId="2" w16cid:durableId="1721325333">
    <w:abstractNumId w:val="6"/>
  </w:num>
  <w:num w:numId="3" w16cid:durableId="894320005">
    <w:abstractNumId w:val="2"/>
  </w:num>
  <w:num w:numId="4" w16cid:durableId="1407263810">
    <w:abstractNumId w:val="3"/>
  </w:num>
  <w:num w:numId="5" w16cid:durableId="1572035989">
    <w:abstractNumId w:val="0"/>
  </w:num>
  <w:num w:numId="6" w16cid:durableId="940839516">
    <w:abstractNumId w:val="4"/>
  </w:num>
  <w:num w:numId="7" w16cid:durableId="471366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3"/>
    <w:rsid w:val="00020076"/>
    <w:rsid w:val="000B42F1"/>
    <w:rsid w:val="001269B5"/>
    <w:rsid w:val="00171008"/>
    <w:rsid w:val="001D3264"/>
    <w:rsid w:val="001D6B1D"/>
    <w:rsid w:val="00212ABF"/>
    <w:rsid w:val="002411F4"/>
    <w:rsid w:val="002C2DFD"/>
    <w:rsid w:val="002D46B1"/>
    <w:rsid w:val="00331C78"/>
    <w:rsid w:val="003364A0"/>
    <w:rsid w:val="003C6887"/>
    <w:rsid w:val="00461E93"/>
    <w:rsid w:val="004A17A4"/>
    <w:rsid w:val="0054168A"/>
    <w:rsid w:val="00580ACE"/>
    <w:rsid w:val="00585739"/>
    <w:rsid w:val="0062523E"/>
    <w:rsid w:val="00652778"/>
    <w:rsid w:val="006B1ABE"/>
    <w:rsid w:val="00743F78"/>
    <w:rsid w:val="00777B24"/>
    <w:rsid w:val="00A543AE"/>
    <w:rsid w:val="00A847F6"/>
    <w:rsid w:val="00B176FD"/>
    <w:rsid w:val="00C93059"/>
    <w:rsid w:val="00D54B70"/>
    <w:rsid w:val="00D72463"/>
    <w:rsid w:val="00D925F8"/>
    <w:rsid w:val="00D949DB"/>
    <w:rsid w:val="00E45159"/>
    <w:rsid w:val="00EB5AA5"/>
    <w:rsid w:val="00ED543E"/>
    <w:rsid w:val="00F20EC0"/>
    <w:rsid w:val="00F25A34"/>
    <w:rsid w:val="00F422BB"/>
    <w:rsid w:val="00F562F3"/>
    <w:rsid w:val="00F70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98EBE"/>
  <w15:docId w15:val="{4B2DDB2B-B538-4F9F-A33D-AECABDA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1E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1E93"/>
    <w:rPr>
      <w:rFonts w:ascii="Verdana" w:hAnsi="Verdana"/>
      <w:color w:val="000000"/>
      <w:sz w:val="18"/>
      <w:szCs w:val="18"/>
    </w:rPr>
  </w:style>
  <w:style w:type="paragraph" w:styleId="Revisie">
    <w:name w:val="Revision"/>
    <w:hidden/>
    <w:uiPriority w:val="99"/>
    <w:semiHidden/>
    <w:rsid w:val="00743F7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527</ap:Words>
  <ap:Characters>2901</ap:Characters>
  <ap:DocSecurity>0</ap:DocSecurity>
  <ap:Lines>24</ap:Lines>
  <ap:Paragraphs>6</ap:Paragraphs>
  <ap:ScaleCrop>false</ap:ScaleCrop>
  <ap:LinksUpToDate>false</ap:LinksUpToDate>
  <ap:CharactersWithSpaces>3422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2026-05-28T12:47:00.0000000Z</dcterms:created>
  <dcterms:modified xsi:type="dcterms:W3CDTF">2026-05-28T12:47:00.0000000Z</dcterms:modified>
  <dc:description>------------------------</dc:description>
  <version/>
  <category/>
</coreProperties>
</file>