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72D91" w:rsidP="00D51B6B" w14:paraId="20C05607" w14:textId="77777777">
      <w:r>
        <w:t xml:space="preserve">Mede namens de </w:t>
      </w:r>
      <w:r w:rsidR="00706019">
        <w:t>s</w:t>
      </w:r>
      <w:r>
        <w:t xml:space="preserve">taatssecretaris van Financiën als medefondsbeheerder en de </w:t>
      </w:r>
      <w:r w:rsidR="00706019">
        <w:t>m</w:t>
      </w:r>
      <w:r>
        <w:t>inister van Langdurige Zorg, Jeugd en Sport als beleidsverantwoordelijke voor de jeugdzorg</w:t>
      </w:r>
      <w:r w:rsidR="00DD3C34">
        <w:t xml:space="preserve"> en de Wet maatschappelijke ondersteuning 2015 (</w:t>
      </w:r>
      <w:r w:rsidR="00DD3C34">
        <w:t>Wmo</w:t>
      </w:r>
      <w:r w:rsidR="00DD3C34">
        <w:t xml:space="preserve"> 2015)</w:t>
      </w:r>
      <w:r>
        <w:t>, informeer ik u over het vervolgtraject van de verdeling van de algemene uitkering van het gemeentefonds.</w:t>
      </w:r>
    </w:p>
    <w:p w:rsidR="00372D91" w:rsidP="00D51B6B" w14:paraId="0DB0FB79" w14:textId="77777777"/>
    <w:p w:rsidR="00876348" w:rsidP="00950E2F" w14:paraId="59AC1BE2" w14:textId="77777777">
      <w:bookmarkStart w:name="_Hlk229552869" w:id="0"/>
      <w:r>
        <w:t>We</w:t>
      </w:r>
      <w:r w:rsidR="00285DC2">
        <w:t xml:space="preserve"> hebben uw Kamer</w:t>
      </w:r>
      <w:r>
        <w:t xml:space="preserve"> </w:t>
      </w:r>
      <w:r w:rsidR="00372D91">
        <w:t>op 22 april jl</w:t>
      </w:r>
      <w:r>
        <w:t>.</w:t>
      </w:r>
      <w:r>
        <w:rPr>
          <w:rStyle w:val="FootnoteReference"/>
        </w:rPr>
        <w:footnoteReference w:id="2"/>
      </w:r>
      <w:r w:rsidR="00372D91">
        <w:t xml:space="preserve"> laten</w:t>
      </w:r>
      <w:r w:rsidR="00285DC2">
        <w:t xml:space="preserve"> weten dat we als fondsbeheerders op basis van de adviezen van de R</w:t>
      </w:r>
      <w:r>
        <w:t>aad voor het Openbaar Bestuur (R</w:t>
      </w:r>
      <w:r w:rsidR="00285DC2">
        <w:t>OB</w:t>
      </w:r>
      <w:r>
        <w:t>)</w:t>
      </w:r>
      <w:r w:rsidR="00285DC2">
        <w:t xml:space="preserve"> en de </w:t>
      </w:r>
      <w:r>
        <w:t>Vereniging Nederlandse Gemeenten (</w:t>
      </w:r>
      <w:r w:rsidR="00285DC2">
        <w:t>VNG</w:t>
      </w:r>
      <w:r>
        <w:t>)</w:t>
      </w:r>
      <w:r w:rsidR="00285DC2">
        <w:t xml:space="preserve"> </w:t>
      </w:r>
      <w:r>
        <w:t xml:space="preserve">uw Kamer medio mei zouden informeren over ons </w:t>
      </w:r>
      <w:r w:rsidR="00285DC2">
        <w:t xml:space="preserve">besluit </w:t>
      </w:r>
      <w:r>
        <w:t xml:space="preserve">aangaande aanpassingen aan het verdeelmodel van het gemeentefonds, het </w:t>
      </w:r>
      <w:r>
        <w:t>ingroeipad</w:t>
      </w:r>
      <w:r>
        <w:t xml:space="preserve"> en hoe te komen tot een ordentelijk proces voor het vervolgtraject.</w:t>
      </w:r>
      <w:r w:rsidR="00285DC2">
        <w:t xml:space="preserve"> </w:t>
      </w:r>
    </w:p>
    <w:bookmarkEnd w:id="0"/>
    <w:p w:rsidR="00876348" w:rsidP="00876348" w14:paraId="3AB69F85" w14:textId="77777777"/>
    <w:p w:rsidRPr="00C210F0" w:rsidR="00C210F0" w:rsidP="00AB1D4A" w14:paraId="0B1272CF" w14:textId="77777777">
      <w:bookmarkStart w:name="_Hlk229553180" w:id="1"/>
      <w:r>
        <w:t xml:space="preserve">Alvorens </w:t>
      </w:r>
      <w:r w:rsidR="00AB1D4A">
        <w:t>hier op</w:t>
      </w:r>
      <w:r w:rsidR="009029FD">
        <w:t xml:space="preserve"> </w:t>
      </w:r>
      <w:r>
        <w:t>in te gaan</w:t>
      </w:r>
      <w:r>
        <w:t xml:space="preserve">, willen we </w:t>
      </w:r>
      <w:r w:rsidR="004A64EB">
        <w:t>graag de ROB en de VNG bedanken voor hun adviezen en de gemeenten voor hun betrokkenheid</w:t>
      </w:r>
      <w:r w:rsidR="00AB1D4A">
        <w:t xml:space="preserve"> en spreken hiervoor onze waardering uit</w:t>
      </w:r>
      <w:r w:rsidR="004A64EB">
        <w:t xml:space="preserve">. </w:t>
      </w:r>
      <w:r w:rsidRPr="00C210F0" w:rsidR="00AB1D4A">
        <w:t>De adviezen</w:t>
      </w:r>
      <w:r w:rsidR="00AB1D4A">
        <w:t xml:space="preserve"> </w:t>
      </w:r>
      <w:r w:rsidRPr="00C210F0" w:rsidR="00AB1D4A">
        <w:t>en ontvangen brieven bieden belangrijke inzichten in hoe het model</w:t>
      </w:r>
      <w:r w:rsidR="00AB1D4A">
        <w:t xml:space="preserve"> </w:t>
      </w:r>
      <w:r w:rsidRPr="00C210F0" w:rsidR="00AB1D4A">
        <w:t>verder kan worden verbeterd en hoe de implementatie het beste kan</w:t>
      </w:r>
      <w:r w:rsidR="00AB1D4A">
        <w:t xml:space="preserve"> </w:t>
      </w:r>
      <w:r w:rsidRPr="00C210F0" w:rsidR="00AB1D4A">
        <w:t>worden vormgegeven.</w:t>
      </w:r>
      <w:r w:rsidR="00AB1D4A">
        <w:t xml:space="preserve"> </w:t>
      </w:r>
      <w:r w:rsidR="004A64EB">
        <w:t>Z</w:t>
      </w:r>
      <w:r>
        <w:t xml:space="preserve">oals de VNG in haar advies aangeeft, het tijdpad naar het einde toe </w:t>
      </w:r>
      <w:r w:rsidR="004A64EB">
        <w:t xml:space="preserve">was </w:t>
      </w:r>
      <w:r>
        <w:t xml:space="preserve">inderdaad bijzonder krap. We betreuren dit ten zeerste. We </w:t>
      </w:r>
      <w:r>
        <w:t>onderstrepen</w:t>
      </w:r>
      <w:r>
        <w:t xml:space="preserve"> dan ook de aanbeveling van de VNG om een volgende keer, in het bijzonder voor de cruciale laatste fase, </w:t>
      </w:r>
      <w:r w:rsidR="00365F6C">
        <w:t xml:space="preserve">voldoende </w:t>
      </w:r>
      <w:r>
        <w:t xml:space="preserve">tijd te nemen. </w:t>
      </w:r>
      <w:r>
        <w:t xml:space="preserve">We zijn de ROB en de VNG erkentelijk dat het hun ondanks het krappe tijdspad is gelukt om met een advies te komen. </w:t>
      </w:r>
    </w:p>
    <w:p w:rsidR="00C210F0" w:rsidP="00285DC2" w14:paraId="5DCB193C" w14:textId="77777777">
      <w:pPr>
        <w:rPr>
          <w:b/>
          <w:bCs/>
        </w:rPr>
      </w:pPr>
    </w:p>
    <w:p w:rsidR="00BB0834" w:rsidP="00BB0834" w14:paraId="5393E8D0" w14:textId="77777777">
      <w:r>
        <w:t xml:space="preserve">Wat de aanpassingen aan het verdeelmodel betreft sluiten we ons aan bij het voorstel van de ROB en de VNG om per 2027 twee </w:t>
      </w:r>
      <w:r w:rsidR="006C4CD6">
        <w:t>kleine wijzigingen door</w:t>
      </w:r>
      <w:r>
        <w:t xml:space="preserve"> te voeren. </w:t>
      </w:r>
      <w:bookmarkStart w:name="_Hlk230350977" w:id="2"/>
      <w:r>
        <w:t xml:space="preserve">Ten eerste, de berekening van de maatstaf ‘Huishoudens met een laag inkomen’ met procenten in plaats van met honderdtallen. Ten tweede, de rekentarieven van de </w:t>
      </w:r>
      <w:r w:rsidR="001C3519">
        <w:t>Onroerendezaakbelasting (</w:t>
      </w:r>
      <w:r>
        <w:t>OZB</w:t>
      </w:r>
      <w:r w:rsidR="001C3519">
        <w:t>)</w:t>
      </w:r>
      <w:r>
        <w:t xml:space="preserve"> aan te passen aan de werkelijke gemiddelde OZB-tarieven en de verevening van de overige eigen middelen met hetzelfde bedrag te verlagen.</w:t>
      </w:r>
      <w:bookmarkEnd w:id="2"/>
    </w:p>
    <w:p w:rsidR="00BB0834" w:rsidP="00BB0834" w14:paraId="6C57617B" w14:textId="77777777"/>
    <w:p w:rsidR="00BB0834" w:rsidP="00BB0834" w14:paraId="6F43976E" w14:textId="77777777">
      <w:bookmarkStart w:name="_Hlk230350994" w:id="3"/>
      <w:r>
        <w:t xml:space="preserve">Wat betreft het </w:t>
      </w:r>
      <w:r>
        <w:t>ingroeipad</w:t>
      </w:r>
      <w:r>
        <w:t xml:space="preserve"> </w:t>
      </w:r>
      <w:r w:rsidRPr="00322FDA" w:rsidR="00910B2F">
        <w:t xml:space="preserve">– het pad waarmee gemeenten sinds 1 januari 2023 naar de nieuwe verdeling ingroeien – </w:t>
      </w:r>
      <w:r w:rsidRPr="00322FDA">
        <w:t xml:space="preserve">zijn we het als fondsbeheerders eens met de ROB dat de beoogde richting van de totale herverdeling door de voorstellen ongewis is geworden. We sluiten ons dan ook aan bij het ROB advies om de huidige bedragen van het </w:t>
      </w:r>
      <w:r w:rsidRPr="00322FDA">
        <w:t>ing</w:t>
      </w:r>
      <w:r w:rsidRPr="00322FDA" w:rsidR="007C04DE">
        <w:t>r</w:t>
      </w:r>
      <w:r w:rsidRPr="00322FDA">
        <w:t>oeipad</w:t>
      </w:r>
      <w:r w:rsidRPr="00322FDA" w:rsidR="00910B2F">
        <w:t xml:space="preserve">, voor die gemeenten die nog niet volledig </w:t>
      </w:r>
      <w:r w:rsidRPr="00322FDA" w:rsidR="00910B2F">
        <w:t>waren</w:t>
      </w:r>
      <w:r w:rsidRPr="00322FDA" w:rsidR="00910B2F">
        <w:t xml:space="preserve"> ingegroeid,</w:t>
      </w:r>
      <w:r w:rsidRPr="00322FDA">
        <w:t xml:space="preserve"> voorlopig te bevriezen op het niveau van 2026</w:t>
      </w:r>
      <w:r>
        <w:rPr>
          <w:rStyle w:val="FootnoteReference"/>
        </w:rPr>
        <w:footnoteReference w:id="3"/>
      </w:r>
      <w:r w:rsidRPr="00322FDA">
        <w:t xml:space="preserve"> en </w:t>
      </w:r>
      <w:r w:rsidRPr="00322FDA" w:rsidR="00910B2F">
        <w:t>dit bevroren niveau</w:t>
      </w:r>
      <w:r w:rsidR="00910B2F">
        <w:t xml:space="preserve"> </w:t>
      </w:r>
      <w:r w:rsidR="00C86F45">
        <w:t xml:space="preserve">tot en met 2028 </w:t>
      </w:r>
      <w:r>
        <w:t>mee te laten groeien met de indexatie</w:t>
      </w:r>
      <w:r>
        <w:rPr>
          <w:rStyle w:val="FootnoteReference"/>
        </w:rPr>
        <w:footnoteReference w:id="4"/>
      </w:r>
      <w:r>
        <w:t xml:space="preserve">. </w:t>
      </w:r>
      <w:r w:rsidR="00095946">
        <w:t>Zoals de ROB in zijn advies aangeeft</w:t>
      </w:r>
      <w:r w:rsidR="00322FDA">
        <w:t>,</w:t>
      </w:r>
      <w:r w:rsidR="00095946">
        <w:t xml:space="preserve"> is er nog vervolgonderzoek nodig. Aangezien we, zoals hiervoor aangegeven, hechten aan een zorgvuldig proces is een volgende stap in het </w:t>
      </w:r>
      <w:r w:rsidR="00095946">
        <w:t>ingroeipad</w:t>
      </w:r>
      <w:r w:rsidR="00095946">
        <w:t xml:space="preserve"> voorzien per 1 januari 2029.</w:t>
      </w:r>
    </w:p>
    <w:bookmarkEnd w:id="3"/>
    <w:p w:rsidR="00BB0834" w:rsidP="00285DC2" w14:paraId="0F153899" w14:textId="77777777">
      <w:pPr>
        <w:rPr>
          <w:b/>
          <w:bCs/>
        </w:rPr>
      </w:pPr>
    </w:p>
    <w:p w:rsidR="00174956" w:rsidP="00174956" w14:paraId="3C28ECC5" w14:textId="77777777">
      <w:bookmarkStart w:name="_Hlk229575213" w:id="4"/>
      <w:r>
        <w:t>Wat het vervolgtraject betreft, h</w:t>
      </w:r>
      <w:r w:rsidRPr="00174956">
        <w:t xml:space="preserve">et verdeelmodel van het </w:t>
      </w:r>
      <w:r>
        <w:t>g</w:t>
      </w:r>
      <w:r w:rsidRPr="00174956">
        <w:t xml:space="preserve">emeentefonds </w:t>
      </w:r>
      <w:r w:rsidR="00E50664">
        <w:t xml:space="preserve">heeft </w:t>
      </w:r>
      <w:r w:rsidRPr="00174956">
        <w:t>als doel om iedere</w:t>
      </w:r>
      <w:r>
        <w:t xml:space="preserve"> </w:t>
      </w:r>
      <w:r w:rsidRPr="00174956">
        <w:t>gemeente een gelijkwaardige financiële uitgangspositie te geven, zodat</w:t>
      </w:r>
      <w:r>
        <w:t xml:space="preserve"> </w:t>
      </w:r>
      <w:r w:rsidRPr="00174956">
        <w:t>gemeenten een gelijkwaardig voorzieningenniveau kunnen realiseren</w:t>
      </w:r>
      <w:r>
        <w:t xml:space="preserve"> </w:t>
      </w:r>
      <w:r w:rsidRPr="00174956">
        <w:t>tegen gelijke belastingdruk.</w:t>
      </w:r>
      <w:r>
        <w:t xml:space="preserve"> </w:t>
      </w:r>
      <w:bookmarkEnd w:id="4"/>
      <w:r w:rsidRPr="00174956">
        <w:t xml:space="preserve">Aan de uitgavenkant bij de verdeling van de middelen van het </w:t>
      </w:r>
      <w:r>
        <w:t>g</w:t>
      </w:r>
      <w:r w:rsidRPr="00174956">
        <w:t>emeentefonds wordt rekening gehouden met de kosten die gemeenten moeten</w:t>
      </w:r>
      <w:r>
        <w:t xml:space="preserve"> </w:t>
      </w:r>
      <w:r w:rsidRPr="00174956">
        <w:t>maken, gegeven de objectieve kostenbepalende kenmerken van elke</w:t>
      </w:r>
      <w:r>
        <w:t xml:space="preserve"> </w:t>
      </w:r>
      <w:r w:rsidRPr="00174956">
        <w:t>gemeente. Daarnaast wordt aan de inkomstenkantrekening gehouden met verschillen in de mogelijkheden die gemeenten</w:t>
      </w:r>
      <w:r>
        <w:t xml:space="preserve"> </w:t>
      </w:r>
      <w:r w:rsidRPr="00174956">
        <w:t>hebben om een deel van hun uitgaven uit eigen middelen te bekostigen(inkomstenverevening).</w:t>
      </w:r>
    </w:p>
    <w:p w:rsidR="00174956" w:rsidP="00174956" w14:paraId="09101B56" w14:textId="77777777"/>
    <w:p w:rsidR="00174956" w:rsidP="00174956" w14:paraId="49F55695" w14:textId="77777777">
      <w:bookmarkStart w:name="_Hlk229575258" w:id="5"/>
      <w:r>
        <w:t xml:space="preserve">Wat de methodologie van het verdeelvraagstuk betreft is voor ons als fondsbeheerders de kern dat het model gebaseerd moet zijn op de leefwereld, dat wil zeggen op waar gemeenten in hun dagelijkse praktijk op objectieve gronden mee te maken hebben. Het streven is dat er geen objectieve gronden meer zijn op basis waarvan gemeenten kunnen ‘aankloppen’. Het is daarom, zoals ook de ROB en de VNG aangegeven van belang om niet alleen rekenkundig en/of statistisch te kijken. </w:t>
      </w:r>
      <w:bookmarkEnd w:id="5"/>
    </w:p>
    <w:p w:rsidR="00174956" w:rsidP="00174956" w14:paraId="64076FA3" w14:textId="77777777"/>
    <w:p w:rsidR="005E054C" w:rsidP="00174956" w14:paraId="0C52B46F" w14:textId="77777777">
      <w:bookmarkStart w:name="_Hlk229575300" w:id="6"/>
      <w:r>
        <w:t xml:space="preserve">Voor het vervolgtraject geldt </w:t>
      </w:r>
      <w:r w:rsidR="00174956">
        <w:t xml:space="preserve">dan ook </w:t>
      </w:r>
      <w:r>
        <w:t xml:space="preserve">dat we </w:t>
      </w:r>
      <w:r w:rsidR="007628BE">
        <w:t xml:space="preserve">het </w:t>
      </w:r>
      <w:r>
        <w:t xml:space="preserve">als fondsbeheerders eens zijn met de ROB dat de inhoudelijke onderbouwing moet komen van mensen die op dat terrein werken, inhoudelijk en/of financieel, bij gemeenten, ministeries, kennisinstituten, </w:t>
      </w:r>
      <w:r w:rsidRPr="0042229D">
        <w:t xml:space="preserve">belangenorganisaties en dergelijke. </w:t>
      </w:r>
      <w:bookmarkEnd w:id="6"/>
      <w:r w:rsidRPr="0042229D">
        <w:t xml:space="preserve">Voor het onderzoek in het sociaal domein geldt dat we </w:t>
      </w:r>
      <w:r>
        <w:t xml:space="preserve">dit vervolgtraject </w:t>
      </w:r>
      <w:r w:rsidRPr="000523B9">
        <w:rPr>
          <w:rStyle w:val="CommentReference"/>
          <w:sz w:val="18"/>
          <w:szCs w:val="18"/>
        </w:rPr>
        <w:t xml:space="preserve">als fondsbeheerders </w:t>
      </w:r>
      <w:r w:rsidRPr="0042229D">
        <w:t xml:space="preserve">samen met de </w:t>
      </w:r>
      <w:r w:rsidR="00706019">
        <w:t>m</w:t>
      </w:r>
      <w:r w:rsidRPr="0042229D">
        <w:t>inister van Langdurige Zorg, Jeugd en Sport, als beleidsverantwoordelijke</w:t>
      </w:r>
      <w:r w:rsidRPr="001311B3">
        <w:t xml:space="preserve"> </w:t>
      </w:r>
      <w:r>
        <w:t xml:space="preserve">voor de jeugdzorg en de </w:t>
      </w:r>
      <w:r>
        <w:t>Wmo</w:t>
      </w:r>
      <w:r>
        <w:t xml:space="preserve"> 2015, </w:t>
      </w:r>
      <w:r>
        <w:t>vorm geven</w:t>
      </w:r>
      <w:r>
        <w:t xml:space="preserve">. </w:t>
      </w:r>
      <w:bookmarkStart w:name="_Hlk229575400" w:id="7"/>
      <w:r>
        <w:t xml:space="preserve">We maken graag gebruik van het aanbod van de VNG om gezamenlijk tot een ordentelijk proces (tijdpad, rollen en verantwoordelijkheden, (tussen)producten) te komen. Bij de inrichting van dit proces zal ook gebruik worden gemaakt van de reflecties van de leden van de expertgroep en de begeleidingscommissie op het doorlopen proces. Verder zal waar mogelijk en passend worden aangesloten bij bestaande structuren. </w:t>
      </w:r>
    </w:p>
    <w:bookmarkEnd w:id="7"/>
    <w:p w:rsidR="005E054C" w:rsidP="00BB0834" w14:paraId="5BE0AF3C" w14:textId="77777777"/>
    <w:p w:rsidR="00BB0834" w:rsidP="00BB0834" w14:paraId="55AF7161" w14:textId="77777777">
      <w:bookmarkStart w:name="_Hlk229575453" w:id="8"/>
      <w:r>
        <w:t>Daarbij</w:t>
      </w:r>
      <w:r w:rsidRPr="001311B3">
        <w:t xml:space="preserve"> </w:t>
      </w:r>
      <w:r>
        <w:t xml:space="preserve">zal </w:t>
      </w:r>
      <w:r w:rsidR="005E054C">
        <w:t xml:space="preserve">voor het onderzoek in het sociaal domein </w:t>
      </w:r>
      <w:r w:rsidRPr="001311B3">
        <w:t xml:space="preserve">ook </w:t>
      </w:r>
      <w:r>
        <w:t xml:space="preserve">worden </w:t>
      </w:r>
      <w:r w:rsidRPr="001311B3">
        <w:t xml:space="preserve">gekeken naar eventuele samenhang met </w:t>
      </w:r>
      <w:r w:rsidRPr="001311B3">
        <w:t>reeds</w:t>
      </w:r>
      <w:r w:rsidRPr="001311B3">
        <w:t xml:space="preserve"> lopende trajecten t</w:t>
      </w:r>
      <w:r>
        <w:t>en aanzien van</w:t>
      </w:r>
      <w:r w:rsidRPr="001311B3">
        <w:t xml:space="preserve"> de jeugdzorg en de </w:t>
      </w:r>
      <w:r w:rsidRPr="001311B3">
        <w:t>Wmo</w:t>
      </w:r>
      <w:r>
        <w:t xml:space="preserve"> 2015</w:t>
      </w:r>
      <w:r>
        <w:t>. Dit</w:t>
      </w:r>
      <w:r w:rsidRPr="001311B3">
        <w:t xml:space="preserve"> om synergie in kennis te realiseren</w:t>
      </w:r>
      <w:r>
        <w:t>,</w:t>
      </w:r>
      <w:r w:rsidRPr="001311B3">
        <w:t xml:space="preserve"> de noodzakelijke </w:t>
      </w:r>
      <w:r w:rsidRPr="001311B3">
        <w:t xml:space="preserve">inhoudelijke expertise te borgen en </w:t>
      </w:r>
      <w:r>
        <w:t xml:space="preserve">voor </w:t>
      </w:r>
      <w:r w:rsidRPr="001311B3">
        <w:t xml:space="preserve">aansluiting op trajecten die er al lopen. </w:t>
      </w:r>
      <w:r>
        <w:t xml:space="preserve">Waarbij benadrukt dient te worden dat </w:t>
      </w:r>
      <w:r w:rsidR="00432D63">
        <w:t>dit vervolgtraject</w:t>
      </w:r>
      <w:r>
        <w:t xml:space="preserve"> niet gaat over de </w:t>
      </w:r>
      <w:r w:rsidRPr="00D33C92">
        <w:rPr>
          <w:i/>
          <w:iCs/>
        </w:rPr>
        <w:t>omvang</w:t>
      </w:r>
      <w:r>
        <w:t xml:space="preserve"> van de middelen, maar over de </w:t>
      </w:r>
      <w:r w:rsidRPr="00D33C92">
        <w:rPr>
          <w:i/>
          <w:iCs/>
        </w:rPr>
        <w:t>verdeling</w:t>
      </w:r>
      <w:r>
        <w:t xml:space="preserve"> van de </w:t>
      </w:r>
      <w:r w:rsidR="00432D63">
        <w:t>middelen in het gemeentefonds</w:t>
      </w:r>
      <w:r>
        <w:t xml:space="preserve">. </w:t>
      </w:r>
    </w:p>
    <w:bookmarkEnd w:id="8"/>
    <w:p w:rsidR="00BB0834" w:rsidP="00285DC2" w14:paraId="469D753F" w14:textId="77777777">
      <w:pPr>
        <w:rPr>
          <w:b/>
          <w:bCs/>
        </w:rPr>
      </w:pPr>
    </w:p>
    <w:p w:rsidRPr="00E90F3A" w:rsidR="00E90F3A" w:rsidP="00285DC2" w14:paraId="21A7D804" w14:textId="77777777">
      <w:r w:rsidRPr="00E90F3A">
        <w:t>In deze brief zullen we u</w:t>
      </w:r>
      <w:r>
        <w:t xml:space="preserve"> eerst de achtergrond schetsen van de doorontwikkeling van het model sinds 1 januari 2023. Daarna zullen we </w:t>
      </w:r>
      <w:r w:rsidR="007628BE">
        <w:t xml:space="preserve">in paragraaf 2 </w:t>
      </w:r>
      <w:r>
        <w:t xml:space="preserve">kort ingaan op de adviesaanvraag aan de ROB </w:t>
      </w:r>
      <w:r w:rsidR="007628BE">
        <w:t xml:space="preserve">en de VNG </w:t>
      </w:r>
      <w:r>
        <w:t xml:space="preserve">en </w:t>
      </w:r>
      <w:r w:rsidR="007628BE">
        <w:t xml:space="preserve">in paragraaf 3 op </w:t>
      </w:r>
      <w:r>
        <w:t xml:space="preserve">de criteria die we als fondsbeheerders stellen aan de verdeling. Tot slot wordt </w:t>
      </w:r>
      <w:r w:rsidR="007628BE">
        <w:t xml:space="preserve">in paragraaf 4 </w:t>
      </w:r>
      <w:r>
        <w:t>stil gestaan bij het vervolgtraject</w:t>
      </w:r>
      <w:r w:rsidR="007628BE">
        <w:t>:</w:t>
      </w:r>
      <w:r>
        <w:t xml:space="preserve"> zowel de organisatorische inbedding </w:t>
      </w:r>
      <w:r w:rsidR="007628BE">
        <w:t xml:space="preserve">daarvan </w:t>
      </w:r>
      <w:r>
        <w:t>als de uit te voeren vervolgonderzoeken.</w:t>
      </w:r>
    </w:p>
    <w:bookmarkEnd w:id="1"/>
    <w:p w:rsidR="00E90F3A" w:rsidP="00285DC2" w14:paraId="3F16DB08" w14:textId="77777777">
      <w:pPr>
        <w:rPr>
          <w:b/>
          <w:bCs/>
        </w:rPr>
      </w:pPr>
    </w:p>
    <w:p w:rsidR="00C210F0" w:rsidP="009029FD" w14:paraId="6ADDA9FB" w14:textId="77777777">
      <w:pPr>
        <w:pStyle w:val="ListParagraph"/>
        <w:numPr>
          <w:ilvl w:val="0"/>
          <w:numId w:val="10"/>
        </w:numPr>
      </w:pPr>
      <w:r>
        <w:rPr>
          <w:b/>
          <w:bCs/>
        </w:rPr>
        <w:t xml:space="preserve">Achtergrond: </w:t>
      </w:r>
      <w:r w:rsidRPr="009029FD">
        <w:rPr>
          <w:b/>
          <w:bCs/>
        </w:rPr>
        <w:t>De doorontwikkeling van het model sinds 1 januari 2023</w:t>
      </w:r>
    </w:p>
    <w:p w:rsidR="00C210F0" w:rsidP="00285DC2" w14:paraId="54CEE77C" w14:textId="77777777"/>
    <w:p w:rsidR="003C6BB5" w:rsidP="003C6BB5" w14:paraId="20937011" w14:textId="77777777">
      <w:r>
        <w:t xml:space="preserve">De VNG vraagt in haar advies aandacht voor een beschouwing op het ‘Advies herverdeling gemeentefonds’ </w:t>
      </w:r>
      <w:r w:rsidR="000673CD">
        <w:t xml:space="preserve">van </w:t>
      </w:r>
      <w:r w:rsidR="00C741B3">
        <w:t xml:space="preserve">19 </w:t>
      </w:r>
      <w:r w:rsidR="000673CD">
        <w:t xml:space="preserve">oktober 2021 </w:t>
      </w:r>
      <w:r>
        <w:t>van de ROB</w:t>
      </w:r>
      <w:r>
        <w:rPr>
          <w:rStyle w:val="FootnoteReference"/>
        </w:rPr>
        <w:footnoteReference w:id="5"/>
      </w:r>
      <w:r>
        <w:t>. Dit advies is leidend geweest voor de doorontwikkeling van het model sinds 1 januari 2023.</w:t>
      </w:r>
    </w:p>
    <w:p w:rsidR="003C6BB5" w:rsidP="00285DC2" w14:paraId="533F04DB" w14:textId="77777777"/>
    <w:p w:rsidR="00C210F0" w:rsidP="00C210F0" w14:paraId="33AA26BE" w14:textId="77777777">
      <w:r>
        <w:t>Zoals in de brief van onze voorgangers</w:t>
      </w:r>
      <w:r w:rsidR="00C741B3">
        <w:t>, de toenmalige fondsbeheerders,</w:t>
      </w:r>
      <w:r>
        <w:t xml:space="preserve"> van 6 april 2022</w:t>
      </w:r>
      <w:r>
        <w:rPr>
          <w:rStyle w:val="FootnoteReference"/>
        </w:rPr>
        <w:footnoteReference w:id="6"/>
      </w:r>
      <w:r>
        <w:t xml:space="preserve"> </w:t>
      </w:r>
      <w:r w:rsidR="00C741B3">
        <w:t xml:space="preserve">aangegeven, </w:t>
      </w:r>
      <w:r>
        <w:t xml:space="preserve">had de ROB een aantal </w:t>
      </w:r>
      <w:r w:rsidR="00844407">
        <w:t>vervolgonderzoeken voorgesteld, te weten:</w:t>
      </w:r>
    </w:p>
    <w:p w:rsidR="00844407" w:rsidP="00844407" w14:paraId="219D110E" w14:textId="77777777">
      <w:pPr>
        <w:pStyle w:val="ListParagraph"/>
        <w:numPr>
          <w:ilvl w:val="0"/>
          <w:numId w:val="5"/>
        </w:numPr>
      </w:pPr>
      <w:r>
        <w:t>Maatstaven in het sociaal domein: heroverweeg de maatstaven centrumfunctie en eenpersoonshuishoudens;</w:t>
      </w:r>
    </w:p>
    <w:p w:rsidR="00844407" w:rsidP="00844407" w14:paraId="21A40B3F" w14:textId="77777777">
      <w:pPr>
        <w:pStyle w:val="ListParagraph"/>
        <w:numPr>
          <w:ilvl w:val="0"/>
          <w:numId w:val="5"/>
        </w:numPr>
      </w:pPr>
      <w:r>
        <w:t xml:space="preserve">Inkomstenverevening: doe onderzoek naar mogelijkheden om verevening </w:t>
      </w:r>
      <w:r w:rsidR="00EB550B">
        <w:t>`</w:t>
      </w:r>
      <w:r>
        <w:t>overige eigen middelen</w:t>
      </w:r>
      <w:r w:rsidR="00EB550B">
        <w:t>’</w:t>
      </w:r>
      <w:r>
        <w:t xml:space="preserve"> te baseren op (meerjarig gemiddelde) werkelijke opbrengst per gemeente in plaats van bedrag per inwoner.</w:t>
      </w:r>
    </w:p>
    <w:p w:rsidR="00BC124D" w:rsidP="00844407" w14:paraId="2D503C77" w14:textId="77777777">
      <w:r>
        <w:t xml:space="preserve">Daarnaast heeft de ROB destijds een voorstel voor een </w:t>
      </w:r>
      <w:r>
        <w:t>onderzoeksagenda</w:t>
      </w:r>
      <w:r>
        <w:t xml:space="preserve"> voor de</w:t>
      </w:r>
      <w:r w:rsidR="007628BE">
        <w:t xml:space="preserve"> </w:t>
      </w:r>
      <w:r>
        <w:t>lange termijn gedaan, waaronder het monitoren van kosten van specifieke groepen gemeenten, kosten in het sociaal domein (jeugd), eigen inkomsten en het</w:t>
      </w:r>
      <w:r w:rsidR="007628BE">
        <w:t xml:space="preserve"> </w:t>
      </w:r>
      <w:r>
        <w:t xml:space="preserve">verkennen van een verdeling sociaal domein op basis van huishoudenskenmerken. Onze voorgangers hebben destijds aangegeven dat het model geen eindstation is en continu onderhoud zal vragen. Het advies van de ROB inclusief de door de ROB voorgestelde </w:t>
      </w:r>
      <w:r>
        <w:t>onderzoeksagenda</w:t>
      </w:r>
      <w:r>
        <w:t xml:space="preserve"> is destijds door onze voorgangers omarmd</w:t>
      </w:r>
      <w:r w:rsidR="00DD3C34">
        <w:t>.</w:t>
      </w:r>
      <w:r>
        <w:t xml:space="preserve"> </w:t>
      </w:r>
      <w:r w:rsidR="00DD3C34">
        <w:t>I</w:t>
      </w:r>
      <w:r>
        <w:t xml:space="preserve">n nauw overleg met de ROB, de VNG en de gemeenten is </w:t>
      </w:r>
      <w:r w:rsidR="00DD3C34">
        <w:t xml:space="preserve">toentertijd </w:t>
      </w:r>
      <w:r>
        <w:t xml:space="preserve">aan deze </w:t>
      </w:r>
      <w:r>
        <w:t>onderzoeksagenda</w:t>
      </w:r>
      <w:r>
        <w:t xml:space="preserve"> nadere invulling en uitvoering gegeven.</w:t>
      </w:r>
      <w:r>
        <w:t xml:space="preserve"> Er is </w:t>
      </w:r>
      <w:r w:rsidR="001528DD">
        <w:t xml:space="preserve">toen </w:t>
      </w:r>
      <w:r w:rsidR="001528DD">
        <w:t>tevens</w:t>
      </w:r>
      <w:r w:rsidR="001528DD">
        <w:t xml:space="preserve"> </w:t>
      </w:r>
      <w:r>
        <w:t xml:space="preserve">door onze voorgangers met de grote steden afgesproken om nader onderzoek te doen naar de grootstedelijkheid. De </w:t>
      </w:r>
      <w:r>
        <w:t>onderzoeksagenda</w:t>
      </w:r>
      <w:r>
        <w:t xml:space="preserve"> is op 5 juli 2022</w:t>
      </w:r>
      <w:r>
        <w:rPr>
          <w:rStyle w:val="FootnoteReference"/>
        </w:rPr>
        <w:footnoteReference w:id="7"/>
      </w:r>
      <w:r>
        <w:t xml:space="preserve"> met uw Kamer gedeeld.</w:t>
      </w:r>
    </w:p>
    <w:p w:rsidR="00C210F0" w:rsidP="00C210F0" w14:paraId="7A2C6D21" w14:textId="77777777"/>
    <w:p w:rsidR="00DD3C34" w:rsidP="00E90F3A" w14:paraId="15638B45" w14:textId="77777777">
      <w:r>
        <w:t>Op 7 februari 2025</w:t>
      </w:r>
      <w:r>
        <w:rPr>
          <w:rStyle w:val="FootnoteReference"/>
        </w:rPr>
        <w:footnoteReference w:id="8"/>
      </w:r>
      <w:r>
        <w:t xml:space="preserve"> </w:t>
      </w:r>
      <w:r w:rsidR="00372D91">
        <w:t>is uw Kamer</w:t>
      </w:r>
      <w:r>
        <w:t xml:space="preserve"> door </w:t>
      </w:r>
      <w:r w:rsidR="00C741B3">
        <w:t>de toenmalige fondsbeheerders</w:t>
      </w:r>
      <w:r>
        <w:t xml:space="preserve"> </w:t>
      </w:r>
      <w:r w:rsidR="000C7C16">
        <w:t xml:space="preserve">(onze voorgangers) </w:t>
      </w:r>
      <w:r>
        <w:t xml:space="preserve">geïnformeerd </w:t>
      </w:r>
      <w:r>
        <w:t xml:space="preserve">over de </w:t>
      </w:r>
      <w:r w:rsidR="001528DD">
        <w:t xml:space="preserve">op basis van de in 2022 vastgestelde </w:t>
      </w:r>
      <w:r w:rsidR="001528DD">
        <w:t>onderzoeksagenda</w:t>
      </w:r>
      <w:r w:rsidR="001528DD">
        <w:t xml:space="preserve"> </w:t>
      </w:r>
      <w:r>
        <w:t>uitgevoerde onderzoeken naar:</w:t>
      </w:r>
    </w:p>
    <w:p w:rsidR="00DD3C34" w:rsidP="00DD3C34" w14:paraId="26E28858" w14:textId="77777777">
      <w:pPr>
        <w:pStyle w:val="ListParagraph"/>
        <w:numPr>
          <w:ilvl w:val="0"/>
          <w:numId w:val="11"/>
        </w:numPr>
      </w:pPr>
      <w:r>
        <w:t>De vraag of er in het sociaal domein in de clusters Wet maatschappelijke opvang (</w:t>
      </w:r>
      <w:r>
        <w:t>Wmo</w:t>
      </w:r>
      <w:r>
        <w:t>) en Jeugd alternatieven zijn voor de huidige maatstaf regionale centrumfunctie die meer recht doen aan de stapeling van de problematiek in het sociaal domein. Deze stapelingsproblematiek doet zich namelijk niet alleen in centrumgemeenten voor.</w:t>
      </w:r>
    </w:p>
    <w:p w:rsidR="00DD3C34" w:rsidP="00DD3C34" w14:paraId="5B956D3C" w14:textId="77777777">
      <w:pPr>
        <w:pStyle w:val="ListParagraph"/>
        <w:numPr>
          <w:ilvl w:val="0"/>
          <w:numId w:val="11"/>
        </w:numPr>
      </w:pPr>
      <w:r>
        <w:t>De vraag of een meer gedifferentieerde benadering van de verevening van de overige eigen middelen meer recht doet aan de diverse aard van de eigen inkomsten.</w:t>
      </w:r>
    </w:p>
    <w:p w:rsidR="00DD3C34" w:rsidP="00DD3C34" w14:paraId="0E8C8BC3" w14:textId="77777777">
      <w:pPr>
        <w:pStyle w:val="ListParagraph"/>
        <w:numPr>
          <w:ilvl w:val="0"/>
          <w:numId w:val="11"/>
        </w:numPr>
      </w:pPr>
      <w:r>
        <w:t>De vraag of er specifieke grootstedelijke kosten zijn (kosten voor gemeenten met meer dan honderdduizend inwoners).</w:t>
      </w:r>
    </w:p>
    <w:p w:rsidR="00E90F3A" w:rsidP="00E90F3A" w14:paraId="40DA8012" w14:textId="77777777">
      <w:r>
        <w:t xml:space="preserve">De conclusie van onze voorgangers was </w:t>
      </w:r>
      <w:r>
        <w:t xml:space="preserve">dat de onderzoeken nuttige inzichten hebben opgeleverd, hebben bevestigd dat verder onderzoek nodig is en een indicatie hebben gegeven voor mogelijke vervolgrichtingen van onderzoek. Echter, er is toen ook door onze voorgangers aangegeven dat de huidige onderzoeksresultaten in </w:t>
      </w:r>
      <w:r w:rsidR="000C7C16">
        <w:t xml:space="preserve">hun </w:t>
      </w:r>
      <w:r>
        <w:t>ogen op dat moment niet voldoende houvast gaven voor een concrete aanpassing van het verdeelmodel.</w:t>
      </w:r>
    </w:p>
    <w:p w:rsidR="00E90F3A" w:rsidP="00C210F0" w14:paraId="19701047" w14:textId="77777777"/>
    <w:p w:rsidR="003C6BB5" w:rsidP="003C6BB5" w14:paraId="7B2D302F" w14:textId="77777777">
      <w:r>
        <w:t>Belangrijke stap voor het vervolg was, zoals eveneens in de brief van 7 februari</w:t>
      </w:r>
    </w:p>
    <w:p w:rsidR="003C6BB5" w:rsidP="003C6BB5" w14:paraId="0F9E645A" w14:textId="77777777">
      <w:r>
        <w:t>2025 vermeld, een actualisatie van kostendata van gemeenten over de jaren 2023</w:t>
      </w:r>
    </w:p>
    <w:p w:rsidR="003C6BB5" w:rsidP="003C6BB5" w14:paraId="4A7C8C1D" w14:textId="77777777">
      <w:r>
        <w:t>(</w:t>
      </w:r>
      <w:r>
        <w:t>ingang</w:t>
      </w:r>
      <w:r>
        <w:t xml:space="preserve"> van het huidige verdeelmodel) en 2024 om de aansluitverschillen</w:t>
      </w:r>
    </w:p>
    <w:p w:rsidR="003C6BB5" w:rsidP="003C6BB5" w14:paraId="27180FF3" w14:textId="77777777">
      <w:r>
        <w:t>(</w:t>
      </w:r>
      <w:r>
        <w:t>uitgavenpatroon</w:t>
      </w:r>
      <w:r>
        <w:t xml:space="preserve"> gemeenten versus het uitgavenpatroon op basis van het</w:t>
      </w:r>
    </w:p>
    <w:p w:rsidR="003C6BB5" w:rsidP="003C6BB5" w14:paraId="6128A7D4" w14:textId="77777777">
      <w:r>
        <w:t>verdeelmodel</w:t>
      </w:r>
      <w:r>
        <w:t xml:space="preserve">) beter in kaart te kunnen brengen. Deze actualisatie van de kostendata kon echter pas in zomer 2025 worden </w:t>
      </w:r>
      <w:r w:rsidR="00365F6C">
        <w:t xml:space="preserve">gestart </w:t>
      </w:r>
      <w:r>
        <w:t xml:space="preserve">omdat op dat moment pas de jaarrekeningdata 2024 beschikbaar kwamen. Helaas heeft het onderzoek naar de kostendata vertraging opgelopen, waardoor de dataset pas rond begin december </w:t>
      </w:r>
      <w:r w:rsidR="008157CE">
        <w:t>2025</w:t>
      </w:r>
      <w:r>
        <w:t xml:space="preserve"> gereed is gekomen. Reden voor deze vertraging was onder andere dat veel benaderde gemeenten door werkdruk en personele krapte afzagen van deelname</w:t>
      </w:r>
      <w:r w:rsidR="00507AFF">
        <w:t xml:space="preserve">, waardoor meer tijd nodig was om </w:t>
      </w:r>
      <w:r w:rsidR="0033706A">
        <w:t xml:space="preserve">tot </w:t>
      </w:r>
      <w:r w:rsidR="00507AFF">
        <w:t>een representatieve steekproef te k</w:t>
      </w:r>
      <w:r w:rsidR="0033706A">
        <w:t>omen</w:t>
      </w:r>
      <w:r>
        <w:t>.</w:t>
      </w:r>
      <w:r w:rsidR="0033706A">
        <w:t xml:space="preserve"> </w:t>
      </w:r>
      <w:r>
        <w:t xml:space="preserve"> </w:t>
      </w:r>
    </w:p>
    <w:p w:rsidR="00372D91" w:rsidP="003C6BB5" w14:paraId="6FBB65F3" w14:textId="77777777"/>
    <w:p w:rsidRPr="009029FD" w:rsidR="00817B34" w:rsidP="009029FD" w14:paraId="034317BD" w14:textId="77777777">
      <w:pPr>
        <w:pStyle w:val="ListParagraph"/>
        <w:numPr>
          <w:ilvl w:val="0"/>
          <w:numId w:val="10"/>
        </w:numPr>
        <w:rPr>
          <w:b/>
          <w:bCs/>
        </w:rPr>
      </w:pPr>
      <w:r w:rsidRPr="009029FD">
        <w:rPr>
          <w:b/>
          <w:bCs/>
        </w:rPr>
        <w:t>De adviesaanvraag aan de ROB en de VNG</w:t>
      </w:r>
    </w:p>
    <w:p w:rsidR="00817B34" w:rsidP="00BD5BA9" w14:paraId="3FF255E6" w14:textId="77777777"/>
    <w:p w:rsidR="00B11DE8" w:rsidP="00B11DE8" w14:paraId="4ED620CA" w14:textId="77777777">
      <w:r>
        <w:t xml:space="preserve">Dit sinds 22 februari 2025 </w:t>
      </w:r>
      <w:r w:rsidR="00817B34">
        <w:t xml:space="preserve">gestarte vervolgtraject </w:t>
      </w:r>
      <w:r>
        <w:t>heeft geresulteerd in een adviesaanvraag aan de ROB</w:t>
      </w:r>
      <w:r w:rsidR="00FC5AA9">
        <w:t xml:space="preserve"> in twee delen</w:t>
      </w:r>
      <w:r w:rsidR="004A64EB">
        <w:t xml:space="preserve">. Over deze adviesaanvraag bent </w:t>
      </w:r>
      <w:r>
        <w:t>u op 3 februari</w:t>
      </w:r>
      <w:r>
        <w:rPr>
          <w:rStyle w:val="FootnoteReference"/>
        </w:rPr>
        <w:footnoteReference w:id="9"/>
      </w:r>
      <w:r>
        <w:t xml:space="preserve"> en </w:t>
      </w:r>
      <w:r w:rsidR="00BD5BA9">
        <w:t>16 februari jl.</w:t>
      </w:r>
      <w:r>
        <w:rPr>
          <w:rStyle w:val="FootnoteReference"/>
        </w:rPr>
        <w:footnoteReference w:id="10"/>
      </w:r>
      <w:r w:rsidR="00BD5BA9">
        <w:t xml:space="preserve"> geïnformeerd. </w:t>
      </w:r>
      <w:r>
        <w:t xml:space="preserve">Op 1 april jl. hebben we het advies van de ROB ontvangen en met </w:t>
      </w:r>
      <w:r w:rsidRPr="00D10B17">
        <w:t>uw</w:t>
      </w:r>
      <w:r>
        <w:t xml:space="preserve"> Kamer</w:t>
      </w:r>
      <w:r w:rsidRPr="00372D91">
        <w:t xml:space="preserve"> </w:t>
      </w:r>
      <w:r>
        <w:t>gedeeld</w:t>
      </w:r>
      <w:r>
        <w:rPr>
          <w:rStyle w:val="FootnoteReference"/>
        </w:rPr>
        <w:footnoteReference w:id="11"/>
      </w:r>
      <w:r>
        <w:t>.</w:t>
      </w:r>
      <w:r w:rsidRPr="00372D91">
        <w:t xml:space="preserve"> </w:t>
      </w:r>
      <w:r>
        <w:t>Op 22 april jl.</w:t>
      </w:r>
      <w:r>
        <w:rPr>
          <w:rStyle w:val="FootnoteReference"/>
        </w:rPr>
        <w:footnoteReference w:id="12"/>
      </w:r>
      <w:r>
        <w:t xml:space="preserve"> hebben we uw Kamer het advies van de Vereniging Nederlandse Gemeenten (VNG) doen toekomen.</w:t>
      </w:r>
    </w:p>
    <w:p w:rsidR="00BD5BA9" w:rsidP="00BD5BA9" w14:paraId="07B4B3C3" w14:textId="77777777"/>
    <w:p w:rsidR="00E90F3A" w:rsidP="00E90F3A" w14:paraId="3A60F32B" w14:textId="77777777">
      <w:pPr>
        <w:pStyle w:val="ListParagraph"/>
        <w:numPr>
          <w:ilvl w:val="0"/>
          <w:numId w:val="13"/>
        </w:numPr>
        <w:rPr>
          <w:b/>
          <w:bCs/>
        </w:rPr>
      </w:pPr>
      <w:r w:rsidRPr="00E90F3A">
        <w:rPr>
          <w:b/>
          <w:bCs/>
        </w:rPr>
        <w:t>Criteria voor de verdeling</w:t>
      </w:r>
    </w:p>
    <w:p w:rsidRPr="00E90F3A" w:rsidR="00E90F3A" w:rsidP="00E90F3A" w14:paraId="345D7C5B" w14:textId="77777777">
      <w:pPr>
        <w:pStyle w:val="ListParagraph"/>
        <w:ind w:left="360"/>
        <w:rPr>
          <w:b/>
          <w:bCs/>
        </w:rPr>
      </w:pPr>
    </w:p>
    <w:p w:rsidR="00B11DE8" w:rsidP="00B11DE8" w14:paraId="017890B2" w14:textId="77777777">
      <w:r>
        <w:t xml:space="preserve">De VNG geeft in haar advies aan dat ze bij de adviesaanvraag aan de ROB de reflectie van de fondsbeheerders mist op zowel de vraag of de methodologische door de ROB aangekaarte problemen zijn opgelost als de reflectie op de herverdeeleffecten. In de adviesaanvraag aan de ROB hebben onze voorgangers zich bewust beperkt tot: de reden voor de voorgestelde herziening, de feitelijke bevindingen, en reflecties van de begeleidingscommissie en de expertgroep. In de ogen van de fondsbeheerders is het namelijk van belang, zoals aangegeven in deel 2 van de adviesaanvraag van 16 februari jl., om het vraagstuk van de herziening van het verdeelmodel in eerste instantie methodologisch en op </w:t>
      </w:r>
      <w:r w:rsidR="00FC5AA9">
        <w:t xml:space="preserve">basis van </w:t>
      </w:r>
      <w:r>
        <w:t xml:space="preserve">de objectieve bevindingen te </w:t>
      </w:r>
      <w:r w:rsidR="00FC5AA9">
        <w:t>wegen</w:t>
      </w:r>
      <w:r>
        <w:t xml:space="preserve"> zonder daar direct een politiek-bestuurlijke weging bij te geven. Het spreekt voor zich dat het uiteindelijke voorstel zowel methodologisch als bestuurlijk uitlegbaar moet zijn. Daarom is in de eindfase dan ook naar de herverdeeleffecten en het </w:t>
      </w:r>
      <w:r>
        <w:t>ingroeipad</w:t>
      </w:r>
      <w:r>
        <w:t xml:space="preserve"> gekeken. </w:t>
      </w:r>
    </w:p>
    <w:p w:rsidR="00B11DE8" w:rsidP="00E90F3A" w14:paraId="0953A3C8" w14:textId="77777777"/>
    <w:p w:rsidR="00E90F3A" w:rsidP="00E90F3A" w14:paraId="68BEDC16" w14:textId="77777777">
      <w:r>
        <w:t>Wat de methodologie van het verdeelvraagstuk betreft wijzen zowel d</w:t>
      </w:r>
      <w:r>
        <w:t xml:space="preserve">e ROB </w:t>
      </w:r>
      <w:r>
        <w:t xml:space="preserve">als </w:t>
      </w:r>
      <w:r>
        <w:t>de VNG op het belang om niet alleen rekenkundig en/of statistisch te kijken. Zoals aangegeven in onze adviesaanvraag aan de ROB van 3 februari jl. onderschrijven we dat als fondsbeheerders. De kern voor ons is de leefwereld</w:t>
      </w:r>
      <w:r w:rsidR="00252A9A">
        <w:t xml:space="preserve">, </w:t>
      </w:r>
      <w:r w:rsidR="004B646B">
        <w:t>w</w:t>
      </w:r>
      <w:r w:rsidR="00252A9A">
        <w:t xml:space="preserve">at wil zeggen </w:t>
      </w:r>
      <w:r w:rsidR="004B646B">
        <w:t xml:space="preserve">dat </w:t>
      </w:r>
      <w:r w:rsidR="00252A9A">
        <w:t xml:space="preserve">het model gebaseerd </w:t>
      </w:r>
      <w:r w:rsidR="004B646B">
        <w:t xml:space="preserve">moet </w:t>
      </w:r>
      <w:r w:rsidR="00252A9A">
        <w:t>zijn op waar gemeenten in hun dagelijkse praktijk op objectieve gronden mee te maken hebben</w:t>
      </w:r>
      <w:r>
        <w:t>. Het streven is dat er geen objectieve</w:t>
      </w:r>
      <w:r>
        <w:t xml:space="preserve"> </w:t>
      </w:r>
      <w:r>
        <w:t xml:space="preserve">gronden meer zijn op basis waarvan gemeenten kunnen ‘aankloppen’ dat het model niet passend is. Zoals aangegeven in de </w:t>
      </w:r>
      <w:r>
        <w:t>a</w:t>
      </w:r>
      <w:r>
        <w:t xml:space="preserve">dviesaanvraag aan de ROB van 3 februari jl. vinden we </w:t>
      </w:r>
      <w:r w:rsidR="00FC5AA9">
        <w:t>de volgende uitgangspunten van belang</w:t>
      </w:r>
      <w:r>
        <w:t>:</w:t>
      </w:r>
    </w:p>
    <w:p w:rsidR="00E90F3A" w:rsidP="00E90F3A" w14:paraId="7D0E38AE" w14:textId="77777777">
      <w:pPr>
        <w:pStyle w:val="ListParagraph"/>
        <w:numPr>
          <w:ilvl w:val="0"/>
          <w:numId w:val="7"/>
        </w:numPr>
      </w:pPr>
      <w:r>
        <w:rPr>
          <w:b/>
          <w:bCs/>
        </w:rPr>
        <w:t>Inhoudelijk logische maatsta</w:t>
      </w:r>
      <w:r w:rsidR="00FC5AA9">
        <w:rPr>
          <w:b/>
          <w:bCs/>
        </w:rPr>
        <w:t>ven</w:t>
      </w:r>
      <w:r>
        <w:rPr>
          <w:b/>
          <w:bCs/>
        </w:rPr>
        <w:t xml:space="preserve">: </w:t>
      </w:r>
      <w:r>
        <w:t>De maatsta</w:t>
      </w:r>
      <w:r w:rsidR="00FC5AA9">
        <w:t>ven</w:t>
      </w:r>
      <w:r>
        <w:t xml:space="preserve"> en de onderzoeksresultaten </w:t>
      </w:r>
      <w:r w:rsidR="00FC5AA9">
        <w:t xml:space="preserve">dienen </w:t>
      </w:r>
      <w:r>
        <w:t xml:space="preserve">uitlegbaar </w:t>
      </w:r>
      <w:r w:rsidR="00FC5AA9">
        <w:t xml:space="preserve">te </w:t>
      </w:r>
      <w:r>
        <w:t>zijn vanuit de leefwereld</w:t>
      </w:r>
      <w:r w:rsidR="00252A9A">
        <w:t xml:space="preserve"> van gemeenten</w:t>
      </w:r>
      <w:r>
        <w:t>.</w:t>
      </w:r>
    </w:p>
    <w:p w:rsidR="00E90F3A" w:rsidP="00E90F3A" w14:paraId="25A156F6" w14:textId="77777777">
      <w:pPr>
        <w:pStyle w:val="ListParagraph"/>
        <w:numPr>
          <w:ilvl w:val="0"/>
          <w:numId w:val="7"/>
        </w:numPr>
      </w:pPr>
      <w:r>
        <w:rPr>
          <w:b/>
          <w:bCs/>
        </w:rPr>
        <w:t>Rechtvaardig</w:t>
      </w:r>
      <w:r w:rsidR="00FC5AA9">
        <w:rPr>
          <w:b/>
          <w:bCs/>
        </w:rPr>
        <w:t xml:space="preserve"> verdeelmodel dat</w:t>
      </w:r>
      <w:r>
        <w:rPr>
          <w:b/>
          <w:bCs/>
        </w:rPr>
        <w:t xml:space="preserve"> aansluit op </w:t>
      </w:r>
      <w:r w:rsidR="00FC5AA9">
        <w:rPr>
          <w:b/>
          <w:bCs/>
        </w:rPr>
        <w:t xml:space="preserve">de </w:t>
      </w:r>
      <w:r>
        <w:rPr>
          <w:b/>
          <w:bCs/>
        </w:rPr>
        <w:t xml:space="preserve">kosten van gemeenten: </w:t>
      </w:r>
      <w:r>
        <w:t xml:space="preserve">Bij een verbeterslag van het model, </w:t>
      </w:r>
      <w:r w:rsidR="00FC5AA9">
        <w:t xml:space="preserve">dient </w:t>
      </w:r>
      <w:r>
        <w:t xml:space="preserve">de nieuwe verdeling ‘rechtvaardig’ </w:t>
      </w:r>
      <w:r w:rsidR="00FC5AA9">
        <w:t>te zijn</w:t>
      </w:r>
      <w:r>
        <w:t xml:space="preserve">. Om dit te kunnen beoordelen zal voor de diverse type gemeenten het herziene model worden </w:t>
      </w:r>
      <w:r w:rsidR="000C7C16">
        <w:t>af</w:t>
      </w:r>
      <w:r>
        <w:t xml:space="preserve">gezet tegen het huidige model </w:t>
      </w:r>
      <w:r w:rsidR="000C7C16">
        <w:t>(</w:t>
      </w:r>
      <w:r>
        <w:t>al dan niet voor een specifiek cluster bijvoorbeeld sociaal domein) en zal worden bekeken of de aansluitverschillen (verschillen tussen uitgaven gemeenten en inkomsten verdeelmodel) kleiner zijn. Dit vereist ook dat maatstaven de noodzakelijke kosten van gemeenten volgen (</w:t>
      </w:r>
      <w:r w:rsidRPr="00D33C92">
        <w:rPr>
          <w:b/>
          <w:bCs/>
          <w:i/>
          <w:iCs/>
        </w:rPr>
        <w:t>kostenoriëntatie</w:t>
      </w:r>
      <w:r>
        <w:t>).</w:t>
      </w:r>
    </w:p>
    <w:p w:rsidRPr="0033706A" w:rsidR="0033706A" w:rsidP="0033706A" w14:paraId="3991D6A3" w14:textId="77777777">
      <w:pPr>
        <w:pStyle w:val="ListParagraph"/>
        <w:ind w:left="360"/>
      </w:pPr>
      <w:bookmarkStart w:name="_Hlk229562283" w:id="9"/>
      <w:r w:rsidRPr="0033706A">
        <w:t>NB:</w:t>
      </w:r>
      <w:r>
        <w:t xml:space="preserve"> Het verdeelmodel gaat, zoals in de inleiding van deze brief aangegeven, over de </w:t>
      </w:r>
      <w:r w:rsidRPr="0033706A">
        <w:rPr>
          <w:i/>
          <w:iCs/>
        </w:rPr>
        <w:t>verdeling</w:t>
      </w:r>
      <w:r>
        <w:t xml:space="preserve"> van de middelen </w:t>
      </w:r>
      <w:r w:rsidR="00432D63">
        <w:t xml:space="preserve">in het gemeentefonds </w:t>
      </w:r>
      <w:r>
        <w:t xml:space="preserve">niet over de benodigde </w:t>
      </w:r>
      <w:r w:rsidRPr="0033706A">
        <w:rPr>
          <w:i/>
          <w:iCs/>
        </w:rPr>
        <w:t>omvang</w:t>
      </w:r>
      <w:r>
        <w:t xml:space="preserve"> van het gemeentefonds. De gemeenten hebben beleidsvrijheid bij de besteding van de middelen van het gemeentefonds, er zullen dan ook altijd aansluitverschillen zijn tussen gemeenten. De nadruk bij de analyse van de aansluitverschillen ligt op de vraag of er bepaalde type gemeenten zijn die op grond van objectieve criteria kleinere of grotere aansluitverschillen hebben. </w:t>
      </w:r>
    </w:p>
    <w:bookmarkEnd w:id="9"/>
    <w:p w:rsidR="00E90F3A" w:rsidP="00E90F3A" w14:paraId="2AE3F8B1" w14:textId="77777777">
      <w:pPr>
        <w:pStyle w:val="ListParagraph"/>
        <w:numPr>
          <w:ilvl w:val="0"/>
          <w:numId w:val="7"/>
        </w:numPr>
      </w:pPr>
      <w:r>
        <w:rPr>
          <w:b/>
          <w:bCs/>
        </w:rPr>
        <w:t>Heldere c</w:t>
      </w:r>
      <w:r>
        <w:rPr>
          <w:b/>
          <w:bCs/>
        </w:rPr>
        <w:t xml:space="preserve">riteria </w:t>
      </w:r>
      <w:r>
        <w:rPr>
          <w:b/>
          <w:bCs/>
        </w:rPr>
        <w:t xml:space="preserve">waaraan </w:t>
      </w:r>
      <w:r>
        <w:rPr>
          <w:b/>
          <w:bCs/>
        </w:rPr>
        <w:t>maatstaven</w:t>
      </w:r>
      <w:r>
        <w:rPr>
          <w:b/>
          <w:bCs/>
        </w:rPr>
        <w:t xml:space="preserve"> moeten voldoen</w:t>
      </w:r>
      <w:r>
        <w:rPr>
          <w:b/>
          <w:bCs/>
        </w:rPr>
        <w:t xml:space="preserve">: </w:t>
      </w:r>
      <w:r>
        <w:t>Voor de eventueel voorgestelde maatstaven geldt, dat deze niet door overheden beïnvloedbaar zijn (</w:t>
      </w:r>
      <w:r w:rsidRPr="00D33C92">
        <w:rPr>
          <w:b/>
          <w:bCs/>
          <w:i/>
          <w:iCs/>
        </w:rPr>
        <w:t>objectief</w:t>
      </w:r>
      <w:r>
        <w:t>) en wordt vermeden dat goed of slecht gedrag wordt beloond (</w:t>
      </w:r>
      <w:r w:rsidRPr="00D33C92">
        <w:rPr>
          <w:b/>
          <w:bCs/>
          <w:i/>
          <w:iCs/>
        </w:rPr>
        <w:t>ongewenste prikkelwerking</w:t>
      </w:r>
      <w:r>
        <w:t>).</w:t>
      </w:r>
    </w:p>
    <w:p w:rsidR="00E90F3A" w:rsidP="00E90F3A" w14:paraId="06C8711A" w14:textId="77777777">
      <w:pPr>
        <w:pStyle w:val="ListParagraph"/>
        <w:numPr>
          <w:ilvl w:val="0"/>
          <w:numId w:val="7"/>
        </w:numPr>
      </w:pPr>
      <w:r>
        <w:t xml:space="preserve">De </w:t>
      </w:r>
      <w:r w:rsidR="00FC5AA9">
        <w:t xml:space="preserve">maatstaven dienen </w:t>
      </w:r>
      <w:r>
        <w:t xml:space="preserve">in de tijd voldoende </w:t>
      </w:r>
      <w:r w:rsidRPr="00D33C92">
        <w:rPr>
          <w:b/>
          <w:bCs/>
          <w:i/>
          <w:iCs/>
        </w:rPr>
        <w:t>stabiel</w:t>
      </w:r>
      <w:r>
        <w:t xml:space="preserve"> </w:t>
      </w:r>
      <w:r w:rsidR="00FC5AA9">
        <w:t>te zijn</w:t>
      </w:r>
      <w:r>
        <w:t>, zodat budgetten niet te veel schommelen en gemeenten in staat zijn goed meerjarig te begroten (</w:t>
      </w:r>
      <w:r w:rsidRPr="00D33C92">
        <w:rPr>
          <w:b/>
          <w:bCs/>
          <w:i/>
          <w:iCs/>
        </w:rPr>
        <w:t>voorspelbaarheid</w:t>
      </w:r>
      <w:r>
        <w:t xml:space="preserve">), maar de verdeling tegelijkertijd wel zodanig </w:t>
      </w:r>
      <w:r w:rsidRPr="00D33C92">
        <w:rPr>
          <w:b/>
          <w:bCs/>
          <w:i/>
          <w:iCs/>
        </w:rPr>
        <w:t>flexibel</w:t>
      </w:r>
      <w:r>
        <w:t xml:space="preserve"> is dat zij meebeweegt met de ontwikkeling van de kosten die gemeenten maken.</w:t>
      </w:r>
    </w:p>
    <w:p w:rsidR="00E90F3A" w:rsidP="00E90F3A" w14:paraId="52A79AE8" w14:textId="77777777">
      <w:pPr>
        <w:pStyle w:val="ListParagraph"/>
        <w:numPr>
          <w:ilvl w:val="0"/>
          <w:numId w:val="7"/>
        </w:numPr>
      </w:pPr>
      <w:r>
        <w:t>De maatsta</w:t>
      </w:r>
      <w:r w:rsidR="00FC5AA9">
        <w:t>ven dienen</w:t>
      </w:r>
      <w:r>
        <w:t xml:space="preserve"> de middelen niet te gedetailleerd </w:t>
      </w:r>
      <w:r w:rsidR="00FC5AA9">
        <w:t xml:space="preserve">te verdelen </w:t>
      </w:r>
      <w:r>
        <w:t>om te voorkomen dat de verdeling normerend gaat werken (</w:t>
      </w:r>
      <w:r w:rsidRPr="00D33C92">
        <w:rPr>
          <w:b/>
          <w:bCs/>
          <w:i/>
          <w:iCs/>
        </w:rPr>
        <w:t>globaliteit</w:t>
      </w:r>
      <w:r>
        <w:t xml:space="preserve">). </w:t>
      </w:r>
    </w:p>
    <w:p w:rsidR="00E90F3A" w:rsidP="00E90F3A" w14:paraId="02EE936C" w14:textId="77777777">
      <w:pPr>
        <w:pStyle w:val="ListParagraph"/>
        <w:numPr>
          <w:ilvl w:val="0"/>
          <w:numId w:val="7"/>
        </w:numPr>
      </w:pPr>
      <w:r>
        <w:t xml:space="preserve">Een </w:t>
      </w:r>
      <w:r>
        <w:t xml:space="preserve">maatstaf dient een verbetering te zijn voor een groep gemeenten op basis van objectieve gronden. </w:t>
      </w:r>
    </w:p>
    <w:p w:rsidR="00E90F3A" w:rsidP="00E90F3A" w14:paraId="159A413F" w14:textId="77777777">
      <w:pPr>
        <w:pStyle w:val="ListParagraph"/>
        <w:numPr>
          <w:ilvl w:val="0"/>
          <w:numId w:val="7"/>
        </w:numPr>
      </w:pPr>
      <w:r>
        <w:rPr>
          <w:b/>
          <w:bCs/>
        </w:rPr>
        <w:t>Het g</w:t>
      </w:r>
      <w:r>
        <w:rPr>
          <w:b/>
          <w:bCs/>
        </w:rPr>
        <w:t xml:space="preserve">ewicht </w:t>
      </w:r>
      <w:r>
        <w:rPr>
          <w:b/>
          <w:bCs/>
        </w:rPr>
        <w:t xml:space="preserve">van de </w:t>
      </w:r>
      <w:r>
        <w:rPr>
          <w:b/>
          <w:bCs/>
        </w:rPr>
        <w:t>maatstaf</w:t>
      </w:r>
      <w:r>
        <w:t xml:space="preserve"> </w:t>
      </w:r>
      <w:r w:rsidR="000C7C16">
        <w:t xml:space="preserve">dient </w:t>
      </w:r>
      <w:r>
        <w:t xml:space="preserve">uitlegbaar </w:t>
      </w:r>
      <w:r w:rsidR="000C7C16">
        <w:t xml:space="preserve">te zijn </w:t>
      </w:r>
      <w:r>
        <w:t>vanuit de leefwereld</w:t>
      </w:r>
      <w:r w:rsidR="00252A9A">
        <w:t xml:space="preserve"> van gemeenten</w:t>
      </w:r>
      <w:r>
        <w:t>. Bovendien moet worden voorkomen dat het maximale bedrag dat een maatstaf verevend te hoog is, zoals de ROB in haar advies aangeeft: ”Een gewicht van een maatstaf mag niet te hoog zijn, er zijn namelijk bij elke maatstaf ‘pech-gemeenten’. Die pech loopt erg op als die maatstaf een hoog gewicht heeft.”</w:t>
      </w:r>
    </w:p>
    <w:p w:rsidR="00E90F3A" w:rsidP="00E90F3A" w14:paraId="59C5CB67" w14:textId="77777777"/>
    <w:p w:rsidR="00E90F3A" w:rsidP="00E90F3A" w14:paraId="14192422" w14:textId="77777777">
      <w:r>
        <w:t>De centrale vraag aan het eind van alle analyses is voor ons als fondsbeheerders: Is de voorgestelde oplossing voor een geconstateerd knelpunt integraal bezien, dus in het licht van bovengenoemde elementen, daadwerkelijk een verbetering ten opzichte van de huidige modellering?</w:t>
      </w:r>
    </w:p>
    <w:p w:rsidR="00E90F3A" w:rsidP="00BD5BA9" w14:paraId="238BED8B" w14:textId="77777777"/>
    <w:p w:rsidRPr="00E90F3A" w:rsidR="00DD58E6" w:rsidP="00E90F3A" w14:paraId="4A24A205" w14:textId="77777777">
      <w:pPr>
        <w:pStyle w:val="ListParagraph"/>
        <w:numPr>
          <w:ilvl w:val="0"/>
          <w:numId w:val="12"/>
        </w:numPr>
        <w:rPr>
          <w:b/>
          <w:bCs/>
        </w:rPr>
      </w:pPr>
      <w:r w:rsidRPr="00E90F3A">
        <w:rPr>
          <w:b/>
          <w:bCs/>
        </w:rPr>
        <w:t xml:space="preserve">Het </w:t>
      </w:r>
      <w:r w:rsidR="00DE1676">
        <w:rPr>
          <w:b/>
          <w:bCs/>
        </w:rPr>
        <w:t>verdeel</w:t>
      </w:r>
      <w:r w:rsidRPr="00E90F3A">
        <w:rPr>
          <w:b/>
          <w:bCs/>
        </w:rPr>
        <w:t>model per 1 januari 2027 en het verdere vervolgtraject</w:t>
      </w:r>
    </w:p>
    <w:p w:rsidRPr="00322FDA" w:rsidR="00D51B6B" w:rsidP="00D51B6B" w14:paraId="7A688051" w14:textId="77777777">
      <w:r w:rsidRPr="00322FDA">
        <w:t>In deze paragraaf wordt ingegaan op het vervolgtraject, te weten:</w:t>
      </w:r>
    </w:p>
    <w:p w:rsidRPr="00322FDA" w:rsidR="00E41A44" w:rsidP="00E41A44" w14:paraId="160F8FDA" w14:textId="77777777">
      <w:pPr>
        <w:pStyle w:val="ListParagraph"/>
        <w:numPr>
          <w:ilvl w:val="0"/>
          <w:numId w:val="16"/>
        </w:numPr>
      </w:pPr>
      <w:r w:rsidRPr="00322FDA">
        <w:t>Inhoudelijke aanpassingen van het verdeelmodel per 1 januari 2027 (4.1)</w:t>
      </w:r>
    </w:p>
    <w:p w:rsidRPr="00322FDA" w:rsidR="00E41A44" w:rsidP="00E41A44" w14:paraId="6E0E4B60" w14:textId="77777777">
      <w:pPr>
        <w:pStyle w:val="ListParagraph"/>
        <w:numPr>
          <w:ilvl w:val="0"/>
          <w:numId w:val="16"/>
        </w:numPr>
      </w:pPr>
      <w:r w:rsidRPr="00322FDA">
        <w:t xml:space="preserve">Het </w:t>
      </w:r>
      <w:r w:rsidRPr="00322FDA">
        <w:t>ingroeipad</w:t>
      </w:r>
      <w:r w:rsidRPr="00322FDA">
        <w:t xml:space="preserve"> per 1 januari 2027 (4.2)</w:t>
      </w:r>
    </w:p>
    <w:p w:rsidRPr="00322FDA" w:rsidR="00E41A44" w:rsidP="00E41A44" w14:paraId="356E9005" w14:textId="77777777">
      <w:pPr>
        <w:pStyle w:val="ListParagraph"/>
        <w:numPr>
          <w:ilvl w:val="0"/>
          <w:numId w:val="16"/>
        </w:numPr>
      </w:pPr>
      <w:r w:rsidRPr="00322FDA">
        <w:t>Organisatorische inbedding van het vervolgtraject (4.3)</w:t>
      </w:r>
    </w:p>
    <w:p w:rsidRPr="00322FDA" w:rsidR="00E41A44" w:rsidP="00E41A44" w14:paraId="6D97EA41" w14:textId="77777777">
      <w:pPr>
        <w:pStyle w:val="ListParagraph"/>
        <w:numPr>
          <w:ilvl w:val="0"/>
          <w:numId w:val="16"/>
        </w:numPr>
      </w:pPr>
      <w:r w:rsidRPr="00322FDA">
        <w:t>Vervolgonderzoeken (4.4)</w:t>
      </w:r>
    </w:p>
    <w:p w:rsidR="00E41A44" w:rsidP="00D51B6B" w14:paraId="7802A2AA" w14:textId="77777777"/>
    <w:p w:rsidRPr="003F3791" w:rsidR="003F3791" w:rsidP="00D51B6B" w14:paraId="1827590F" w14:textId="77777777">
      <w:pPr>
        <w:rPr>
          <w:i/>
          <w:iCs/>
        </w:rPr>
      </w:pPr>
      <w:r>
        <w:rPr>
          <w:i/>
          <w:iCs/>
        </w:rPr>
        <w:t>4.1</w:t>
      </w:r>
      <w:r w:rsidR="009029FD">
        <w:rPr>
          <w:i/>
          <w:iCs/>
        </w:rPr>
        <w:tab/>
      </w:r>
      <w:r>
        <w:rPr>
          <w:i/>
          <w:iCs/>
        </w:rPr>
        <w:t xml:space="preserve">Inhoudelijke aanpassingen </w:t>
      </w:r>
      <w:r w:rsidR="00DE1676">
        <w:rPr>
          <w:i/>
          <w:iCs/>
        </w:rPr>
        <w:t xml:space="preserve">van het verdeelmodel </w:t>
      </w:r>
      <w:r>
        <w:rPr>
          <w:i/>
          <w:iCs/>
        </w:rPr>
        <w:t>per 1 januari 2027</w:t>
      </w:r>
    </w:p>
    <w:p w:rsidRPr="00D7426D" w:rsidR="003F3791" w:rsidP="003F3791" w14:paraId="38904D52" w14:textId="77777777">
      <w:r>
        <w:t xml:space="preserve">Wij </w:t>
      </w:r>
      <w:r w:rsidR="006C4CD6">
        <w:t xml:space="preserve">sluiten ons aan bij het voorstel van de ROB en de VNG om </w:t>
      </w:r>
      <w:r w:rsidRPr="00322FDA" w:rsidR="006C4CD6">
        <w:t xml:space="preserve">per </w:t>
      </w:r>
      <w:r w:rsidRPr="00322FDA" w:rsidR="00836468">
        <w:t xml:space="preserve">1 januari </w:t>
      </w:r>
      <w:r w:rsidRPr="00322FDA" w:rsidR="006C4CD6">
        <w:t>2027 twee kleine wijzigingendoor te voeren.</w:t>
      </w:r>
      <w:r w:rsidRPr="00322FDA">
        <w:t xml:space="preserve"> </w:t>
      </w:r>
      <w:r w:rsidRPr="00322FDA" w:rsidR="00501163">
        <w:t xml:space="preserve">Ten eerste, </w:t>
      </w:r>
      <w:r w:rsidRPr="00322FDA">
        <w:t>de berekening van de maatstaf ‘Huishoudens met een laag inkomen’ met procenten in plaats van met honderdtallen</w:t>
      </w:r>
      <w:r w:rsidRPr="00322FDA" w:rsidR="00501163">
        <w:t>.</w:t>
      </w:r>
      <w:r w:rsidRPr="00322FDA" w:rsidR="004A0F68">
        <w:t xml:space="preserve"> Dit voorstel leidt tot een verdeling die beter aansluit bij de feitelijke situatie. </w:t>
      </w:r>
      <w:r w:rsidRPr="00322FDA" w:rsidR="000E4EA8">
        <w:t>D</w:t>
      </w:r>
      <w:r w:rsidRPr="00322FDA" w:rsidR="004A0F68">
        <w:t>e herverdeel</w:t>
      </w:r>
      <w:r w:rsidRPr="00322FDA" w:rsidR="000E4EA8">
        <w:t xml:space="preserve">effecten </w:t>
      </w:r>
      <w:r w:rsidRPr="00322FDA" w:rsidR="00C660F0">
        <w:t xml:space="preserve">van de algemene uitkering van het gemeentefonds </w:t>
      </w:r>
      <w:r w:rsidRPr="00322FDA" w:rsidR="000E4EA8">
        <w:t>zijn een gevolg</w:t>
      </w:r>
      <w:r w:rsidRPr="00322FDA" w:rsidR="004A0F68">
        <w:t xml:space="preserve"> van de afrondingen en daarmee </w:t>
      </w:r>
      <w:r w:rsidRPr="00322FDA" w:rsidR="000E4EA8">
        <w:t>beperkt.</w:t>
      </w:r>
      <w:r w:rsidRPr="00322FDA" w:rsidR="00501163">
        <w:t xml:space="preserve"> Ten tweede,</w:t>
      </w:r>
      <w:r w:rsidRPr="00322FDA">
        <w:t xml:space="preserve"> de rekentarieven van de </w:t>
      </w:r>
      <w:r w:rsidRPr="00322FDA" w:rsidR="000E4EA8">
        <w:t xml:space="preserve">OZB </w:t>
      </w:r>
      <w:r w:rsidRPr="00322FDA">
        <w:t xml:space="preserve">aan te passen aan de werkelijke gemiddelde </w:t>
      </w:r>
      <w:r w:rsidRPr="00322FDA" w:rsidR="000E4EA8">
        <w:t>OZB</w:t>
      </w:r>
      <w:r w:rsidRPr="00322FDA">
        <w:t>-tarieven</w:t>
      </w:r>
      <w:r w:rsidRPr="00322FDA" w:rsidR="00501163">
        <w:t xml:space="preserve"> en de verevening van de overige eigen middelen met hetzelfde bedrag </w:t>
      </w:r>
      <w:r w:rsidRPr="00322FDA" w:rsidR="00D7426D">
        <w:t>(</w:t>
      </w:r>
      <w:r w:rsidRPr="00322FDA" w:rsidR="00E62799">
        <w:t>Het gaat om een bedrag tussen € 100 miljoen en € 200 miljoen</w:t>
      </w:r>
      <w:r w:rsidRPr="00322FDA" w:rsidR="00D7426D">
        <w:t>)</w:t>
      </w:r>
      <w:r>
        <w:rPr>
          <w:rStyle w:val="FootnoteReference"/>
        </w:rPr>
        <w:footnoteReference w:id="13"/>
      </w:r>
      <w:r w:rsidRPr="00322FDA" w:rsidR="00D7426D">
        <w:t xml:space="preserve"> </w:t>
      </w:r>
      <w:r w:rsidRPr="00322FDA" w:rsidR="00501163">
        <w:t>te verlagen</w:t>
      </w:r>
      <w:r w:rsidRPr="00322FDA">
        <w:t xml:space="preserve">. </w:t>
      </w:r>
      <w:r w:rsidRPr="00322FDA" w:rsidR="000E4EA8">
        <w:t xml:space="preserve">De herverdeling </w:t>
      </w:r>
      <w:r w:rsidRPr="00322FDA" w:rsidR="00C660F0">
        <w:t xml:space="preserve">van de algemene uitkering van het gemeentefonds </w:t>
      </w:r>
      <w:r w:rsidRPr="00322FDA" w:rsidR="000E4EA8">
        <w:t>die hieruit voortvloeit is eveneens beperkt</w:t>
      </w:r>
      <w:r w:rsidRPr="00322FDA" w:rsidR="001C6F12">
        <w:t xml:space="preserve"> (stand decembercirculaire 2024)</w:t>
      </w:r>
      <w:r w:rsidRPr="00322FDA" w:rsidR="000E4EA8">
        <w:t xml:space="preserve">. Voor alle gemeenten geldt dat het effect minder dan 0,3% is van de algemene uitkering en voor 315 van de 342 gemeenten minder dan 0,2% van de algemene uitkering, zie </w:t>
      </w:r>
      <w:r w:rsidRPr="00322FDA" w:rsidR="00AF2ACD">
        <w:t>kaart</w:t>
      </w:r>
      <w:r w:rsidRPr="00322FDA" w:rsidR="000E4EA8">
        <w:t xml:space="preserve"> 1. </w:t>
      </w:r>
      <w:r w:rsidRPr="00322FDA" w:rsidR="006C4CD6">
        <w:t>Gezien de beperktheid van de herverdeeleffecten van beide voorstellen, zijn we het met de ROB eens dat deze voorstellen zonder overgangsmaatregel kunnen worden ingevoerd.</w:t>
      </w:r>
      <w:r w:rsidRPr="00D7426D" w:rsidR="006C4CD6">
        <w:t xml:space="preserve"> </w:t>
      </w:r>
    </w:p>
    <w:p w:rsidRPr="00D7426D" w:rsidR="003F3791" w:rsidP="003F3791" w14:paraId="12F31776" w14:textId="77777777"/>
    <w:p w:rsidR="003F3791" w:rsidP="00DC7F5B" w14:paraId="12D7C716" w14:textId="77777777">
      <w:r w:rsidRPr="00D7426D">
        <w:t xml:space="preserve">Verder zal </w:t>
      </w:r>
      <w:r w:rsidRPr="00D7426D">
        <w:t>conform</w:t>
      </w:r>
      <w:r w:rsidRPr="00D7426D">
        <w:t xml:space="preserve"> het advies van de ROB en de VNG de maatstaf ‘niet-westerse migranten’ met ingang van 1 januari 2027 tijdelijk worden bevroren, aangezien de </w:t>
      </w:r>
      <w:r w:rsidRPr="00D7426D" w:rsidR="00C23066">
        <w:t xml:space="preserve">voordelen en de nadelen niet willekeurig over Nederland zijn verdeeld. </w:t>
      </w:r>
      <w:r w:rsidRPr="00322FDA" w:rsidR="00DC7F5B">
        <w:t xml:space="preserve">De huidige gegevens </w:t>
      </w:r>
      <w:r w:rsidRPr="00322FDA" w:rsidR="00DC7F5B">
        <w:t>aangaande</w:t>
      </w:r>
      <w:r w:rsidRPr="00322FDA" w:rsidR="00DC7F5B">
        <w:t xml:space="preserve"> de maatstaf “niet-westerse migranten” wordt per 1 januari 2027 niet meer aangeleverd door het CBS. De voorgestelde maatstaf ‘Buiten-Europa’ leidt tot </w:t>
      </w:r>
      <w:r w:rsidRPr="00322FDA" w:rsidR="00C23066">
        <w:t>herverdeeleffecten</w:t>
      </w:r>
      <w:r w:rsidRPr="00322FDA" w:rsidR="00DC7F5B">
        <w:t>, die</w:t>
      </w:r>
      <w:r w:rsidRPr="00D7426D" w:rsidR="00C23066">
        <w:t xml:space="preserve"> liggen tussen de -0,85% van de algemene uitkering en de + 1,85% van de algemene uitkering per gemeente. </w:t>
      </w:r>
      <w:r w:rsidRPr="00D7426D" w:rsidR="000E4EA8">
        <w:t>Er is voor 52 van de 342 gemeenten een negatief effect, waarbij voor 14 gemeenten dit effect meer dan -0,25% bedraagt. De 14 gemeenten met de grootste negatieve afwijking zijn voornamelijk te vinden bij de G4 en bij de randgemeenten die bij Amsterdam en Rotterdam horen</w:t>
      </w:r>
      <w:r w:rsidRPr="00D7426D" w:rsidR="00C23066">
        <w:t xml:space="preserve">, zie </w:t>
      </w:r>
      <w:r w:rsidRPr="00746498" w:rsidR="00AF2ACD">
        <w:t>kaart</w:t>
      </w:r>
      <w:r w:rsidRPr="00746498" w:rsidR="00C23066">
        <w:t xml:space="preserve"> 2</w:t>
      </w:r>
      <w:r w:rsidRPr="00D7426D" w:rsidR="000E4EA8">
        <w:t>.</w:t>
      </w:r>
      <w:r w:rsidR="000E4EA8">
        <w:t xml:space="preserve"> </w:t>
      </w:r>
    </w:p>
    <w:p w:rsidR="00836468" w:rsidP="000E4EA8" w14:paraId="7AFD59D3" w14:textId="77777777"/>
    <w:p w:rsidR="00836468" w:rsidP="000E4EA8" w14:paraId="646BF4C0" w14:textId="77777777">
      <w:r w:rsidRPr="00322FDA">
        <w:t>Tot slot merkt de ROB in zijn advies op dat aanpassing van de definitie van de maatstaf ‘huishoudens laag inkomen met drempel’</w:t>
      </w:r>
      <w:r>
        <w:rPr>
          <w:rStyle w:val="FootnoteReference"/>
        </w:rPr>
        <w:footnoteReference w:id="14"/>
      </w:r>
      <w:r w:rsidRPr="00322FDA">
        <w:t xml:space="preserve"> nader onderzoek vergt gezien de herverdeeleffecten die hier mee gepaard gaan.</w:t>
      </w:r>
    </w:p>
    <w:p w:rsidR="003F3791" w:rsidP="003F3791" w14:paraId="1C9968C2" w14:textId="77777777"/>
    <w:p w:rsidR="006C4CD6" w:rsidP="006C4CD6" w14:paraId="44548962" w14:textId="77777777">
      <w:r>
        <w:t>We delen de mening van de ROB en de VNG dat de overige voorstellen nog nader onderzoek vragen, zie paragraaf 4.4.</w:t>
      </w:r>
    </w:p>
    <w:p w:rsidR="006C4CD6" w:rsidP="003F3791" w14:paraId="7A274333" w14:textId="77777777"/>
    <w:p w:rsidRPr="00322FDA" w:rsidR="003F3791" w:rsidP="003F3791" w14:paraId="4F49EA1F" w14:textId="77777777">
      <w:r w:rsidRPr="00322FDA">
        <w:rPr>
          <w:i/>
          <w:iCs/>
        </w:rPr>
        <w:t>4</w:t>
      </w:r>
      <w:r w:rsidRPr="00322FDA" w:rsidR="009029FD">
        <w:rPr>
          <w:i/>
          <w:iCs/>
        </w:rPr>
        <w:t xml:space="preserve">.2 </w:t>
      </w:r>
      <w:r w:rsidRPr="00322FDA">
        <w:rPr>
          <w:i/>
          <w:iCs/>
        </w:rPr>
        <w:t xml:space="preserve">Het </w:t>
      </w:r>
      <w:r w:rsidRPr="00322FDA">
        <w:rPr>
          <w:i/>
          <w:iCs/>
        </w:rPr>
        <w:t>ingroeipad</w:t>
      </w:r>
      <w:r w:rsidRPr="00322FDA" w:rsidR="00E41A44">
        <w:rPr>
          <w:i/>
          <w:iCs/>
        </w:rPr>
        <w:t xml:space="preserve"> per 1 januari 2027</w:t>
      </w:r>
    </w:p>
    <w:p w:rsidR="00757931" w:rsidP="00530228" w14:paraId="61A784FF" w14:textId="77777777">
      <w:r w:rsidRPr="00322FDA">
        <w:t xml:space="preserve">De </w:t>
      </w:r>
      <w:r w:rsidRPr="00322FDA" w:rsidR="00B93CC1">
        <w:t xml:space="preserve">ROB </w:t>
      </w:r>
      <w:r w:rsidRPr="00322FDA" w:rsidR="00C23066">
        <w:t xml:space="preserve">constateert </w:t>
      </w:r>
      <w:r w:rsidRPr="00322FDA" w:rsidR="00D375BD">
        <w:t xml:space="preserve">in zijn advies </w:t>
      </w:r>
      <w:r w:rsidRPr="00322FDA">
        <w:t>dat d</w:t>
      </w:r>
      <w:r w:rsidRPr="00322FDA" w:rsidR="00501163">
        <w:t>e bevindingen van de onderzoeken om de verdeling van het cluster jeugd te verbeteren</w:t>
      </w:r>
      <w:r w:rsidR="00322FDA">
        <w:t xml:space="preserve">, </w:t>
      </w:r>
      <w:r w:rsidRPr="00322FDA" w:rsidR="00DC5E87">
        <w:t xml:space="preserve">welke nu dus </w:t>
      </w:r>
      <w:r w:rsidRPr="00322FDA" w:rsidR="00322FDA">
        <w:rPr>
          <w:u w:val="single"/>
        </w:rPr>
        <w:t>niet</w:t>
      </w:r>
      <w:r w:rsidRPr="00322FDA" w:rsidR="00DC5E87">
        <w:t xml:space="preserve"> worden doorgevoerd</w:t>
      </w:r>
      <w:r w:rsidR="00322FDA">
        <w:t>,</w:t>
      </w:r>
      <w:r w:rsidRPr="00322FDA" w:rsidR="00DC5E87">
        <w:t xml:space="preserve"> </w:t>
      </w:r>
      <w:r w:rsidRPr="00322FDA" w:rsidR="00501163">
        <w:t xml:space="preserve">een andere richting van herverdeeleffecten </w:t>
      </w:r>
      <w:r w:rsidRPr="00322FDA">
        <w:t xml:space="preserve">kennen </w:t>
      </w:r>
      <w:r w:rsidRPr="00322FDA" w:rsidR="00501163">
        <w:t xml:space="preserve">dan het </w:t>
      </w:r>
      <w:r w:rsidRPr="00322FDA" w:rsidR="004F07B3">
        <w:t>oorsponkelijke</w:t>
      </w:r>
      <w:r w:rsidRPr="00322FDA" w:rsidR="00501163">
        <w:t xml:space="preserve"> </w:t>
      </w:r>
      <w:r w:rsidRPr="00322FDA" w:rsidR="00501163">
        <w:t>ingroeipad</w:t>
      </w:r>
      <w:r w:rsidR="00322FDA">
        <w:t xml:space="preserve">, </w:t>
      </w:r>
      <w:r w:rsidRPr="00322FDA" w:rsidR="00DC5E87">
        <w:t xml:space="preserve">welke </w:t>
      </w:r>
      <w:r w:rsidRPr="00322FDA" w:rsidR="00DF1F6D">
        <w:t>nu bevroren blijft op het niveau 2026</w:t>
      </w:r>
      <w:r w:rsidR="00322FDA">
        <w:t>;</w:t>
      </w:r>
      <w:r w:rsidRPr="005E054C">
        <w:t xml:space="preserve"> </w:t>
      </w:r>
      <w:r w:rsidRPr="00746498">
        <w:t xml:space="preserve">zie </w:t>
      </w:r>
      <w:r w:rsidRPr="005E054C" w:rsidR="00AF2ACD">
        <w:t xml:space="preserve">kaart </w:t>
      </w:r>
      <w:r w:rsidRPr="00746498" w:rsidR="00C23066">
        <w:t>3 en 4</w:t>
      </w:r>
      <w:r w:rsidRPr="005E054C" w:rsidR="00501163">
        <w:t>.</w:t>
      </w:r>
      <w:r w:rsidR="00501163">
        <w:t xml:space="preserve"> </w:t>
      </w:r>
      <w:r w:rsidR="00C23066">
        <w:t>Oftewel</w:t>
      </w:r>
      <w:r w:rsidRPr="00C23066" w:rsidR="00C23066">
        <w:t xml:space="preserve"> een aanpassing nu, die voor een gemeente kan betekenen dat deze meer middelen ontvangt, </w:t>
      </w:r>
      <w:r w:rsidR="00C23066">
        <w:t>kan mogelijk over twee jaar</w:t>
      </w:r>
      <w:r w:rsidRPr="00C23066" w:rsidR="00C23066">
        <w:t xml:space="preserve"> weer ongedaan worden gemaakt door nieuwe aanpassingen vanuit het sociaal domein. </w:t>
      </w:r>
      <w:r w:rsidR="00501163">
        <w:t xml:space="preserve">De ROB concludeert dan ook dat de beoogde richting van de totale herverdeling door de voorstellen ongewis is geworden en adviseert daarom de huidige bedragen van de ‘suppletie-uitkering herverdeling gemeentefonds’ voorlopig te bevriezen op het niveau van 2026 en mee te laten groeien met de </w:t>
      </w:r>
      <w:r>
        <w:t>indexatie (</w:t>
      </w:r>
      <w:r w:rsidR="00501163">
        <w:t>uitkeringsfactor</w:t>
      </w:r>
      <w:r>
        <w:t>)</w:t>
      </w:r>
      <w:r w:rsidR="00501163">
        <w:t xml:space="preserve">. </w:t>
      </w:r>
    </w:p>
    <w:p w:rsidR="00757931" w:rsidP="00530228" w14:paraId="72A60D64" w14:textId="77777777"/>
    <w:p w:rsidR="00757931" w:rsidP="00530228" w14:paraId="675C9E9A" w14:textId="77777777">
      <w:r>
        <w:t xml:space="preserve">De VNG roept in haar advies ons als fondsbeheerders op om voor de korte termijn snel een besluit te nemen over het </w:t>
      </w:r>
      <w:r>
        <w:t>ingroeipad</w:t>
      </w:r>
      <w:r>
        <w:t xml:space="preserve"> voor 2027 en de jaren daarna. Ze geeft aan dat snelle duidelijkheid voor gemeenten van groot belang is voor het kunnen opstellen van de begroting van volgend jaar, mede met het oog op lopende lokale coalitieonderhandelingen.</w:t>
      </w:r>
    </w:p>
    <w:p w:rsidR="00757931" w:rsidP="00530228" w14:paraId="673D5BBA" w14:textId="77777777"/>
    <w:p w:rsidRPr="00322FDA" w:rsidR="00095946" w:rsidP="00C23066" w14:paraId="37F4C9FC" w14:textId="77777777">
      <w:r>
        <w:t xml:space="preserve">Zoals de ROB in zijn advies aangeeft is er nog vervolgonderzoek nodig. </w:t>
      </w:r>
      <w:r w:rsidR="00C23066">
        <w:t xml:space="preserve">Als fondsbeheerders hechten we </w:t>
      </w:r>
      <w:r w:rsidR="00C23066">
        <w:t>er aan</w:t>
      </w:r>
      <w:r w:rsidR="00C23066">
        <w:t>, zoals in paragraaf 3 van deze brief aangegeven, dat de verdeling in de tijd voldoende stabiel is, zodat budgetten niet te veel schommelen en gemeenten in staat zijn goed meerjarig te begroten (voorspelbaarheid</w:t>
      </w:r>
      <w:r w:rsidR="00D375BD">
        <w:t>)</w:t>
      </w:r>
      <w:r w:rsidR="00C23066">
        <w:t>. Daarom volgen we het advies van de ROB</w:t>
      </w:r>
      <w:r w:rsidR="00757931">
        <w:t xml:space="preserve"> om het </w:t>
      </w:r>
      <w:r w:rsidR="00757931">
        <w:t>ingroeipad</w:t>
      </w:r>
      <w:r w:rsidR="00757931">
        <w:t xml:space="preserve"> te bevriezen op het niveau van </w:t>
      </w:r>
      <w:r w:rsidRPr="00322FDA" w:rsidR="00757931">
        <w:t>2026</w:t>
      </w:r>
      <w:r>
        <w:rPr>
          <w:rStyle w:val="FootnoteReference"/>
        </w:rPr>
        <w:footnoteReference w:id="15"/>
      </w:r>
      <w:r w:rsidRPr="00322FDA" w:rsidR="00757931">
        <w:t xml:space="preserve"> en </w:t>
      </w:r>
      <w:r w:rsidRPr="00322FDA" w:rsidR="00C571D7">
        <w:t xml:space="preserve">tot en met 2028 </w:t>
      </w:r>
      <w:r w:rsidRPr="00322FDA" w:rsidR="00757931">
        <w:t>mee te laten groeien met de indexatie</w:t>
      </w:r>
      <w:r w:rsidRPr="00322FDA" w:rsidR="0082563A">
        <w:t xml:space="preserve">. </w:t>
      </w:r>
    </w:p>
    <w:p w:rsidRPr="00322FDA" w:rsidR="00095946" w:rsidP="00C23066" w14:paraId="44F5931A" w14:textId="77777777"/>
    <w:p w:rsidRPr="00322FDA" w:rsidR="00F86087" w:rsidP="00530228" w14:paraId="1C191C06" w14:textId="77777777">
      <w:r w:rsidRPr="00322FDA">
        <w:t xml:space="preserve">Aangezien we er als fondsbeheerders aan hechten, zoals in de inleiding aangeven, dat er voldoende tijd is om zowel methodologisch als bestuurlijk de resultaten te bezien, hebben we voor dit vervolgtraject twee jaar nodig. Een volgende stap in het </w:t>
      </w:r>
      <w:r w:rsidRPr="00322FDA">
        <w:t>ingroeipad</w:t>
      </w:r>
      <w:r w:rsidRPr="00322FDA">
        <w:t xml:space="preserve"> zal dan ook pas gezet worden per 1 januari 2029.</w:t>
      </w:r>
      <w:r w:rsidRPr="00322FDA" w:rsidR="00E86071">
        <w:t xml:space="preserve">  </w:t>
      </w:r>
    </w:p>
    <w:p w:rsidRPr="00322FDA" w:rsidR="00C23066" w:rsidP="00530228" w14:paraId="0A54C1EA" w14:textId="77777777"/>
    <w:p w:rsidRPr="00322FDA" w:rsidR="009F57A6" w:rsidP="009F57A6" w14:paraId="709FD62B" w14:textId="77777777">
      <w:pPr>
        <w:rPr>
          <w:i/>
          <w:iCs/>
        </w:rPr>
      </w:pPr>
      <w:r w:rsidRPr="00322FDA">
        <w:rPr>
          <w:i/>
          <w:iCs/>
        </w:rPr>
        <w:t>4</w:t>
      </w:r>
      <w:r w:rsidRPr="00322FDA" w:rsidR="009029FD">
        <w:rPr>
          <w:i/>
          <w:iCs/>
        </w:rPr>
        <w:t xml:space="preserve">.3 </w:t>
      </w:r>
      <w:r w:rsidRPr="00322FDA">
        <w:rPr>
          <w:i/>
          <w:iCs/>
        </w:rPr>
        <w:t xml:space="preserve">Organisatorische inbedding </w:t>
      </w:r>
      <w:r w:rsidRPr="00322FDA" w:rsidR="00E41A44">
        <w:rPr>
          <w:i/>
          <w:iCs/>
        </w:rPr>
        <w:t>van het vervolgtraject</w:t>
      </w:r>
    </w:p>
    <w:p w:rsidR="00174956" w:rsidP="00174956" w14:paraId="3EE8173F" w14:textId="77777777">
      <w:r w:rsidRPr="00322FDA">
        <w:t xml:space="preserve">Zoals al eerder in deze brief </w:t>
      </w:r>
      <w:r w:rsidRPr="00322FDA" w:rsidR="0042229D">
        <w:t xml:space="preserve">door ons </w:t>
      </w:r>
      <w:r w:rsidRPr="00322FDA">
        <w:t>aangegeven is v</w:t>
      </w:r>
      <w:r w:rsidRPr="00322FDA" w:rsidR="009F57A6">
        <w:t xml:space="preserve">oor ons als fondsbeheerders </w:t>
      </w:r>
      <w:r w:rsidRPr="00322FDA">
        <w:t xml:space="preserve">wat de methodologie van het verdeelvraagstuk betreft de kern dat het model gebaseerd moet zijn op de leefwereld. Dat wil zeggen </w:t>
      </w:r>
      <w:r w:rsidRPr="00322FDA" w:rsidR="003100DA">
        <w:t>het model moet gebaseerd</w:t>
      </w:r>
      <w:r w:rsidR="003100DA">
        <w:t xml:space="preserve"> zijn </w:t>
      </w:r>
      <w:r>
        <w:t xml:space="preserve">op waar gemeenten in hun dagelijkse praktijk op objectieve gronden mee te maken hebben. Het streven is dat er geen objectieve gronden meer zijn op basis waarvan gemeenten kunnen ‘aankloppen’. Het is daarom, zoals ook de ROB en de VNG aangegeven van belang om niet alleen rekenkundig en/of statistisch te kijken. </w:t>
      </w:r>
    </w:p>
    <w:p w:rsidR="00174956" w:rsidP="00174956" w14:paraId="68D0ADD1" w14:textId="77777777"/>
    <w:p w:rsidR="00087916" w:rsidP="0082563A" w14:paraId="28A91447" w14:textId="77777777">
      <w:r>
        <w:t xml:space="preserve">Voor het vervolgtraject geldt dan ook dat we het als fondsbeheerders eens zijn met de ROB dat de inhoudelijke onderbouwing moet komen van mensen die op dat terrein werken, inhoudelijk en/of financieel, bij gemeenten, ministeries, kennisinstituten, </w:t>
      </w:r>
      <w:r w:rsidRPr="0042229D">
        <w:t>belangenorganisaties en dergelijke.</w:t>
      </w:r>
      <w:r>
        <w:t xml:space="preserve"> </w:t>
      </w:r>
      <w:r w:rsidR="009F57A6">
        <w:t xml:space="preserve">De ROB geeft aan voornemens te zijn om later dit jaar onder andere op dit punt nader advies te zullen uitbrengen. De VNG roept in haar advies op om hier niet op te wachten, maar zelf als fondsbeheerders de regie te nemen en vooruitlopend hierop zelf met een plan van aanpak te komen. Verder geeft de VNG aan dat ze vanuit de gemeenten er alles aan zullen doen om hier constructief aan bij te dragen. </w:t>
      </w:r>
      <w:r w:rsidR="0082563A">
        <w:t xml:space="preserve">We maken graag gebruik van het aanbod van de VNG om gezamenlijk tot een ordentelijk proces </w:t>
      </w:r>
      <w:r>
        <w:t xml:space="preserve">(tijdpad, rollen en verantwoordelijkheden, (tussen)producten) </w:t>
      </w:r>
      <w:r w:rsidR="0082563A">
        <w:t>te komen.</w:t>
      </w:r>
      <w:r>
        <w:t xml:space="preserve"> Bij de inrichting van dit proces zal ook gebruik worden gemaakt van de reflecties van de leden van de expertgroep en de begeleidingscommissie op het doorlopen proces. </w:t>
      </w:r>
      <w:r w:rsidR="0042229D">
        <w:t>Verder zal waar mogelijk en passend worden aangesloten bij bestaande structuren.</w:t>
      </w:r>
    </w:p>
    <w:p w:rsidR="00087916" w:rsidP="009F57A6" w14:paraId="797BAA1A" w14:textId="77777777"/>
    <w:p w:rsidRPr="00322FDA" w:rsidR="0030724C" w:rsidP="0030724C" w14:paraId="18399E22" w14:textId="77777777">
      <w:r>
        <w:t>V</w:t>
      </w:r>
      <w:r w:rsidRPr="001311B3">
        <w:t xml:space="preserve">oor het onderzoek in het sociaal domein geldt dat we </w:t>
      </w:r>
      <w:r w:rsidR="00D375BD">
        <w:t xml:space="preserve">dit </w:t>
      </w:r>
      <w:r w:rsidRPr="001311B3">
        <w:t xml:space="preserve">als fondsbeheerders samen met </w:t>
      </w:r>
      <w:r w:rsidR="00D375BD">
        <w:t>de Minister van Langdurige Zorg, Jeugd en Sport</w:t>
      </w:r>
      <w:r w:rsidRPr="001311B3">
        <w:t>, als inhoudelijk verantwoordelijk</w:t>
      </w:r>
      <w:r w:rsidR="00D375BD">
        <w:t>e</w:t>
      </w:r>
      <w:r w:rsidRPr="001311B3">
        <w:t xml:space="preserve">, en de VNG zullen </w:t>
      </w:r>
      <w:r w:rsidR="00D375BD">
        <w:t xml:space="preserve">oppakken. We zullen gezamenlijk </w:t>
      </w:r>
      <w:r w:rsidRPr="001311B3">
        <w:t>bezien hoe dit</w:t>
      </w:r>
      <w:r w:rsidR="00D375BD">
        <w:t xml:space="preserve"> vervolgtraject</w:t>
      </w:r>
      <w:r w:rsidRPr="001311B3">
        <w:t xml:space="preserve"> organisatorisch </w:t>
      </w:r>
      <w:r w:rsidR="00D375BD">
        <w:t>vorm te geven</w:t>
      </w:r>
      <w:r w:rsidRPr="001311B3">
        <w:t xml:space="preserve">, </w:t>
      </w:r>
      <w:r w:rsidR="00087916">
        <w:t xml:space="preserve">waarbij </w:t>
      </w:r>
      <w:r w:rsidR="003100DA">
        <w:t xml:space="preserve">eveneens </w:t>
      </w:r>
      <w:r w:rsidR="00087916">
        <w:t>de reflecties van de expertgroep en de begeleidingscommissie zullen worden meegenomen. Verder zal bij de inrichting van het onderzoek in het sociaal domein</w:t>
      </w:r>
      <w:r w:rsidRPr="001311B3" w:rsidR="00087916">
        <w:t xml:space="preserve"> </w:t>
      </w:r>
      <w:r w:rsidRPr="001311B3">
        <w:t xml:space="preserve">ook gekeken worden naar eventuele samenhang met </w:t>
      </w:r>
      <w:r w:rsidRPr="001311B3">
        <w:t>reeds</w:t>
      </w:r>
      <w:r w:rsidRPr="001311B3">
        <w:t xml:space="preserve"> lopende trajecten t</w:t>
      </w:r>
      <w:r>
        <w:t>en aanzien van</w:t>
      </w:r>
      <w:r w:rsidRPr="001311B3">
        <w:t xml:space="preserve"> de jeugdzorg en de </w:t>
      </w:r>
      <w:r w:rsidRPr="001311B3">
        <w:t>Wmo</w:t>
      </w:r>
      <w:r w:rsidRPr="001311B3">
        <w:t xml:space="preserve"> 2015</w:t>
      </w:r>
      <w:r>
        <w:t>. Dit</w:t>
      </w:r>
      <w:r w:rsidRPr="001311B3">
        <w:t xml:space="preserve"> om synergie in kennis te realiseren</w:t>
      </w:r>
      <w:r>
        <w:t>,</w:t>
      </w:r>
      <w:r w:rsidRPr="001311B3">
        <w:t xml:space="preserve"> de noodzakelijke inhoudelijke expertise te borgen en </w:t>
      </w:r>
      <w:r>
        <w:t xml:space="preserve">voor </w:t>
      </w:r>
      <w:r w:rsidRPr="001311B3">
        <w:t xml:space="preserve">aansluiting op trajecten die er al lopen. </w:t>
      </w:r>
      <w:r w:rsidR="0082563A">
        <w:t>Waarbij benadrukt dient te worden dat het onderzoek in het kader van het gemeentefonds niet gaat over de omvang van de middelen, maar over de verdeling van de beschikbare middelen</w:t>
      </w:r>
      <w:r w:rsidRPr="00322FDA" w:rsidR="0082563A">
        <w:t xml:space="preserve">. </w:t>
      </w:r>
      <w:r w:rsidRPr="00322FDA">
        <w:t>We zullen uw Kamer na de zomer informeren over de organisatorische inbedding en in het bijzonder over die in het sociaal domein.</w:t>
      </w:r>
    </w:p>
    <w:p w:rsidRPr="00322FDA" w:rsidR="00252A9A" w:rsidP="001311B3" w14:paraId="75744D66" w14:textId="77777777"/>
    <w:p w:rsidRPr="00322FDA" w:rsidR="009F57A6" w:rsidP="00530228" w14:paraId="09CA3419" w14:textId="77777777"/>
    <w:p w:rsidRPr="009029FD" w:rsidR="00707682" w:rsidP="00707682" w14:paraId="2D3D683E" w14:textId="77777777">
      <w:pPr>
        <w:rPr>
          <w:i/>
          <w:iCs/>
        </w:rPr>
      </w:pPr>
      <w:r w:rsidRPr="00322FDA">
        <w:rPr>
          <w:i/>
          <w:iCs/>
        </w:rPr>
        <w:t>4.</w:t>
      </w:r>
      <w:r w:rsidRPr="00322FDA" w:rsidR="009029FD">
        <w:rPr>
          <w:i/>
          <w:iCs/>
        </w:rPr>
        <w:t xml:space="preserve">4 </w:t>
      </w:r>
      <w:r w:rsidRPr="00322FDA" w:rsidR="00E41A44">
        <w:rPr>
          <w:i/>
          <w:iCs/>
        </w:rPr>
        <w:t>Vervolgonderzoeken</w:t>
      </w:r>
      <w:r w:rsidRPr="009029FD" w:rsidR="00E41A44">
        <w:rPr>
          <w:i/>
          <w:iCs/>
        </w:rPr>
        <w:t xml:space="preserve"> </w:t>
      </w:r>
    </w:p>
    <w:p w:rsidR="00885BA2" w:rsidP="00885BA2" w14:paraId="27D4DF1A" w14:textId="77777777"/>
    <w:p w:rsidRPr="009029FD" w:rsidR="00885BA2" w:rsidP="00885BA2" w14:paraId="2C7FB459" w14:textId="77777777">
      <w:pPr>
        <w:rPr>
          <w:u w:val="single"/>
        </w:rPr>
      </w:pPr>
      <w:r w:rsidRPr="009029FD">
        <w:rPr>
          <w:u w:val="single"/>
        </w:rPr>
        <w:t xml:space="preserve">Clusters Sociaal domein: Basisvoorziening, </w:t>
      </w:r>
      <w:r w:rsidRPr="009029FD">
        <w:rPr>
          <w:u w:val="single"/>
        </w:rPr>
        <w:t>Wmo</w:t>
      </w:r>
      <w:r w:rsidRPr="009029FD">
        <w:rPr>
          <w:u w:val="single"/>
        </w:rPr>
        <w:t xml:space="preserve"> en Jeugd</w:t>
      </w:r>
    </w:p>
    <w:p w:rsidRPr="001311B3" w:rsidR="001311B3" w:rsidP="00746498" w14:paraId="3A36943F" w14:textId="77777777">
      <w:pPr>
        <w:pStyle w:val="ListParagraph"/>
        <w:numPr>
          <w:ilvl w:val="0"/>
          <w:numId w:val="15"/>
        </w:numPr>
      </w:pPr>
      <w:r>
        <w:t xml:space="preserve">Zoals de ROB in zijn advies aangeeft, vindt de ROB </w:t>
      </w:r>
      <w:r w:rsidR="00C52657">
        <w:t xml:space="preserve">dat het voorstel voor het cluster Jeugd </w:t>
      </w:r>
      <w:r>
        <w:t>begrijpelijke maatstaven</w:t>
      </w:r>
      <w:r w:rsidR="00C52657">
        <w:t xml:space="preserve"> bevat</w:t>
      </w:r>
      <w:r>
        <w:t xml:space="preserve">, en ook de gewichten daarvan komen </w:t>
      </w:r>
      <w:r w:rsidR="000C7C16">
        <w:t xml:space="preserve">de ROB </w:t>
      </w:r>
      <w:r>
        <w:t xml:space="preserve">niet onlogisch over. Echter, het voorstel sluit volgens de ROB nog onvoldoende aan op de kosten van de gemeenten. De VNG roept in haar advies bovendien op om het cluster Jeugd niet geïsoleerd te bezien, maar de aanpassing ervan in samenhang te doen met de </w:t>
      </w:r>
      <w:r w:rsidR="00DE1676">
        <w:t>verdeel</w:t>
      </w:r>
      <w:r>
        <w:t xml:space="preserve">modellen voor </w:t>
      </w:r>
      <w:r w:rsidR="0042229D">
        <w:t xml:space="preserve">de clusters </w:t>
      </w:r>
      <w:r>
        <w:t>Wmo</w:t>
      </w:r>
      <w:r>
        <w:t xml:space="preserve"> en Sociale basisvoorzieningen. </w:t>
      </w:r>
    </w:p>
    <w:p w:rsidR="00FB1597" w:rsidP="001311B3" w14:paraId="5AE20D87" w14:textId="77777777"/>
    <w:p w:rsidRPr="001311B3" w:rsidR="001311B3" w:rsidP="001311B3" w14:paraId="2D2DC950" w14:textId="77777777">
      <w:r>
        <w:t xml:space="preserve">Voor dit vervolgtraject zijn we voornemens een extern onderzoeksbureau in de arm te nemen. </w:t>
      </w:r>
      <w:r w:rsidR="0082563A">
        <w:t xml:space="preserve">Als fondsbeheerders </w:t>
      </w:r>
      <w:r w:rsidRPr="00D33C92" w:rsidR="0082563A">
        <w:t>ond</w:t>
      </w:r>
      <w:r w:rsidR="0082563A">
        <w:t xml:space="preserve">erschrijven we de visie van de ROB </w:t>
      </w:r>
      <w:r w:rsidR="00C52657">
        <w:t>op de voorliggende bevindingen met betrekking tot het cluster Jeugd. D</w:t>
      </w:r>
      <w:r w:rsidR="0082563A">
        <w:t xml:space="preserve">e oproep van de VNG </w:t>
      </w:r>
      <w:r w:rsidR="00C52657">
        <w:t>om het cluster jeugd niet geïsoleerd te bezien onderschrijven we van harte</w:t>
      </w:r>
      <w:r w:rsidRPr="001311B3">
        <w:t xml:space="preserve">, omdat ook wij zien dat deze clusters met elkaar interacteren. De leefwereld (van </w:t>
      </w:r>
      <w:r w:rsidR="00757931">
        <w:t>gemeenten</w:t>
      </w:r>
      <w:r w:rsidRPr="001311B3">
        <w:t xml:space="preserve">) is namelijk niet afgebakend in de financiële clusters van het verdeelmodel. De leefwereld en de uitvoeringspraktijk </w:t>
      </w:r>
      <w:r>
        <w:t xml:space="preserve">van gemeenten </w:t>
      </w:r>
      <w:r w:rsidRPr="001311B3">
        <w:t xml:space="preserve">handelt over die clusters heen om integrale ondersteuning te realiseren. Dat maakt het tegelijkertijd mogelijk zeer complex om objectieve maatstaven op dit punt te hanteren in het verdeelmodel. Met het aanwenden en borgen van de </w:t>
      </w:r>
      <w:r w:rsidR="00C52657">
        <w:t xml:space="preserve">hiervoor in paragraaf 4.3 </w:t>
      </w:r>
      <w:r w:rsidRPr="001311B3">
        <w:t xml:space="preserve">genoemde inhoudelijke expertise willen </w:t>
      </w:r>
      <w:r>
        <w:t>we als</w:t>
      </w:r>
      <w:r w:rsidRPr="001311B3">
        <w:t xml:space="preserve"> fondsbeheerders hier wel nadrukkelijk aandacht voor hebben. </w:t>
      </w:r>
    </w:p>
    <w:p w:rsidR="00FB1597" w:rsidP="009F57A6" w14:paraId="5090D0A9" w14:textId="77777777"/>
    <w:p w:rsidR="009F57A6" w:rsidP="009F57A6" w14:paraId="5EA1D1FD" w14:textId="77777777">
      <w:r>
        <w:t xml:space="preserve">Uit het onderzoek </w:t>
      </w:r>
      <w:r w:rsidR="000C7C16">
        <w:t>G</w:t>
      </w:r>
      <w:r>
        <w:t>rootstedelijke kosten zijn, zoals we uw Kamer in ons schrijven van 7 februari 2025 hebben laten weten, eveneens aanvullende inzichten gekomen met betrekking tot het sociaal domein. Deze inzichten zullen ook bij dit vervolgtraject worden betrokken.</w:t>
      </w:r>
    </w:p>
    <w:p w:rsidR="00885BA2" w:rsidP="00885BA2" w14:paraId="0101B4A6" w14:textId="77777777"/>
    <w:p w:rsidRPr="00322FDA" w:rsidR="00885BA2" w:rsidP="00530228" w14:paraId="397C00B3" w14:textId="77777777">
      <w:pPr>
        <w:rPr>
          <w:u w:val="single"/>
        </w:rPr>
      </w:pPr>
      <w:r w:rsidRPr="00322FDA">
        <w:rPr>
          <w:u w:val="single"/>
        </w:rPr>
        <w:t xml:space="preserve">Herschatting clusters </w:t>
      </w:r>
      <w:r w:rsidRPr="00322FDA" w:rsidR="00E41A44">
        <w:rPr>
          <w:u w:val="single"/>
        </w:rPr>
        <w:t xml:space="preserve">Participatie, Onderwijs en </w:t>
      </w:r>
      <w:r w:rsidRPr="00322FDA">
        <w:rPr>
          <w:u w:val="single"/>
        </w:rPr>
        <w:t>Orde en veiligheid</w:t>
      </w:r>
    </w:p>
    <w:p w:rsidRPr="00322FDA" w:rsidR="00836468" w:rsidP="00530228" w14:paraId="653395F0" w14:textId="77777777">
      <w:pPr>
        <w:rPr>
          <w:u w:val="single"/>
        </w:rPr>
      </w:pPr>
      <w:r w:rsidRPr="00322FDA">
        <w:rPr>
          <w:u w:val="single"/>
        </w:rPr>
        <w:t>Zoals in paragraaf 4.1 aangegeven is nader onderzoek nodig ter vervanging van de huidige maatstaf ‘niet-westerse migranten’ en ter verbetering van de huidige maa</w:t>
      </w:r>
      <w:r w:rsidRPr="00322FDA" w:rsidR="009863BB">
        <w:rPr>
          <w:u w:val="single"/>
        </w:rPr>
        <w:t>t</w:t>
      </w:r>
      <w:r w:rsidRPr="00322FDA">
        <w:rPr>
          <w:u w:val="single"/>
        </w:rPr>
        <w:t xml:space="preserve">staf ‘huishoudens laag inkomen met drempel’. </w:t>
      </w:r>
    </w:p>
    <w:p w:rsidRPr="00322FDA" w:rsidR="00707682" w:rsidP="007628BE" w14:paraId="070C055D" w14:textId="77777777">
      <w:pPr>
        <w:pStyle w:val="ListParagraph"/>
        <w:numPr>
          <w:ilvl w:val="0"/>
          <w:numId w:val="8"/>
        </w:numPr>
      </w:pPr>
      <w:r w:rsidRPr="00322FDA">
        <w:t>Nieuw</w:t>
      </w:r>
      <w:r w:rsidRPr="00322FDA" w:rsidR="000C7C16">
        <w:t>e</w:t>
      </w:r>
      <w:r w:rsidRPr="00322FDA">
        <w:t xml:space="preserve"> maatstaf niet-westerse migranten. </w:t>
      </w:r>
      <w:r w:rsidRPr="00322FDA" w:rsidR="009863BB">
        <w:t>D</w:t>
      </w:r>
      <w:r w:rsidRPr="00322FDA" w:rsidR="007628BE">
        <w:t xml:space="preserve">eze maatstaf </w:t>
      </w:r>
      <w:r w:rsidRPr="00322FDA" w:rsidR="009863BB">
        <w:t xml:space="preserve">zal </w:t>
      </w:r>
      <w:r w:rsidRPr="00322FDA" w:rsidR="007628BE">
        <w:t>voor nu worden bevroren, aangezien</w:t>
      </w:r>
      <w:r w:rsidRPr="00322FDA" w:rsidR="009863BB">
        <w:t>, zoals in paragraaf 4.1 aangegeven,</w:t>
      </w:r>
      <w:r w:rsidRPr="00322FDA" w:rsidR="007628BE">
        <w:t xml:space="preserve"> de voordelen en de nadelen niet willekeurig over Nederland zijn verdeeld. </w:t>
      </w:r>
      <w:r w:rsidRPr="00322FDA">
        <w:t xml:space="preserve">De ROB acht deze maatstaf wel geschikt om later in te voeren. De VNG geeft in haar advies aan om eventueel de gewichten van andere maatstaven aan te passen. </w:t>
      </w:r>
    </w:p>
    <w:p w:rsidRPr="00322FDA" w:rsidR="0041114F" w:rsidP="0041114F" w14:paraId="733666D9" w14:textId="77777777">
      <w:pPr>
        <w:pStyle w:val="ListParagraph"/>
        <w:numPr>
          <w:ilvl w:val="0"/>
          <w:numId w:val="8"/>
        </w:numPr>
      </w:pPr>
      <w:r w:rsidRPr="00322FDA">
        <w:t>Definitie Huishoudens laag inkomen</w:t>
      </w:r>
      <w:r w:rsidRPr="00322FDA" w:rsidR="00885BA2">
        <w:t xml:space="preserve"> met drempel</w:t>
      </w:r>
      <w:r w:rsidRPr="00322FDA">
        <w:t xml:space="preserve">: De ROB raadt aan om uit te gaan van het eerste tot en met </w:t>
      </w:r>
      <w:r w:rsidRPr="00322FDA">
        <w:t>het derde deciel</w:t>
      </w:r>
      <w:r w:rsidRPr="00322FDA">
        <w:t>. De ROB adviseert positief over het buiten beschouwing laten van huishoudens met een hoge betaalreserve en als drempel 10% van het aantal huishoudens te nemen</w:t>
      </w:r>
      <w:r w:rsidRPr="00322FDA" w:rsidR="00885BA2">
        <w:t>.</w:t>
      </w:r>
    </w:p>
    <w:p w:rsidRPr="00322FDA" w:rsidR="001D42FB" w:rsidP="001D42FB" w14:paraId="0914772A" w14:textId="77777777">
      <w:r w:rsidRPr="00322FDA">
        <w:t xml:space="preserve">Beide maatstaven zitten in de clusters </w:t>
      </w:r>
      <w:r w:rsidRPr="00322FDA" w:rsidR="00E41A44">
        <w:t>Onderwijs</w:t>
      </w:r>
      <w:r w:rsidRPr="00322FDA">
        <w:t xml:space="preserve"> en het cluster </w:t>
      </w:r>
      <w:r w:rsidRPr="00322FDA" w:rsidR="00E41A44">
        <w:t>Orde en Veiligheid</w:t>
      </w:r>
      <w:r w:rsidRPr="00322FDA">
        <w:t xml:space="preserve">. De definitie Huishoudens laag inkomen met drempel zit in het cluster Participatie. Deze maatstaven zitten verder ook in de clusters Jeugd, </w:t>
      </w:r>
      <w:r w:rsidRPr="00322FDA">
        <w:t>Wmo</w:t>
      </w:r>
      <w:r w:rsidRPr="00322FDA">
        <w:t xml:space="preserve"> en Sociale basisvoorzieningen in het Sociaal Domein waar deze definitiewijzigingen integraal meelopen in de herijking van deze verdeelmodellen.</w:t>
      </w:r>
    </w:p>
    <w:p w:rsidRPr="00F86087" w:rsidR="00885BA2" w:rsidP="00AF2ACD" w14:paraId="712C421F" w14:textId="77777777">
      <w:r w:rsidRPr="00322FDA">
        <w:t xml:space="preserve">Wij zijn voornemens de clusters </w:t>
      </w:r>
      <w:r w:rsidRPr="00322FDA" w:rsidR="00E41A44">
        <w:t xml:space="preserve">Participatie, Onderwijs en </w:t>
      </w:r>
      <w:r w:rsidRPr="00322FDA" w:rsidR="001D42FB">
        <w:t>Orde en Veiligheid</w:t>
      </w:r>
      <w:r w:rsidR="001D42FB">
        <w:t xml:space="preserve"> </w:t>
      </w:r>
      <w:r w:rsidR="00AF2ACD">
        <w:t xml:space="preserve">door een extern onderzoeksbureau </w:t>
      </w:r>
      <w:r>
        <w:t xml:space="preserve">te laten herschatten. </w:t>
      </w:r>
      <w:r w:rsidRPr="00C52657" w:rsidR="00C52657">
        <w:t xml:space="preserve">Uitgangspunt hierbij is dat de herverdeling voor gemeenten zoveel mogelijk wordt beperkt. Aanleiding voor de herschatting is </w:t>
      </w:r>
      <w:r w:rsidR="00C52657">
        <w:t xml:space="preserve">immers </w:t>
      </w:r>
      <w:r w:rsidRPr="00C52657" w:rsidR="00C52657">
        <w:t xml:space="preserve">niet een onvoldoende aansluiting bij de kostenpatronen </w:t>
      </w:r>
      <w:r w:rsidR="00C52657">
        <w:t>van</w:t>
      </w:r>
      <w:r w:rsidRPr="00C52657" w:rsidR="00C52657">
        <w:t xml:space="preserve"> gemeenten</w:t>
      </w:r>
      <w:r w:rsidR="00706019">
        <w:t>,</w:t>
      </w:r>
      <w:r w:rsidRPr="00C52657" w:rsidR="00C52657">
        <w:t xml:space="preserve"> maar definitiewijzigingen van maatstaven.</w:t>
      </w:r>
      <w:r w:rsidR="00C52657">
        <w:t xml:space="preserve"> </w:t>
      </w:r>
    </w:p>
    <w:p w:rsidR="00530228" w:rsidP="00530228" w14:paraId="49F1A47C" w14:textId="77777777"/>
    <w:p w:rsidRPr="009029FD" w:rsidR="0099627C" w:rsidP="009029FD" w14:paraId="56400163" w14:textId="77777777">
      <w:pPr>
        <w:keepNext/>
        <w:rPr>
          <w:u w:val="single"/>
        </w:rPr>
      </w:pPr>
      <w:r w:rsidRPr="009029FD">
        <w:rPr>
          <w:u w:val="single"/>
        </w:rPr>
        <w:t xml:space="preserve">Verevening inkomsten: </w:t>
      </w:r>
      <w:r w:rsidR="000E4EA8">
        <w:rPr>
          <w:u w:val="single"/>
        </w:rPr>
        <w:t>OZB</w:t>
      </w:r>
      <w:r w:rsidRPr="009029FD" w:rsidR="000E4EA8">
        <w:rPr>
          <w:u w:val="single"/>
        </w:rPr>
        <w:t xml:space="preserve"> </w:t>
      </w:r>
      <w:r w:rsidRPr="009029FD">
        <w:rPr>
          <w:u w:val="single"/>
        </w:rPr>
        <w:t>en overige eigen middelen</w:t>
      </w:r>
    </w:p>
    <w:p w:rsidR="0099627C" w:rsidP="009029FD" w14:paraId="708212B8" w14:textId="77777777">
      <w:pPr>
        <w:pStyle w:val="ListParagraph"/>
        <w:keepNext/>
        <w:numPr>
          <w:ilvl w:val="0"/>
          <w:numId w:val="9"/>
        </w:numPr>
      </w:pPr>
      <w:r>
        <w:t xml:space="preserve">OZB: De ROB geeft aan dat de ‘aftopping’ van de </w:t>
      </w:r>
      <w:r>
        <w:t>woz</w:t>
      </w:r>
      <w:r>
        <w:t xml:space="preserve">-aftrek voor niet-woningen van maximaal € 35.000 per inwoner </w:t>
      </w:r>
      <w:r w:rsidR="00C52657">
        <w:t xml:space="preserve">in zijn ogen </w:t>
      </w:r>
      <w:r>
        <w:t>tot ongewenste effecten leidt</w:t>
      </w:r>
      <w:r w:rsidR="00C52657">
        <w:t>, waarbij de ROB deze effecten niet duidt</w:t>
      </w:r>
      <w:r>
        <w:t xml:space="preserve">. De ROB adviseert dit verder te onderzoeken. </w:t>
      </w:r>
    </w:p>
    <w:p w:rsidR="0099627C" w:rsidP="0099627C" w14:paraId="4915224A" w14:textId="77777777">
      <w:pPr>
        <w:pStyle w:val="ListParagraph"/>
        <w:numPr>
          <w:ilvl w:val="0"/>
          <w:numId w:val="9"/>
        </w:numPr>
      </w:pPr>
      <w:r>
        <w:t>Overige eigen middelen: D</w:t>
      </w:r>
      <w:r w:rsidRPr="0099627C">
        <w:t>e ROB</w:t>
      </w:r>
      <w:r>
        <w:t xml:space="preserve"> ziet nog </w:t>
      </w:r>
      <w:r w:rsidRPr="0099627C">
        <w:t>mogelijkheden voor verbetering, nu de parkeerbelasting en</w:t>
      </w:r>
      <w:r>
        <w:t xml:space="preserve"> </w:t>
      </w:r>
      <w:r w:rsidRPr="0099627C">
        <w:t xml:space="preserve">toeristenbelasting de laatste jaren hard stijgen. </w:t>
      </w:r>
      <w:r>
        <w:t xml:space="preserve">In de ogen van de ROB </w:t>
      </w:r>
      <w:r w:rsidRPr="0099627C">
        <w:t xml:space="preserve">fungeren </w:t>
      </w:r>
      <w:r>
        <w:t xml:space="preserve">die </w:t>
      </w:r>
      <w:r w:rsidRPr="0099627C">
        <w:t>steeds meer als</w:t>
      </w:r>
      <w:r>
        <w:t xml:space="preserve"> </w:t>
      </w:r>
      <w:r w:rsidRPr="0099627C">
        <w:t>algemeen dekkingsmiddel en kunnen mogelijk sommige kostencompensatie</w:t>
      </w:r>
      <w:r w:rsidR="00DC5E87">
        <w:t>s</w:t>
      </w:r>
      <w:r>
        <w:t xml:space="preserve"> </w:t>
      </w:r>
      <w:r w:rsidRPr="0099627C">
        <w:t xml:space="preserve">in het gemeentefonds vervangen. Het betreft </w:t>
      </w:r>
      <w:r>
        <w:t>volgens de ROB</w:t>
      </w:r>
      <w:r w:rsidRPr="0099627C">
        <w:t xml:space="preserve"> sommige kosten van grootstedelijkheid en van de Wadden.</w:t>
      </w:r>
    </w:p>
    <w:p w:rsidRPr="00F86087" w:rsidR="0099627C" w:rsidP="00226067" w14:paraId="4AD15E0E" w14:textId="77777777">
      <w:r>
        <w:t xml:space="preserve">Wij zijn voornemens de OZB-aftopping </w:t>
      </w:r>
      <w:r w:rsidR="00C52657">
        <w:t xml:space="preserve">en de verevening van de overige eigen middelen </w:t>
      </w:r>
      <w:r w:rsidR="00A41108">
        <w:t xml:space="preserve">en de bestaande kostencompensaties </w:t>
      </w:r>
      <w:r w:rsidR="00AF2ACD">
        <w:t xml:space="preserve">door een extern onderzoeksbureau </w:t>
      </w:r>
      <w:r>
        <w:t xml:space="preserve">nader te </w:t>
      </w:r>
      <w:r w:rsidR="00AF2ACD">
        <w:t>l</w:t>
      </w:r>
      <w:r>
        <w:t xml:space="preserve">aten onderzoeken. </w:t>
      </w:r>
      <w:r w:rsidR="009F57A6">
        <w:t xml:space="preserve">Daarbij zullen dan ook de resultaten van het onderzoek </w:t>
      </w:r>
      <w:r w:rsidR="00AF2ACD">
        <w:t>G</w:t>
      </w:r>
      <w:r w:rsidR="009F57A6">
        <w:t xml:space="preserve">rootstedelijke kosten met betrekking tot het fysiek domein, zie ook de brief van 7 februari 2025 aan uw </w:t>
      </w:r>
      <w:r w:rsidR="000C7C16">
        <w:t>Kamer</w:t>
      </w:r>
      <w:r w:rsidR="009F57A6">
        <w:t xml:space="preserve">, worden betrokken. </w:t>
      </w:r>
    </w:p>
    <w:p w:rsidR="0099627C" w:rsidP="0099627C" w14:paraId="5D120B83" w14:textId="77777777"/>
    <w:p w:rsidR="009029FD" w:rsidP="0099627C" w14:paraId="185084EC" w14:textId="77777777">
      <w:r>
        <w:rPr>
          <w:b/>
          <w:bCs/>
        </w:rPr>
        <w:t>Tot slot</w:t>
      </w:r>
    </w:p>
    <w:p w:rsidR="00A64651" w:rsidP="00226067" w14:paraId="64080D86" w14:textId="77777777">
      <w:r w:rsidRPr="00322FDA">
        <w:t xml:space="preserve">We hebben beoogd u </w:t>
      </w:r>
      <w:r w:rsidRPr="00322FDA">
        <w:t>middels</w:t>
      </w:r>
      <w:r w:rsidRPr="00322FDA">
        <w:t xml:space="preserve"> deze brief inzicht en toelichting te hebben gegeven van ons voornemen van de aanpassingen aan het verdeelmodel voor het gemeentefonds per 1 januari 2027. We zijn altijd bereid een nadere technische toelichting te verzorgen. In de meicirculaire 2026, welke ter informatie met uw Kamer zal worden gedeeld, zullen we de gemeenten informeren over de aanpassingen van het verdeelmodel per 1 januari 2027.</w:t>
      </w:r>
    </w:p>
    <w:p w:rsidR="00A64651" w:rsidP="00226067" w14:paraId="23FBCBF0" w14:textId="77777777"/>
    <w:p w:rsidR="00FB1597" w:rsidP="00226067" w14:paraId="0DCB6C24" w14:textId="77777777">
      <w:r>
        <w:t>Tot slot wil</w:t>
      </w:r>
      <w:r w:rsidR="00AF2ACD">
        <w:t>len</w:t>
      </w:r>
      <w:r>
        <w:t xml:space="preserve"> </w:t>
      </w:r>
      <w:r w:rsidR="00AF2ACD">
        <w:t>we</w:t>
      </w:r>
      <w:r>
        <w:t xml:space="preserve"> graag de ROB, de VNG, de leden van de expertgroep, de leden van de begeleidingscommissie en de gemeenten bedanken voor hun actieve inbreng in het gehele traject. Zonder hun inzet en bijdragen waren we nooit gekomen tot waar we nu zijn. We zijn er nog niet, </w:t>
      </w:r>
      <w:r w:rsidR="00757931">
        <w:t>en zullen ook de komende twee jaar hard nodig hebben om het verdeelmodel volgens de in deze brief beschreven lijnen verder te verbeteren. Z</w:t>
      </w:r>
      <w:r>
        <w:t>oals de ROB ook in zijn advies aangeeft, het model zal altijd onderhoud blijven vragen</w:t>
      </w:r>
      <w:r w:rsidR="00757931">
        <w:t>, dus ook over twee jaar zullen er waarschijnlijk weer nieuwe vraagstukken zijn</w:t>
      </w:r>
      <w:r>
        <w:t>.</w:t>
      </w:r>
      <w:r w:rsidR="00226067">
        <w:t xml:space="preserve"> Belangrijk onderdeel is en blijft daarbij de transparantie. Samen met de VNG zulle</w:t>
      </w:r>
      <w:r w:rsidR="00D910DC">
        <w:t>n</w:t>
      </w:r>
      <w:r w:rsidR="00226067">
        <w:t xml:space="preserve"> we dan ook aan de slag gaan om de toegankelijkheid van het Periodiek Onderhoudsrapport (POR), </w:t>
      </w:r>
      <w:r w:rsidR="000C7C16">
        <w:t>w</w:t>
      </w:r>
      <w:r w:rsidR="00D910DC">
        <w:t xml:space="preserve">aarin </w:t>
      </w:r>
      <w:r w:rsidR="00226067">
        <w:t>wordt stil gestaan bij de mate van aansluiting van het model bij het uitgavenpatroon van gemeenten</w:t>
      </w:r>
      <w:r w:rsidR="00D910DC">
        <w:t>,</w:t>
      </w:r>
      <w:r w:rsidR="00226067">
        <w:t xml:space="preserve"> te verbeteren. We zullen samen met de VNG verkennen aan welk onderscheid tussen typen gemeenten behoefte is en hoe deze gegevens in de toekomst het beste gedeeld kunnen worden, bijvoorbeeld door publicatie op </w:t>
      </w:r>
      <w:hyperlink w:history="1" r:id="rId7">
        <w:r w:rsidRPr="00D71FA7" w:rsidR="00226067">
          <w:rPr>
            <w:rStyle w:val="Hyperlink"/>
          </w:rPr>
          <w:t>www.findo.nl</w:t>
        </w:r>
      </w:hyperlink>
      <w:r w:rsidR="00226067">
        <w:t xml:space="preserve">. </w:t>
      </w:r>
      <w:r>
        <w:t xml:space="preserve">We zullen uw Kamer op de hoogte houden van de voortgang. </w:t>
      </w:r>
      <w:r w:rsidR="007F7AA4">
        <w:br/>
      </w:r>
    </w:p>
    <w:p w:rsidR="009029FD" w:rsidP="00226067" w14:paraId="50004C29" w14:textId="77777777">
      <w:r>
        <w:t xml:space="preserve">Na de zomer </w:t>
      </w:r>
      <w:r w:rsidR="00835F73">
        <w:t>hopen we</w:t>
      </w:r>
      <w:r>
        <w:t xml:space="preserve"> uw Kamer te informeren over</w:t>
      </w:r>
      <w:r w:rsidR="00AF2ACD">
        <w:t xml:space="preserve"> het vervolgtraject: organisatorische inbedding en onderzoeksopdrachten</w:t>
      </w:r>
      <w:r>
        <w:t>.</w:t>
      </w:r>
    </w:p>
    <w:p w:rsidR="009029FD" w:rsidP="0099627C" w14:paraId="3676ABBE" w14:textId="77777777"/>
    <w:p w:rsidR="00706019" w:rsidP="00706019" w14:paraId="01A7729E" w14:textId="77777777"/>
    <w:p w:rsidR="00706019" w:rsidP="00706019" w14:paraId="0FE4BBAB" w14:textId="77777777"/>
    <w:p w:rsidRPr="0099627C" w:rsidR="003100DA" w:rsidP="0099627C" w14:paraId="55003F4D" w14:textId="77777777">
      <w:pPr>
        <w:pStyle w:val="ListParagraph"/>
        <w:ind w:left="360"/>
      </w:pPr>
    </w:p>
    <w:p w:rsidR="00530228" w:rsidP="00530228" w14:paraId="05894A73" w14:textId="77777777">
      <w:r>
        <w:t>De minister van Binnenlandse Zaken en Koninkrijksrelaties,</w:t>
      </w:r>
    </w:p>
    <w:p w:rsidR="00530228" w:rsidP="00530228" w14:paraId="7EF9D4EC" w14:textId="77777777"/>
    <w:p w:rsidR="00530228" w:rsidP="00530228" w14:paraId="516A55F3" w14:textId="77777777">
      <w:r>
        <w:t xml:space="preserve"> </w:t>
      </w:r>
    </w:p>
    <w:p w:rsidR="00530228" w:rsidP="00530228" w14:paraId="77701AA0" w14:textId="77777777">
      <w:r>
        <w:t xml:space="preserve"> </w:t>
      </w:r>
    </w:p>
    <w:p w:rsidR="00530228" w:rsidP="00530228" w14:paraId="22BA53AE" w14:textId="77777777">
      <w:r>
        <w:t xml:space="preserve"> </w:t>
      </w:r>
    </w:p>
    <w:p w:rsidR="00530228" w:rsidP="00530228" w14:paraId="6128EEE2" w14:textId="77777777"/>
    <w:p w:rsidR="00530228" w:rsidP="00530228" w14:paraId="7A614889" w14:textId="77777777">
      <w:r>
        <w:t>Pieter Heerma</w:t>
      </w:r>
    </w:p>
    <w:p w:rsidRPr="00322FDA" w:rsidR="005D5446" w:rsidP="00322FDA" w14:paraId="0128BA51" w14:textId="77777777">
      <w:pPr>
        <w:spacing w:line="240" w:lineRule="auto"/>
      </w:pPr>
      <w:r>
        <w:br w:type="page"/>
      </w:r>
      <w:r w:rsidRPr="00322FDA">
        <w:rPr>
          <w:b/>
          <w:bCs/>
          <w:sz w:val="28"/>
          <w:szCs w:val="28"/>
        </w:rPr>
        <w:t>Bijlagen Kaart</w:t>
      </w:r>
      <w:r w:rsidR="00322FDA">
        <w:rPr>
          <w:b/>
          <w:bCs/>
          <w:sz w:val="28"/>
          <w:szCs w:val="28"/>
        </w:rPr>
        <w:t>en</w:t>
      </w:r>
    </w:p>
    <w:p w:rsidRPr="00322FDA" w:rsidR="00AF2ACD" w14:paraId="1280635C" w14:textId="77777777">
      <w:pPr>
        <w:rPr>
          <w:b/>
          <w:bCs/>
        </w:rPr>
      </w:pPr>
    </w:p>
    <w:p w:rsidRPr="00322FDA" w:rsidR="00AF2ACD" w14:paraId="62708129" w14:textId="77777777">
      <w:pPr>
        <w:rPr>
          <w:b/>
          <w:bCs/>
          <w:sz w:val="28"/>
          <w:szCs w:val="28"/>
        </w:rPr>
      </w:pPr>
      <w:r w:rsidRPr="00322FDA">
        <w:rPr>
          <w:b/>
          <w:bCs/>
          <w:sz w:val="28"/>
          <w:szCs w:val="28"/>
        </w:rPr>
        <w:t>Kaart 1</w:t>
      </w:r>
    </w:p>
    <w:p w:rsidR="00D7426D" w:rsidP="00D7426D" w14:paraId="1117E4D7" w14:textId="77777777">
      <w:r w:rsidRPr="00322FDA">
        <w:t xml:space="preserve">Deze kaart geeft de herverdeeleffecten </w:t>
      </w:r>
      <w:r w:rsidRPr="00322FDA" w:rsidR="001C6F12">
        <w:t xml:space="preserve">(stand decembercirculaire 2024) </w:t>
      </w:r>
      <w:r w:rsidRPr="00322FDA">
        <w:t>die het gevolg zijn van het aanpassen van de rekentarieven van de OZB aan de werkelijke gemiddelde OZB-tarieven en de verevening van de overige eigen middelen met hetzelfde bedrag (</w:t>
      </w:r>
      <w:r w:rsidRPr="00322FDA" w:rsidR="001C6F12">
        <w:t>Het gaat om een bedrag tussen € 100 miljoen en € 200 miljoen</w:t>
      </w:r>
      <w:r w:rsidRPr="00322FDA">
        <w:t>)</w:t>
      </w:r>
      <w:r>
        <w:t xml:space="preserve"> te verlagen. Voor alle </w:t>
      </w:r>
      <w:r>
        <w:t xml:space="preserve">gemeenten </w:t>
      </w:r>
      <w:r w:rsidR="001C6F12">
        <w:t xml:space="preserve"> </w:t>
      </w:r>
      <w:r>
        <w:t>geldt</w:t>
      </w:r>
      <w:r>
        <w:t xml:space="preserve"> dat het effect </w:t>
      </w:r>
      <w:r w:rsidRPr="000E4EA8">
        <w:t xml:space="preserve">minder dan 0,3% </w:t>
      </w:r>
      <w:r>
        <w:t xml:space="preserve">is </w:t>
      </w:r>
      <w:r w:rsidRPr="000E4EA8">
        <w:t>van de algemene uitkering</w:t>
      </w:r>
      <w:r>
        <w:t>. Zoals in kaart 1 te zien is</w:t>
      </w:r>
      <w:r w:rsidRPr="000E4EA8">
        <w:t xml:space="preserve"> voor 315 van de 342 gemeenten </w:t>
      </w:r>
      <w:r>
        <w:t xml:space="preserve">het effect </w:t>
      </w:r>
      <w:r w:rsidRPr="000E4EA8">
        <w:t>minder dan 0,2% van de algemene uitkering</w:t>
      </w:r>
      <w:r>
        <w:t xml:space="preserve">. </w:t>
      </w:r>
    </w:p>
    <w:p w:rsidR="00D7426D" w14:paraId="5CB2CD4B" w14:textId="77777777">
      <w:pPr>
        <w:rPr>
          <w:b/>
          <w:bCs/>
          <w:sz w:val="28"/>
          <w:szCs w:val="28"/>
        </w:rPr>
      </w:pPr>
    </w:p>
    <w:p w:rsidR="00AF2ACD" w14:paraId="527A9122" w14:textId="77777777">
      <w:pPr>
        <w:rPr>
          <w:b/>
          <w:bCs/>
        </w:rPr>
      </w:pPr>
    </w:p>
    <w:p w:rsidRPr="00322FDA" w:rsidR="005D5446" w14:paraId="431EABDB" w14:textId="77777777">
      <w:pPr>
        <w:rPr>
          <w:b/>
          <w:bCs/>
        </w:rPr>
      </w:pPr>
      <w:r w:rsidRPr="001C6F12">
        <w:rPr>
          <w:b/>
          <w:bCs/>
          <w:noProof/>
        </w:rPr>
        <w:drawing>
          <wp:inline distT="0" distB="0" distL="0" distR="0">
            <wp:extent cx="4477375" cy="5477639"/>
            <wp:effectExtent l="0" t="0" r="0" b="0"/>
            <wp:docPr id="7528645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64597" name=""/>
                    <pic:cNvPicPr/>
                  </pic:nvPicPr>
                  <pic:blipFill>
                    <a:blip xmlns:r="http://schemas.openxmlformats.org/officeDocument/2006/relationships" r:embed="rId8"/>
                    <a:stretch>
                      <a:fillRect/>
                    </a:stretch>
                  </pic:blipFill>
                  <pic:spPr>
                    <a:xfrm>
                      <a:off x="0" y="0"/>
                      <a:ext cx="4477375" cy="5477639"/>
                    </a:xfrm>
                    <a:prstGeom prst="rect">
                      <a:avLst/>
                    </a:prstGeom>
                  </pic:spPr>
                </pic:pic>
              </a:graphicData>
            </a:graphic>
          </wp:inline>
        </w:drawing>
      </w:r>
    </w:p>
    <w:p w:rsidR="005D5446" w14:paraId="0AB3B69F" w14:textId="77777777"/>
    <w:p w:rsidR="005D5446" w14:paraId="2B719EDF" w14:textId="77777777">
      <w:pPr>
        <w:pStyle w:val="WitregelW1bodytekst"/>
      </w:pPr>
    </w:p>
    <w:p w:rsidR="00AF2ACD" w:rsidP="00AF2ACD" w14:paraId="40E891D3" w14:textId="77777777">
      <w:pPr>
        <w:rPr>
          <w:b/>
          <w:bCs/>
          <w:sz w:val="28"/>
          <w:szCs w:val="28"/>
        </w:rPr>
      </w:pPr>
      <w:r w:rsidRPr="00D10B17">
        <w:rPr>
          <w:b/>
          <w:bCs/>
          <w:sz w:val="28"/>
          <w:szCs w:val="28"/>
        </w:rPr>
        <w:t xml:space="preserve">Kaart </w:t>
      </w:r>
      <w:r>
        <w:rPr>
          <w:b/>
          <w:bCs/>
          <w:sz w:val="28"/>
          <w:szCs w:val="28"/>
        </w:rPr>
        <w:t>2</w:t>
      </w:r>
      <w:r w:rsidR="00DF1F6D">
        <w:rPr>
          <w:b/>
          <w:bCs/>
          <w:sz w:val="28"/>
          <w:szCs w:val="28"/>
        </w:rPr>
        <w:t xml:space="preserve"> (</w:t>
      </w:r>
      <w:r w:rsidR="00322FDA">
        <w:rPr>
          <w:b/>
          <w:bCs/>
          <w:sz w:val="28"/>
          <w:szCs w:val="28"/>
        </w:rPr>
        <w:t>w</w:t>
      </w:r>
      <w:r w:rsidR="00DF1F6D">
        <w:rPr>
          <w:b/>
          <w:bCs/>
          <w:sz w:val="28"/>
          <w:szCs w:val="28"/>
        </w:rPr>
        <w:t xml:space="preserve">ordt </w:t>
      </w:r>
      <w:r w:rsidRPr="00322FDA" w:rsidR="00DF1F6D">
        <w:rPr>
          <w:b/>
          <w:bCs/>
          <w:sz w:val="28"/>
          <w:szCs w:val="28"/>
          <w:u w:val="single"/>
        </w:rPr>
        <w:t>niet</w:t>
      </w:r>
      <w:r w:rsidR="00DF1F6D">
        <w:rPr>
          <w:b/>
          <w:bCs/>
          <w:sz w:val="28"/>
          <w:szCs w:val="28"/>
        </w:rPr>
        <w:t xml:space="preserve"> doorgevoerd)</w:t>
      </w:r>
    </w:p>
    <w:p w:rsidR="00D7426D" w:rsidP="00AF2ACD" w14:paraId="352F2A10" w14:textId="77777777">
      <w:r w:rsidRPr="00D7426D">
        <w:t xml:space="preserve">Verder zal </w:t>
      </w:r>
      <w:r w:rsidRPr="00D7426D">
        <w:t>conform</w:t>
      </w:r>
      <w:r w:rsidRPr="00D7426D">
        <w:t xml:space="preserve"> het advies van de ROB en de VNG de maatstaf ‘niet-westerse migranten’ met ingang van 1 januari 2027 tijdelijk worden bevroren, aangezien de voordelen en de nadelen niet willekeurig over Nederland zijn verdeeld. De</w:t>
      </w:r>
      <w:r>
        <w:t xml:space="preserve">ze kaart geeft de </w:t>
      </w:r>
      <w:r w:rsidRPr="00D7426D">
        <w:t xml:space="preserve">herverdeeleffecten </w:t>
      </w:r>
      <w:r w:rsidR="00C660F0">
        <w:t xml:space="preserve">van de algemene uitkering van het gemeentefonds </w:t>
      </w:r>
      <w:r>
        <w:t xml:space="preserve">weer als gevolg van het aanpassen van de maatstaf ‘niet-westerse migranten’. De herverdeeleffecten </w:t>
      </w:r>
      <w:r w:rsidRPr="00D7426D">
        <w:t xml:space="preserve">liggen tussen de -0,85% van de algemene uitkering en de + 1,85% van de algemene uitkering per gemeente. </w:t>
      </w:r>
      <w:r>
        <w:t>Zoals in kaart 2 te zien is e</w:t>
      </w:r>
      <w:r w:rsidRPr="00D7426D">
        <w:t>r voor 52 van de 342 gemeenten een negatief effect, waarbij voor 14 gemeenten dit effect meer dan -0,25% bedraagt. De 14 gemeenten met de grootste negatieve afwijking zijn voornamelijk te vinden bij de G4 en bij de randgemeenten die bij Amsterdam en Rotterdam horen</w:t>
      </w:r>
      <w:r w:rsidR="005E054C">
        <w:t>.</w:t>
      </w:r>
    </w:p>
    <w:p w:rsidR="005E054C" w:rsidP="00AF2ACD" w14:paraId="6D6D7C8E" w14:textId="77777777">
      <w:pPr>
        <w:rPr>
          <w:b/>
          <w:bCs/>
          <w:sz w:val="28"/>
          <w:szCs w:val="28"/>
        </w:rPr>
      </w:pPr>
    </w:p>
    <w:p w:rsidRPr="00D10B17" w:rsidR="00AF2ACD" w:rsidP="00AF2ACD" w14:paraId="1C503E23" w14:textId="77777777">
      <w:pPr>
        <w:rPr>
          <w:b/>
          <w:bCs/>
          <w:sz w:val="28"/>
          <w:szCs w:val="28"/>
        </w:rPr>
      </w:pPr>
      <w:r w:rsidRPr="00DF1F6D">
        <w:rPr>
          <w:b/>
          <w:bCs/>
          <w:noProof/>
          <w:sz w:val="28"/>
          <w:szCs w:val="28"/>
        </w:rPr>
        <w:drawing>
          <wp:inline distT="0" distB="0" distL="0" distR="0">
            <wp:extent cx="3524742" cy="4201111"/>
            <wp:effectExtent l="0" t="0" r="0" b="9525"/>
            <wp:docPr id="1825095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553" name=""/>
                    <pic:cNvPicPr/>
                  </pic:nvPicPr>
                  <pic:blipFill>
                    <a:blip xmlns:r="http://schemas.openxmlformats.org/officeDocument/2006/relationships" r:embed="rId9"/>
                    <a:stretch>
                      <a:fillRect/>
                    </a:stretch>
                  </pic:blipFill>
                  <pic:spPr>
                    <a:xfrm>
                      <a:off x="0" y="0"/>
                      <a:ext cx="3524742" cy="4201111"/>
                    </a:xfrm>
                    <a:prstGeom prst="rect">
                      <a:avLst/>
                    </a:prstGeom>
                  </pic:spPr>
                </pic:pic>
              </a:graphicData>
            </a:graphic>
          </wp:inline>
        </w:drawing>
      </w:r>
    </w:p>
    <w:p w:rsidR="005D5446" w14:paraId="4D6C8394" w14:textId="77777777"/>
    <w:p w:rsidR="005D5446" w14:paraId="5700ADD0" w14:textId="77777777"/>
    <w:p w:rsidR="005D5446" w14:paraId="5018F7BA" w14:textId="77777777"/>
    <w:p w:rsidR="00AF2ACD" w14:paraId="68E47B60" w14:textId="77777777">
      <w:pPr>
        <w:spacing w:line="240" w:lineRule="auto"/>
      </w:pPr>
      <w:r>
        <w:br w:type="page"/>
      </w:r>
    </w:p>
    <w:p w:rsidR="00AF2ACD" w:rsidP="00AF2ACD" w14:paraId="205E05CB" w14:textId="77777777">
      <w:pPr>
        <w:rPr>
          <w:b/>
          <w:bCs/>
          <w:sz w:val="28"/>
          <w:szCs w:val="28"/>
        </w:rPr>
      </w:pPr>
      <w:r w:rsidRPr="00D10B17">
        <w:rPr>
          <w:b/>
          <w:bCs/>
          <w:sz w:val="28"/>
          <w:szCs w:val="28"/>
        </w:rPr>
        <w:t xml:space="preserve">Kaart </w:t>
      </w:r>
      <w:r>
        <w:rPr>
          <w:b/>
          <w:bCs/>
          <w:sz w:val="28"/>
          <w:szCs w:val="28"/>
        </w:rPr>
        <w:t>3 en 4</w:t>
      </w:r>
      <w:r w:rsidR="00DF1F6D">
        <w:rPr>
          <w:b/>
          <w:bCs/>
          <w:sz w:val="28"/>
          <w:szCs w:val="28"/>
        </w:rPr>
        <w:t xml:space="preserve"> (</w:t>
      </w:r>
      <w:r w:rsidR="00322FDA">
        <w:rPr>
          <w:b/>
          <w:bCs/>
          <w:sz w:val="28"/>
          <w:szCs w:val="28"/>
        </w:rPr>
        <w:t>w</w:t>
      </w:r>
      <w:r w:rsidR="00DF1F6D">
        <w:rPr>
          <w:b/>
          <w:bCs/>
          <w:sz w:val="28"/>
          <w:szCs w:val="28"/>
        </w:rPr>
        <w:t xml:space="preserve">ordt </w:t>
      </w:r>
      <w:r w:rsidRPr="00322FDA" w:rsidR="00DF1F6D">
        <w:rPr>
          <w:b/>
          <w:bCs/>
          <w:sz w:val="28"/>
          <w:szCs w:val="28"/>
          <w:u w:val="single"/>
        </w:rPr>
        <w:t>niet</w:t>
      </w:r>
      <w:r w:rsidR="00DF1F6D">
        <w:rPr>
          <w:b/>
          <w:bCs/>
          <w:sz w:val="28"/>
          <w:szCs w:val="28"/>
        </w:rPr>
        <w:t xml:space="preserve"> doorgevoerd)</w:t>
      </w:r>
    </w:p>
    <w:p w:rsidR="005E054C" w:rsidP="005E054C" w14:paraId="5210F025" w14:textId="77777777">
      <w:r w:rsidRPr="00322FDA">
        <w:rPr>
          <w:color w:val="auto"/>
        </w:rPr>
        <w:t>Kaart 3 laat de herverdeeleffecten zien als de verdeling van het cluster Jeugd zou worden aangepast</w:t>
      </w:r>
      <w:r w:rsidRPr="00322FDA" w:rsidR="00DC5E87">
        <w:rPr>
          <w:color w:val="auto"/>
        </w:rPr>
        <w:t>, hetgeen nu dus niet gebeurt</w:t>
      </w:r>
      <w:r w:rsidRPr="00322FDA">
        <w:rPr>
          <w:color w:val="auto"/>
        </w:rPr>
        <w:t xml:space="preserve">. Kaart 4 laat het </w:t>
      </w:r>
      <w:r w:rsidRPr="00322FDA" w:rsidR="004F07B3">
        <w:rPr>
          <w:color w:val="auto"/>
        </w:rPr>
        <w:t xml:space="preserve">oorspronkelijke </w:t>
      </w:r>
      <w:r w:rsidRPr="00322FDA">
        <w:rPr>
          <w:color w:val="auto"/>
        </w:rPr>
        <w:t>ingroeipad</w:t>
      </w:r>
      <w:r w:rsidRPr="00322FDA">
        <w:rPr>
          <w:color w:val="auto"/>
        </w:rPr>
        <w:t xml:space="preserve"> zien</w:t>
      </w:r>
      <w:r w:rsidRPr="00322FDA" w:rsidR="00DC5E87">
        <w:rPr>
          <w:color w:val="auto"/>
        </w:rPr>
        <w:t>, welke nu dus bevroren blijft op niveau 202</w:t>
      </w:r>
      <w:r w:rsidRPr="00322FDA" w:rsidR="00DF1F6D">
        <w:rPr>
          <w:color w:val="auto"/>
        </w:rPr>
        <w:t>6</w:t>
      </w:r>
      <w:r w:rsidRPr="00322FDA">
        <w:rPr>
          <w:color w:val="auto"/>
        </w:rPr>
        <w:t xml:space="preserve">. </w:t>
      </w:r>
      <w:r>
        <w:t xml:space="preserve">De kaarten 3 en 4 gecombineerd laten zien dat de bevindingen van de onderzoeken om de verdeling van het cluster jeugd te verbeteren een andere richting van </w:t>
      </w:r>
      <w:r w:rsidRPr="005E054C">
        <w:t xml:space="preserve">herverdeeleffecten kennen dan het huidige bevroren </w:t>
      </w:r>
      <w:r w:rsidRPr="005E054C">
        <w:t>ingroeipad</w:t>
      </w:r>
      <w:r w:rsidRPr="005E054C">
        <w:t>.</w:t>
      </w:r>
      <w:r>
        <w:t xml:space="preserve"> Oftewel</w:t>
      </w:r>
      <w:r w:rsidRPr="00C23066">
        <w:t xml:space="preserve"> een aanpassing nu, die voor een gemeente kan betekenen dat deze meer middelen ontvangt, </w:t>
      </w:r>
      <w:r>
        <w:t>kan mogelijk over twee jaar</w:t>
      </w:r>
      <w:r w:rsidRPr="00C23066">
        <w:t xml:space="preserve"> weer ongedaan worden gemaakt door nieuwe aanpassingen vanuit het sociaal domein. </w:t>
      </w:r>
      <w:r>
        <w:t xml:space="preserve">De ROB concludeert dan ook dat de beoogde richting van de totale herverdeling door de voorstellen ongewis is geworden. </w:t>
      </w:r>
    </w:p>
    <w:p w:rsidR="00DF1F6D" w:rsidP="005E054C" w14:paraId="6ED9AC81" w14:textId="77777777"/>
    <w:p w:rsidR="00DF1F6D" w:rsidP="005E054C" w14:paraId="2FBBD4BD" w14:textId="77777777"/>
    <w:p w:rsidR="00DF1F6D" w:rsidP="005E054C" w14:paraId="53DD2483" w14:textId="77777777"/>
    <w:p w:rsidR="00AF2ACD" w14:paraId="65CE84DD" w14:textId="77777777">
      <w:pPr>
        <w:rPr>
          <w:noProof/>
        </w:rPr>
      </w:pPr>
    </w:p>
    <w:p w:rsidRPr="00D33C92" w:rsidR="00384CAB" w:rsidP="00746498" w14:paraId="3ECBF2DE" w14:textId="77777777">
      <w:pPr>
        <w:rPr>
          <w:b/>
          <w:bCs/>
        </w:rPr>
      </w:pPr>
      <w:r w:rsidRPr="00DF1F6D">
        <w:rPr>
          <w:b/>
          <w:bCs/>
          <w:noProof/>
        </w:rPr>
        <w:drawing>
          <wp:inline distT="0" distB="0" distL="0" distR="0">
            <wp:extent cx="2314576" cy="2828925"/>
            <wp:effectExtent l="0" t="0" r="9525" b="0"/>
            <wp:docPr id="9961819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81990" name=""/>
                    <pic:cNvPicPr/>
                  </pic:nvPicPr>
                  <pic:blipFill>
                    <a:blip xmlns:r="http://schemas.openxmlformats.org/officeDocument/2006/relationships" r:embed="rId10"/>
                    <a:stretch>
                      <a:fillRect/>
                    </a:stretch>
                  </pic:blipFill>
                  <pic:spPr>
                    <a:xfrm>
                      <a:off x="0" y="0"/>
                      <a:ext cx="2314576" cy="2828925"/>
                    </a:xfrm>
                    <a:prstGeom prst="rect">
                      <a:avLst/>
                    </a:prstGeom>
                  </pic:spPr>
                </pic:pic>
              </a:graphicData>
            </a:graphic>
          </wp:inline>
        </w:drawing>
      </w:r>
      <w:r w:rsidRPr="00DF1F6D">
        <w:rPr>
          <w:b/>
          <w:bCs/>
          <w:noProof/>
        </w:rPr>
        <w:drawing>
          <wp:inline distT="0" distB="0" distL="0" distR="0">
            <wp:extent cx="2285625" cy="2733675"/>
            <wp:effectExtent l="0" t="0" r="635" b="0"/>
            <wp:docPr id="6631823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82301" name=""/>
                    <pic:cNvPicPr/>
                  </pic:nvPicPr>
                  <pic:blipFill>
                    <a:blip xmlns:r="http://schemas.openxmlformats.org/officeDocument/2006/relationships" r:embed="rId11"/>
                    <a:stretch>
                      <a:fillRect/>
                    </a:stretch>
                  </pic:blipFill>
                  <pic:spPr>
                    <a:xfrm>
                      <a:off x="0" y="0"/>
                      <a:ext cx="2285625" cy="2733675"/>
                    </a:xfrm>
                    <a:prstGeom prst="rect">
                      <a:avLst/>
                    </a:prstGeom>
                  </pic:spPr>
                </pic:pic>
              </a:graphicData>
            </a:graphic>
          </wp:inline>
        </w:drawing>
      </w:r>
    </w:p>
    <w:sectPr>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253" w14:paraId="2F9547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446" w14:paraId="49CAC7D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253" w14:paraId="5E7CBD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6E73" w14:paraId="14E8553B" w14:textId="77777777">
      <w:pPr>
        <w:spacing w:line="240" w:lineRule="auto"/>
      </w:pPr>
      <w:r>
        <w:separator/>
      </w:r>
    </w:p>
  </w:footnote>
  <w:footnote w:type="continuationSeparator" w:id="1">
    <w:p w:rsidR="00396E73" w14:paraId="005CFED0" w14:textId="77777777">
      <w:pPr>
        <w:spacing w:line="240" w:lineRule="auto"/>
      </w:pPr>
      <w:r>
        <w:continuationSeparator/>
      </w:r>
    </w:p>
  </w:footnote>
  <w:footnote w:id="2">
    <w:p w:rsidR="00950E2F" w:rsidRPr="00285DC2" w:rsidP="00950E2F" w14:paraId="14E19F48" w14:textId="77777777">
      <w:pPr>
        <w:pStyle w:val="FootnoteText"/>
        <w:rPr>
          <w:sz w:val="16"/>
          <w:szCs w:val="16"/>
        </w:rPr>
      </w:pPr>
      <w:r w:rsidRPr="00285DC2">
        <w:rPr>
          <w:rStyle w:val="FootnoteReference"/>
          <w:sz w:val="16"/>
          <w:szCs w:val="16"/>
        </w:rPr>
        <w:footnoteRef/>
      </w:r>
      <w:r w:rsidRPr="00285DC2">
        <w:rPr>
          <w:sz w:val="16"/>
          <w:szCs w:val="16"/>
        </w:rPr>
        <w:t xml:space="preserve"> Tweede Kamer, vergaderjaar 2025-2026, 36800 B, nr. 22</w:t>
      </w:r>
    </w:p>
  </w:footnote>
  <w:footnote w:id="3">
    <w:p w:rsidR="00910B2F" w:rsidRPr="00180231" w14:paraId="2EA84DBF" w14:textId="77777777">
      <w:pPr>
        <w:pStyle w:val="FootnoteText"/>
        <w:rPr>
          <w:sz w:val="16"/>
          <w:szCs w:val="16"/>
        </w:rPr>
      </w:pPr>
      <w:r w:rsidRPr="00180231">
        <w:rPr>
          <w:rStyle w:val="FootnoteReference"/>
          <w:sz w:val="16"/>
          <w:szCs w:val="16"/>
        </w:rPr>
        <w:footnoteRef/>
      </w:r>
      <w:r w:rsidRPr="00180231" w:rsidR="00180231">
        <w:rPr>
          <w:sz w:val="16"/>
          <w:szCs w:val="16"/>
        </w:rPr>
        <w:t xml:space="preserve"> Bij de meicirculaire gemeentefonds </w:t>
      </w:r>
      <w:r w:rsidRPr="00180231" w:rsidR="00180231">
        <w:rPr>
          <w:sz w:val="16"/>
          <w:szCs w:val="16"/>
        </w:rPr>
        <w:t xml:space="preserve">2022 </w:t>
      </w:r>
      <w:r w:rsidRPr="00180231">
        <w:rPr>
          <w:sz w:val="16"/>
          <w:szCs w:val="16"/>
        </w:rPr>
        <w:t xml:space="preserve"> </w:t>
      </w:r>
      <w:r w:rsidRPr="00180231" w:rsidR="00180231">
        <w:rPr>
          <w:sz w:val="16"/>
          <w:szCs w:val="16"/>
        </w:rPr>
        <w:t>is</w:t>
      </w:r>
      <w:r w:rsidRPr="00180231" w:rsidR="00180231">
        <w:rPr>
          <w:sz w:val="16"/>
          <w:szCs w:val="16"/>
        </w:rPr>
        <w:t xml:space="preserve"> het </w:t>
      </w:r>
      <w:r w:rsidRPr="00180231" w:rsidR="00180231">
        <w:rPr>
          <w:sz w:val="16"/>
          <w:szCs w:val="16"/>
        </w:rPr>
        <w:t>ingroeipad</w:t>
      </w:r>
      <w:r w:rsidRPr="00180231" w:rsidR="00180231">
        <w:rPr>
          <w:sz w:val="16"/>
          <w:szCs w:val="16"/>
        </w:rPr>
        <w:t xml:space="preserve"> vastgesteld. Voor </w:t>
      </w:r>
      <w:r w:rsidRPr="00350452" w:rsidR="00180231">
        <w:rPr>
          <w:sz w:val="16"/>
          <w:szCs w:val="16"/>
        </w:rPr>
        <w:t>21</w:t>
      </w:r>
      <w:r w:rsidRPr="00B0568E" w:rsidR="00B0568E">
        <w:rPr>
          <w:sz w:val="16"/>
          <w:szCs w:val="16"/>
        </w:rPr>
        <w:t>1</w:t>
      </w:r>
      <w:r w:rsidRPr="00180231" w:rsidR="00180231">
        <w:rPr>
          <w:sz w:val="16"/>
          <w:szCs w:val="16"/>
        </w:rPr>
        <w:t xml:space="preserve"> gemeenten geldt dat ze nog niet volledig zijn ingegroeid en nu dus een bevroren </w:t>
      </w:r>
      <w:r w:rsidRPr="00180231" w:rsidR="00180231">
        <w:rPr>
          <w:sz w:val="16"/>
          <w:szCs w:val="16"/>
        </w:rPr>
        <w:t>ingroeipad</w:t>
      </w:r>
      <w:r w:rsidRPr="00180231" w:rsidR="00180231">
        <w:rPr>
          <w:sz w:val="16"/>
          <w:szCs w:val="16"/>
        </w:rPr>
        <w:t xml:space="preserve"> hebben. Voor gemeenten met een negatief </w:t>
      </w:r>
      <w:r w:rsidRPr="00180231" w:rsidR="00180231">
        <w:rPr>
          <w:sz w:val="16"/>
          <w:szCs w:val="16"/>
        </w:rPr>
        <w:t>ingroeipad</w:t>
      </w:r>
      <w:r w:rsidRPr="00180231" w:rsidR="00180231">
        <w:rPr>
          <w:sz w:val="16"/>
          <w:szCs w:val="16"/>
        </w:rPr>
        <w:t xml:space="preserve"> die in 2022 een beperkte financiële draagkracht hadden is het </w:t>
      </w:r>
      <w:r w:rsidRPr="00180231" w:rsidR="00180231">
        <w:rPr>
          <w:sz w:val="16"/>
          <w:szCs w:val="16"/>
        </w:rPr>
        <w:t>ingroeipad</w:t>
      </w:r>
      <w:r w:rsidRPr="00180231" w:rsidR="00180231">
        <w:rPr>
          <w:sz w:val="16"/>
          <w:szCs w:val="16"/>
        </w:rPr>
        <w:t xml:space="preserve"> bevroren op € 22,50 per inwoner. Voor de overige gemeenten is het </w:t>
      </w:r>
      <w:r w:rsidRPr="00180231" w:rsidR="00180231">
        <w:rPr>
          <w:sz w:val="16"/>
          <w:szCs w:val="16"/>
        </w:rPr>
        <w:t>ingroeipad</w:t>
      </w:r>
      <w:r w:rsidRPr="00180231" w:rsidR="00180231">
        <w:rPr>
          <w:sz w:val="16"/>
          <w:szCs w:val="16"/>
        </w:rPr>
        <w:t xml:space="preserve"> bevroren op € 37,50 per inwoner. De exacte indexatie zal in de meicirculaire 2026 worden berekend op basis van de stand van de uitkeringsfactor meicirculaire 2026 voor het jaar 2027 versus de stand van de uitkeringsfactor meicirculaire 2022 voor het jaar 2023</w:t>
      </w:r>
      <w:r w:rsidR="00180231">
        <w:rPr>
          <w:sz w:val="16"/>
          <w:szCs w:val="16"/>
        </w:rPr>
        <w:t>.</w:t>
      </w:r>
    </w:p>
  </w:footnote>
  <w:footnote w:id="4">
    <w:p w:rsidR="00BB0834" w:rsidRPr="00D10B17" w:rsidP="00BB0834" w14:paraId="09BB61E5" w14:textId="77777777">
      <w:pPr>
        <w:pStyle w:val="FootnoteText"/>
        <w:rPr>
          <w:sz w:val="16"/>
          <w:szCs w:val="16"/>
        </w:rPr>
      </w:pPr>
      <w:r w:rsidRPr="00D10B17">
        <w:rPr>
          <w:rStyle w:val="FootnoteReference"/>
          <w:sz w:val="16"/>
          <w:szCs w:val="16"/>
        </w:rPr>
        <w:footnoteRef/>
      </w:r>
      <w:r w:rsidRPr="00D10B17">
        <w:rPr>
          <w:sz w:val="16"/>
          <w:szCs w:val="16"/>
        </w:rPr>
        <w:t xml:space="preserve"> De ROB spreekt in zijn advies van de uitkeringsfactor. De uitkeringsfactor is de wijze waarop de indexatie in het verdeelmodel wordt verwerkt.</w:t>
      </w:r>
    </w:p>
  </w:footnote>
  <w:footnote w:id="5">
    <w:p w:rsidR="003C6BB5" w:rsidRPr="003C6BB5" w14:paraId="74A748EF" w14:textId="77777777">
      <w:pPr>
        <w:pStyle w:val="FootnoteText"/>
        <w:rPr>
          <w:sz w:val="16"/>
          <w:szCs w:val="16"/>
        </w:rPr>
      </w:pPr>
      <w:r w:rsidRPr="003C6BB5">
        <w:rPr>
          <w:rStyle w:val="FootnoteReference"/>
          <w:sz w:val="16"/>
          <w:szCs w:val="16"/>
        </w:rPr>
        <w:footnoteRef/>
      </w:r>
      <w:r w:rsidRPr="003C6BB5">
        <w:rPr>
          <w:sz w:val="16"/>
          <w:szCs w:val="16"/>
        </w:rPr>
        <w:t xml:space="preserve"> </w:t>
      </w:r>
      <w:r w:rsidRPr="003C6BB5">
        <w:rPr>
          <w:sz w:val="16"/>
          <w:szCs w:val="16"/>
        </w:rPr>
        <w:t>https://www.raadopenbaarbestuur.nl/documenten/2021/10/19/briefadvies-herverdeling-gemeentefonds</w:t>
      </w:r>
    </w:p>
  </w:footnote>
  <w:footnote w:id="6">
    <w:p w:rsidR="00C210F0" w14:paraId="50A5E23F" w14:textId="77777777">
      <w:pPr>
        <w:pStyle w:val="FootnoteText"/>
      </w:pPr>
      <w:r w:rsidRPr="00C210F0">
        <w:rPr>
          <w:rStyle w:val="FootnoteReference"/>
          <w:sz w:val="16"/>
          <w:szCs w:val="16"/>
        </w:rPr>
        <w:footnoteRef/>
      </w:r>
      <w:r w:rsidRPr="00C210F0">
        <w:rPr>
          <w:sz w:val="16"/>
          <w:szCs w:val="16"/>
        </w:rPr>
        <w:t xml:space="preserve"> Tweede</w:t>
      </w:r>
      <w:r w:rsidRPr="00D51B6B">
        <w:rPr>
          <w:sz w:val="16"/>
          <w:szCs w:val="16"/>
        </w:rPr>
        <w:t xml:space="preserve"> Kamer, vergaderjaar 202</w:t>
      </w:r>
      <w:r>
        <w:rPr>
          <w:sz w:val="16"/>
          <w:szCs w:val="16"/>
        </w:rPr>
        <w:t>1</w:t>
      </w:r>
      <w:r w:rsidRPr="00D51B6B">
        <w:rPr>
          <w:sz w:val="16"/>
          <w:szCs w:val="16"/>
        </w:rPr>
        <w:t>-202</w:t>
      </w:r>
      <w:r>
        <w:rPr>
          <w:sz w:val="16"/>
          <w:szCs w:val="16"/>
        </w:rPr>
        <w:t>2</w:t>
      </w:r>
      <w:r w:rsidRPr="00D51B6B">
        <w:rPr>
          <w:sz w:val="16"/>
          <w:szCs w:val="16"/>
        </w:rPr>
        <w:t>, 3</w:t>
      </w:r>
      <w:r>
        <w:rPr>
          <w:sz w:val="16"/>
          <w:szCs w:val="16"/>
        </w:rPr>
        <w:t>5925</w:t>
      </w:r>
      <w:r w:rsidRPr="00D51B6B">
        <w:rPr>
          <w:sz w:val="16"/>
          <w:szCs w:val="16"/>
        </w:rPr>
        <w:t xml:space="preserve"> B, nr. </w:t>
      </w:r>
      <w:r>
        <w:rPr>
          <w:sz w:val="16"/>
          <w:szCs w:val="16"/>
        </w:rPr>
        <w:t>21</w:t>
      </w:r>
    </w:p>
  </w:footnote>
  <w:footnote w:id="7">
    <w:p w:rsidR="00BC124D" w14:paraId="06E57A9C" w14:textId="77777777">
      <w:pPr>
        <w:pStyle w:val="FootnoteText"/>
      </w:pPr>
      <w:r w:rsidRPr="00BC124D">
        <w:rPr>
          <w:rStyle w:val="FootnoteReference"/>
          <w:sz w:val="16"/>
          <w:szCs w:val="16"/>
        </w:rPr>
        <w:footnoteRef/>
      </w:r>
      <w:r w:rsidRPr="00BC124D">
        <w:rPr>
          <w:sz w:val="16"/>
          <w:szCs w:val="16"/>
        </w:rPr>
        <w:t xml:space="preserve"> </w:t>
      </w:r>
      <w:r w:rsidRPr="00C210F0">
        <w:rPr>
          <w:sz w:val="16"/>
          <w:szCs w:val="16"/>
        </w:rPr>
        <w:t>Tweede</w:t>
      </w:r>
      <w:r w:rsidRPr="00D51B6B">
        <w:rPr>
          <w:sz w:val="16"/>
          <w:szCs w:val="16"/>
        </w:rPr>
        <w:t xml:space="preserve"> Kamer, vergaderjaar 202</w:t>
      </w:r>
      <w:r>
        <w:rPr>
          <w:sz w:val="16"/>
          <w:szCs w:val="16"/>
        </w:rPr>
        <w:t>1</w:t>
      </w:r>
      <w:r w:rsidRPr="00D51B6B">
        <w:rPr>
          <w:sz w:val="16"/>
          <w:szCs w:val="16"/>
        </w:rPr>
        <w:t>-202</w:t>
      </w:r>
      <w:r>
        <w:rPr>
          <w:sz w:val="16"/>
          <w:szCs w:val="16"/>
        </w:rPr>
        <w:t>2</w:t>
      </w:r>
      <w:r w:rsidRPr="00D51B6B">
        <w:rPr>
          <w:sz w:val="16"/>
          <w:szCs w:val="16"/>
        </w:rPr>
        <w:t>, 3</w:t>
      </w:r>
      <w:r>
        <w:rPr>
          <w:sz w:val="16"/>
          <w:szCs w:val="16"/>
        </w:rPr>
        <w:t>5925</w:t>
      </w:r>
      <w:r w:rsidRPr="00D51B6B">
        <w:rPr>
          <w:sz w:val="16"/>
          <w:szCs w:val="16"/>
        </w:rPr>
        <w:t xml:space="preserve"> B, nr. </w:t>
      </w:r>
      <w:r>
        <w:rPr>
          <w:sz w:val="16"/>
          <w:szCs w:val="16"/>
        </w:rPr>
        <w:t>24</w:t>
      </w:r>
    </w:p>
  </w:footnote>
  <w:footnote w:id="8">
    <w:p w:rsidR="00844407" w14:paraId="2C9D5F7B" w14:textId="77777777">
      <w:pPr>
        <w:pStyle w:val="FootnoteText"/>
      </w:pPr>
      <w:r w:rsidRPr="00844407">
        <w:rPr>
          <w:rStyle w:val="FootnoteReference"/>
          <w:sz w:val="16"/>
          <w:szCs w:val="16"/>
        </w:rPr>
        <w:footnoteRef/>
      </w:r>
      <w:r>
        <w:t xml:space="preserve"> </w:t>
      </w:r>
      <w:r w:rsidRPr="00C210F0">
        <w:rPr>
          <w:sz w:val="16"/>
          <w:szCs w:val="16"/>
        </w:rPr>
        <w:t>Tweede</w:t>
      </w:r>
      <w:r w:rsidRPr="00D51B6B">
        <w:rPr>
          <w:sz w:val="16"/>
          <w:szCs w:val="16"/>
        </w:rPr>
        <w:t xml:space="preserve"> Kamer, vergaderjaar 202</w:t>
      </w:r>
      <w:r w:rsidR="00BC124D">
        <w:rPr>
          <w:sz w:val="16"/>
          <w:szCs w:val="16"/>
        </w:rPr>
        <w:t>4</w:t>
      </w:r>
      <w:r w:rsidRPr="00D51B6B">
        <w:rPr>
          <w:sz w:val="16"/>
          <w:szCs w:val="16"/>
        </w:rPr>
        <w:t>-202</w:t>
      </w:r>
      <w:r w:rsidR="00BC124D">
        <w:rPr>
          <w:sz w:val="16"/>
          <w:szCs w:val="16"/>
        </w:rPr>
        <w:t>5</w:t>
      </w:r>
      <w:r w:rsidRPr="00D51B6B">
        <w:rPr>
          <w:sz w:val="16"/>
          <w:szCs w:val="16"/>
        </w:rPr>
        <w:t>, 3</w:t>
      </w:r>
      <w:r>
        <w:rPr>
          <w:sz w:val="16"/>
          <w:szCs w:val="16"/>
        </w:rPr>
        <w:t>6600</w:t>
      </w:r>
      <w:r w:rsidRPr="00D51B6B">
        <w:rPr>
          <w:sz w:val="16"/>
          <w:szCs w:val="16"/>
        </w:rPr>
        <w:t xml:space="preserve"> B, nr. </w:t>
      </w:r>
      <w:r>
        <w:rPr>
          <w:sz w:val="16"/>
          <w:szCs w:val="16"/>
        </w:rPr>
        <w:t>24</w:t>
      </w:r>
    </w:p>
  </w:footnote>
  <w:footnote w:id="9">
    <w:p w:rsidR="00817B34" w:rsidRPr="00817B34" w14:paraId="2C64BCFD" w14:textId="77777777">
      <w:pPr>
        <w:pStyle w:val="FootnoteText"/>
        <w:rPr>
          <w:sz w:val="16"/>
          <w:szCs w:val="16"/>
        </w:rPr>
      </w:pPr>
      <w:r w:rsidRPr="00817B34">
        <w:rPr>
          <w:rStyle w:val="FootnoteReference"/>
          <w:sz w:val="16"/>
          <w:szCs w:val="16"/>
        </w:rPr>
        <w:footnoteRef/>
      </w:r>
      <w:r w:rsidRPr="00817B34">
        <w:rPr>
          <w:sz w:val="16"/>
          <w:szCs w:val="16"/>
        </w:rPr>
        <w:t xml:space="preserve"> Tweede Kamer, vergaderjaar 2025-2026, 36800 B, nr. 17</w:t>
      </w:r>
    </w:p>
  </w:footnote>
  <w:footnote w:id="10">
    <w:p w:rsidR="00817B34" w14:paraId="2FB2FE71" w14:textId="77777777">
      <w:pPr>
        <w:pStyle w:val="FootnoteText"/>
      </w:pPr>
      <w:r w:rsidRPr="00817B34">
        <w:rPr>
          <w:rStyle w:val="FootnoteReference"/>
          <w:sz w:val="16"/>
          <w:szCs w:val="16"/>
        </w:rPr>
        <w:footnoteRef/>
      </w:r>
      <w:r w:rsidRPr="00817B34">
        <w:rPr>
          <w:sz w:val="16"/>
          <w:szCs w:val="16"/>
        </w:rPr>
        <w:t xml:space="preserve"> Tweede Kamer, vergaderjaar 2025-2026, 36800 B, nr. 18</w:t>
      </w:r>
    </w:p>
  </w:footnote>
  <w:footnote w:id="11">
    <w:p w:rsidR="00B11DE8" w:rsidP="00B11DE8" w14:paraId="00D8084D" w14:textId="77777777">
      <w:pPr>
        <w:pStyle w:val="FootnoteText"/>
      </w:pPr>
      <w:r w:rsidRPr="00285DC2">
        <w:rPr>
          <w:rStyle w:val="FootnoteReference"/>
          <w:sz w:val="16"/>
          <w:szCs w:val="16"/>
        </w:rPr>
        <w:footnoteRef/>
      </w:r>
      <w:r w:rsidRPr="00285DC2">
        <w:rPr>
          <w:sz w:val="16"/>
          <w:szCs w:val="16"/>
        </w:rPr>
        <w:t xml:space="preserve"> Tweede Kamer, vergaderjaar 2025-2026, 36800 B, nr. 20</w:t>
      </w:r>
    </w:p>
  </w:footnote>
  <w:footnote w:id="12">
    <w:p w:rsidR="00B11DE8" w:rsidRPr="00285DC2" w:rsidP="00B11DE8" w14:paraId="7AC31DE1" w14:textId="77777777">
      <w:pPr>
        <w:pStyle w:val="FootnoteText"/>
        <w:rPr>
          <w:sz w:val="16"/>
          <w:szCs w:val="16"/>
        </w:rPr>
      </w:pPr>
      <w:r w:rsidRPr="00285DC2">
        <w:rPr>
          <w:rStyle w:val="FootnoteReference"/>
          <w:sz w:val="16"/>
          <w:szCs w:val="16"/>
        </w:rPr>
        <w:footnoteRef/>
      </w:r>
      <w:r w:rsidRPr="00285DC2">
        <w:rPr>
          <w:sz w:val="16"/>
          <w:szCs w:val="16"/>
        </w:rPr>
        <w:t xml:space="preserve"> Tweede Kamer, vergaderjaar 2025-2026, 36800 B, nr. 22</w:t>
      </w:r>
    </w:p>
  </w:footnote>
  <w:footnote w:id="13">
    <w:p w:rsidR="00E62799" w:rsidRPr="00322FDA" w14:paraId="2A5E2B84" w14:textId="77777777">
      <w:pPr>
        <w:pStyle w:val="FootnoteText"/>
        <w:rPr>
          <w:sz w:val="16"/>
          <w:szCs w:val="16"/>
        </w:rPr>
      </w:pPr>
      <w:r w:rsidRPr="00322FDA">
        <w:rPr>
          <w:rStyle w:val="FootnoteReference"/>
          <w:sz w:val="16"/>
          <w:szCs w:val="16"/>
        </w:rPr>
        <w:footnoteRef/>
      </w:r>
      <w:r w:rsidRPr="00322FDA">
        <w:rPr>
          <w:sz w:val="16"/>
          <w:szCs w:val="16"/>
        </w:rPr>
        <w:t xml:space="preserve"> </w:t>
      </w:r>
      <w:r w:rsidRPr="00E62799">
        <w:rPr>
          <w:sz w:val="16"/>
          <w:szCs w:val="16"/>
        </w:rPr>
        <w:t>Het exacte bedrag zal in de meicirculaire 2026 worden berekend.</w:t>
      </w:r>
    </w:p>
  </w:footnote>
  <w:footnote w:id="14">
    <w:p w:rsidR="00836468" w:rsidRPr="00322FDA" w14:paraId="79B81FD2" w14:textId="77777777">
      <w:pPr>
        <w:pStyle w:val="FootnoteText"/>
        <w:rPr>
          <w:sz w:val="16"/>
          <w:szCs w:val="16"/>
        </w:rPr>
      </w:pPr>
      <w:r w:rsidRPr="00322FDA">
        <w:rPr>
          <w:rStyle w:val="FootnoteReference"/>
          <w:sz w:val="16"/>
          <w:szCs w:val="16"/>
        </w:rPr>
        <w:footnoteRef/>
      </w:r>
      <w:r w:rsidRPr="00322FDA">
        <w:rPr>
          <w:sz w:val="16"/>
          <w:szCs w:val="16"/>
        </w:rPr>
        <w:t xml:space="preserve"> Het betreft wijzigingen </w:t>
      </w:r>
      <w:r w:rsidRPr="00322FDA">
        <w:rPr>
          <w:sz w:val="16"/>
          <w:szCs w:val="16"/>
        </w:rPr>
        <w:t>aangaande</w:t>
      </w:r>
      <w:r w:rsidRPr="00322FDA">
        <w:rPr>
          <w:sz w:val="16"/>
          <w:szCs w:val="16"/>
        </w:rPr>
        <w:t xml:space="preserve"> het meenemen van huishoudens in het eerste inkomensdeciel, het niet meenemen van huishoudens met een hoge ‘betaalreserve’ (vermogen exclusief eigen woning) en het uitdrukken van de drempel in aantal huishoudens in plaats van in woonruimten.</w:t>
      </w:r>
    </w:p>
  </w:footnote>
  <w:footnote w:id="15">
    <w:p w:rsidR="00DF1F6D" w:rsidRPr="00322FDA" w14:paraId="27A9B653" w14:textId="77777777">
      <w:pPr>
        <w:pStyle w:val="FootnoteText"/>
        <w:rPr>
          <w:sz w:val="16"/>
          <w:szCs w:val="16"/>
        </w:rPr>
      </w:pPr>
      <w:r w:rsidRPr="00322FDA">
        <w:rPr>
          <w:rStyle w:val="FootnoteReference"/>
          <w:sz w:val="16"/>
          <w:szCs w:val="16"/>
        </w:rPr>
        <w:footnoteRef/>
      </w:r>
      <w:r w:rsidRPr="00322FDA">
        <w:rPr>
          <w:sz w:val="16"/>
          <w:szCs w:val="16"/>
        </w:rPr>
        <w:t xml:space="preserve"> Niveau 2026 is bevroren op niveau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253" w14:paraId="2A45BA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446" w14:paraId="1416904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30228" w14:paraId="6991FE1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30228" w14:paraId="5C4BF962"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D5446" w14:textId="77777777">
                          <w:pPr>
                            <w:pStyle w:val="Referentiegegevensbold"/>
                          </w:pPr>
                          <w:r>
                            <w:t xml:space="preserve">DG Openbaar Bestuur &amp; </w:t>
                          </w:r>
                          <w:r>
                            <w:t>Democr</w:t>
                          </w:r>
                          <w:r>
                            <w:t xml:space="preserve"> Rechtsstaat</w:t>
                          </w:r>
                        </w:p>
                        <w:p w:rsidR="005D5446" w14:textId="77777777">
                          <w:pPr>
                            <w:pStyle w:val="Referentiegegevens"/>
                          </w:pPr>
                          <w:r>
                            <w:t xml:space="preserve">DGOBDR-BFR-Bekostiging </w:t>
                          </w:r>
                          <w:r>
                            <w:t>Binnenl</w:t>
                          </w:r>
                          <w:r>
                            <w:t>. Bestuur</w:t>
                          </w:r>
                        </w:p>
                        <w:p w:rsidR="005D5446" w14:textId="77777777">
                          <w:pPr>
                            <w:pStyle w:val="WitregelW2"/>
                          </w:pPr>
                        </w:p>
                        <w:p w:rsidR="00322FDA" w:rsidP="00322FDA" w14:textId="77777777">
                          <w:pPr>
                            <w:pStyle w:val="Referentiegegevensbold"/>
                          </w:pPr>
                          <w:r>
                            <w:t>Datum</w:t>
                          </w:r>
                        </w:p>
                        <w:p w:rsidR="005D5446" w:rsidRPr="00322FDA" w:rsidP="00322FDA" w14:textId="77777777">
                          <w:pPr>
                            <w:rPr>
                              <w:sz w:val="13"/>
                              <w:szCs w:val="13"/>
                            </w:rPr>
                          </w:pPr>
                          <w:r w:rsidRPr="00322FDA">
                            <w:rPr>
                              <w:sz w:val="13"/>
                              <w:szCs w:val="13"/>
                            </w:rPr>
                            <w:t>28 mei 2026</w:t>
                          </w:r>
                          <w:r w:rsidRPr="00322FDA" w:rsidR="00C31661">
                            <w:rPr>
                              <w:sz w:val="13"/>
                              <w:szCs w:val="13"/>
                            </w:rPr>
                            <w:br/>
                          </w:r>
                        </w:p>
                        <w:p w:rsidR="005D5446" w14:textId="77777777">
                          <w:pPr>
                            <w:pStyle w:val="Referentiegegevensbold"/>
                          </w:pPr>
                          <w:r>
                            <w:t>Onze referentie</w:t>
                          </w:r>
                        </w:p>
                        <w:p w:rsidR="00734BDB" w14:textId="77777777">
                          <w:pPr>
                            <w:pStyle w:val="Referentiegegevens"/>
                          </w:pPr>
                          <w:r>
                            <w:fldChar w:fldCharType="begin"/>
                          </w:r>
                          <w:r>
                            <w:instrText xml:space="preserve"> DOCPROPERTY  "Kenmerk"  \* MERGEFORMAT </w:instrText>
                          </w:r>
                          <w:r>
                            <w:fldChar w:fldCharType="separate"/>
                          </w:r>
                          <w:r w:rsidR="003F4253">
                            <w:t>2026-0000158995</w:t>
                          </w:r>
                          <w:r w:rsidR="003F4253">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D5446" w14:paraId="0854A683" w14:textId="77777777">
                    <w:pPr>
                      <w:pStyle w:val="Referentiegegevensbold"/>
                    </w:pPr>
                    <w:r>
                      <w:t xml:space="preserve">DG Openbaar Bestuur &amp; </w:t>
                    </w:r>
                    <w:r>
                      <w:t>Democr</w:t>
                    </w:r>
                    <w:r>
                      <w:t xml:space="preserve"> Rechtsstaat</w:t>
                    </w:r>
                  </w:p>
                  <w:p w:rsidR="005D5446" w14:paraId="3284B6D9" w14:textId="77777777">
                    <w:pPr>
                      <w:pStyle w:val="Referentiegegevens"/>
                    </w:pPr>
                    <w:r>
                      <w:t xml:space="preserve">DGOBDR-BFR-Bekostiging </w:t>
                    </w:r>
                    <w:r>
                      <w:t>Binnenl</w:t>
                    </w:r>
                    <w:r>
                      <w:t>. Bestuur</w:t>
                    </w:r>
                  </w:p>
                  <w:p w:rsidR="005D5446" w14:paraId="286772B5" w14:textId="77777777">
                    <w:pPr>
                      <w:pStyle w:val="WitregelW2"/>
                    </w:pPr>
                  </w:p>
                  <w:p w:rsidR="00322FDA" w:rsidP="00322FDA" w14:paraId="23A8555C" w14:textId="77777777">
                    <w:pPr>
                      <w:pStyle w:val="Referentiegegevensbold"/>
                    </w:pPr>
                    <w:r>
                      <w:t>Datum</w:t>
                    </w:r>
                  </w:p>
                  <w:p w:rsidR="005D5446" w:rsidRPr="00322FDA" w:rsidP="00322FDA" w14:paraId="0BDF6877" w14:textId="77777777">
                    <w:pPr>
                      <w:rPr>
                        <w:sz w:val="13"/>
                        <w:szCs w:val="13"/>
                      </w:rPr>
                    </w:pPr>
                    <w:r w:rsidRPr="00322FDA">
                      <w:rPr>
                        <w:sz w:val="13"/>
                        <w:szCs w:val="13"/>
                      </w:rPr>
                      <w:t>28 mei 2026</w:t>
                    </w:r>
                    <w:r w:rsidRPr="00322FDA" w:rsidR="00C31661">
                      <w:rPr>
                        <w:sz w:val="13"/>
                        <w:szCs w:val="13"/>
                      </w:rPr>
                      <w:br/>
                    </w:r>
                  </w:p>
                  <w:p w:rsidR="005D5446" w14:paraId="14B75FFF" w14:textId="77777777">
                    <w:pPr>
                      <w:pStyle w:val="Referentiegegevensbold"/>
                    </w:pPr>
                    <w:r>
                      <w:t>Onze referentie</w:t>
                    </w:r>
                  </w:p>
                  <w:p w:rsidR="00734BDB" w14:paraId="59EA670B" w14:textId="77777777">
                    <w:pPr>
                      <w:pStyle w:val="Referentiegegevens"/>
                    </w:pPr>
                    <w:r>
                      <w:fldChar w:fldCharType="begin"/>
                    </w:r>
                    <w:r>
                      <w:instrText xml:space="preserve"> DOCPROPERTY  "Kenmerk"  \* MERGEFORMAT </w:instrText>
                    </w:r>
                    <w:r>
                      <w:fldChar w:fldCharType="separate"/>
                    </w:r>
                    <w:r w:rsidR="003F4253">
                      <w:t>2026-0000158995</w:t>
                    </w:r>
                    <w:r w:rsidR="003F425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30228" w14:paraId="16CE2081"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30228" w14:paraId="5561701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36E6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136E62" w14:paraId="2BD9E97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446" w14:paraId="5BE98A4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D5446" w14:textId="77777777">
                          <w:pPr>
                            <w:spacing w:line="240" w:lineRule="auto"/>
                          </w:pPr>
                          <w:r>
                            <w:rPr>
                              <w:noProof/>
                            </w:rPr>
                            <w:drawing>
                              <wp:inline distT="0" distB="0" distL="0" distR="0">
                                <wp:extent cx="467995" cy="1583865"/>
                                <wp:effectExtent l="0" t="0" r="0" b="0"/>
                                <wp:docPr id="201836148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1836148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D5446" w14:paraId="46E5334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D5446" w14:textId="77777777">
                          <w:pPr>
                            <w:spacing w:line="240" w:lineRule="auto"/>
                          </w:pPr>
                          <w:r>
                            <w:rPr>
                              <w:noProof/>
                            </w:rPr>
                            <w:drawing>
                              <wp:inline distT="0" distB="0" distL="0" distR="0">
                                <wp:extent cx="2339975" cy="1582834"/>
                                <wp:effectExtent l="0" t="0" r="0" b="0"/>
                                <wp:docPr id="80885913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0885913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D5446" w14:paraId="09D2C673"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D5446" w14:paraId="7121EF0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D5446" w14:paraId="3EC8FEB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D5446" w14:paraId="4D8CF200" w14:textId="77777777">
                          <w:r>
                            <w:t>Aan de Voorzitter van de Tweede Kamer der Staten-Generaal</w:t>
                          </w:r>
                        </w:p>
                        <w:p w:rsidR="005D5446" w14:paraId="332CBA79" w14:textId="77777777">
                          <w:r>
                            <w:t>Postbus 20018</w:t>
                          </w:r>
                        </w:p>
                        <w:p w:rsidR="005D5446" w14:paraId="55FA90F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D5446" w14:paraId="0C0DB07D" w14:textId="77777777">
                    <w:r>
                      <w:t>Aan de Voorzitter van de Tweede Kamer der Staten-Generaal</w:t>
                    </w:r>
                  </w:p>
                  <w:p w:rsidR="005D5446" w14:paraId="04386ED9" w14:textId="77777777">
                    <w:r>
                      <w:t>Postbus 20018</w:t>
                    </w:r>
                  </w:p>
                  <w:p w:rsidR="005D5446" w14:paraId="0401409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3357245</wp:posOffset>
              </wp:positionV>
              <wp:extent cx="4787900" cy="57023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70230"/>
                      </a:xfrm>
                      <a:prstGeom prst="rect">
                        <a:avLst/>
                      </a:prstGeom>
                      <a:noFill/>
                    </wps:spPr>
                    <wps:txbx>
                      <w:txbxContent>
                        <w:tbl>
                          <w:tblPr>
                            <w:tblW w:w="0" w:type="auto"/>
                            <w:tblInd w:w="-120" w:type="dxa"/>
                            <w:tblLayout w:type="fixed"/>
                            <w:tblLook w:val="07E0"/>
                          </w:tblPr>
                          <w:tblGrid>
                            <w:gridCol w:w="1140"/>
                            <w:gridCol w:w="5918"/>
                          </w:tblGrid>
                          <w:tr w14:paraId="76D27BBE" w14:textId="77777777">
                            <w:tblPrEx>
                              <w:tblW w:w="0" w:type="auto"/>
                              <w:tblInd w:w="-120" w:type="dxa"/>
                              <w:tblLayout w:type="fixed"/>
                              <w:tblLook w:val="07E0"/>
                            </w:tblPrEx>
                            <w:trPr>
                              <w:trHeight w:val="240"/>
                            </w:trPr>
                            <w:tc>
                              <w:tcPr>
                                <w:tcW w:w="1140" w:type="dxa"/>
                              </w:tcPr>
                              <w:p w:rsidR="005D5446" w14:textId="77777777">
                                <w:r>
                                  <w:t>Datum</w:t>
                                </w:r>
                              </w:p>
                            </w:tc>
                            <w:tc>
                              <w:tcPr>
                                <w:tcW w:w="5918" w:type="dxa"/>
                              </w:tcPr>
                              <w:p w:rsidR="00734BDB" w14:textId="77777777">
                                <w:r>
                                  <w:t>28 mei 2026</w:t>
                                </w:r>
                              </w:p>
                            </w:tc>
                          </w:tr>
                          <w:tr w14:paraId="1BD221EB" w14:textId="77777777">
                            <w:tblPrEx>
                              <w:tblW w:w="0" w:type="auto"/>
                              <w:tblInd w:w="-120" w:type="dxa"/>
                              <w:tblLayout w:type="fixed"/>
                              <w:tblLook w:val="07E0"/>
                            </w:tblPrEx>
                            <w:trPr>
                              <w:trHeight w:val="240"/>
                            </w:trPr>
                            <w:tc>
                              <w:tcPr>
                                <w:tcW w:w="1140" w:type="dxa"/>
                              </w:tcPr>
                              <w:p w:rsidR="005D5446" w14:textId="77777777">
                                <w:r>
                                  <w:t>Betreft</w:t>
                                </w:r>
                              </w:p>
                            </w:tc>
                            <w:tc>
                              <w:tcPr>
                                <w:tcW w:w="5918" w:type="dxa"/>
                              </w:tcPr>
                              <w:p w:rsidR="00734BDB" w14:textId="77777777">
                                <w:r w:rsidRPr="008157CE">
                                  <w:t>Herziening verdeelmodel gemeentefonds</w:t>
                                </w:r>
                                <w:r>
                                  <w:t xml:space="preserve"> per 1 januari 2027</w:t>
                                </w:r>
                              </w:p>
                            </w:tc>
                          </w:tr>
                        </w:tbl>
                        <w:p w:rsidR="00530228"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7pt;height:44.9pt;margin-top:264.35pt;margin-left:79.45pt;mso-height-percent:0;mso-height-relative:margin;mso-position-horizont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6D27BBD" w14:textId="77777777">
                      <w:tblPrEx>
                        <w:tblW w:w="0" w:type="auto"/>
                        <w:tblInd w:w="-120" w:type="dxa"/>
                        <w:tblLayout w:type="fixed"/>
                        <w:tblLook w:val="07E0"/>
                      </w:tblPrEx>
                      <w:trPr>
                        <w:trHeight w:val="240"/>
                      </w:trPr>
                      <w:tc>
                        <w:tcPr>
                          <w:tcW w:w="1140" w:type="dxa"/>
                        </w:tcPr>
                        <w:p w:rsidR="005D5446" w14:paraId="30FEDD74" w14:textId="77777777">
                          <w:r>
                            <w:t>Datum</w:t>
                          </w:r>
                        </w:p>
                      </w:tc>
                      <w:tc>
                        <w:tcPr>
                          <w:tcW w:w="5918" w:type="dxa"/>
                        </w:tcPr>
                        <w:p w:rsidR="00734BDB" w14:paraId="3C82891A" w14:textId="77777777">
                          <w:r>
                            <w:t>28 mei 2026</w:t>
                          </w:r>
                        </w:p>
                      </w:tc>
                    </w:tr>
                    <w:tr w14:paraId="1BD221EA" w14:textId="77777777">
                      <w:tblPrEx>
                        <w:tblW w:w="0" w:type="auto"/>
                        <w:tblInd w:w="-120" w:type="dxa"/>
                        <w:tblLayout w:type="fixed"/>
                        <w:tblLook w:val="07E0"/>
                      </w:tblPrEx>
                      <w:trPr>
                        <w:trHeight w:val="240"/>
                      </w:trPr>
                      <w:tc>
                        <w:tcPr>
                          <w:tcW w:w="1140" w:type="dxa"/>
                        </w:tcPr>
                        <w:p w:rsidR="005D5446" w14:paraId="03E204F0" w14:textId="77777777">
                          <w:r>
                            <w:t>Betreft</w:t>
                          </w:r>
                        </w:p>
                      </w:tc>
                      <w:tc>
                        <w:tcPr>
                          <w:tcW w:w="5918" w:type="dxa"/>
                        </w:tcPr>
                        <w:p w:rsidR="00734BDB" w14:paraId="10E427A8" w14:textId="77777777">
                          <w:r w:rsidRPr="008157CE">
                            <w:t>Herziening verdeelmodel gemeentefonds</w:t>
                          </w:r>
                          <w:r>
                            <w:t xml:space="preserve"> per 1 januari 2027</w:t>
                          </w:r>
                        </w:p>
                      </w:tc>
                    </w:tr>
                  </w:tbl>
                  <w:p w:rsidR="00530228" w14:paraId="676BC53A"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D5446" w14:textId="77777777">
                          <w:pPr>
                            <w:pStyle w:val="Referentiegegevensbold"/>
                          </w:pPr>
                          <w:r>
                            <w:t xml:space="preserve">DG Openbaar Bestuur &amp; </w:t>
                          </w:r>
                          <w:r>
                            <w:t>Democr</w:t>
                          </w:r>
                          <w:r>
                            <w:t xml:space="preserve"> Rechtsstaat</w:t>
                          </w:r>
                        </w:p>
                        <w:p w:rsidR="005D5446" w14:textId="77777777">
                          <w:pPr>
                            <w:pStyle w:val="Referentiegegevens"/>
                          </w:pPr>
                          <w:r>
                            <w:t xml:space="preserve">DGOBDR-BFR-Bekostiging </w:t>
                          </w:r>
                          <w:r>
                            <w:t>Binnenl</w:t>
                          </w:r>
                          <w:r>
                            <w:t>. Bestuur</w:t>
                          </w:r>
                        </w:p>
                        <w:p w:rsidR="005D5446" w14:textId="77777777">
                          <w:pPr>
                            <w:pStyle w:val="WitregelW1"/>
                          </w:pPr>
                        </w:p>
                        <w:p w:rsidR="005D5446" w14:textId="77777777">
                          <w:pPr>
                            <w:pStyle w:val="Referentiegegevens"/>
                          </w:pPr>
                          <w:r>
                            <w:t>Turfmarkt 147</w:t>
                          </w:r>
                        </w:p>
                        <w:p w:rsidR="005D5446" w14:textId="77777777">
                          <w:pPr>
                            <w:pStyle w:val="Referentiegegevens"/>
                          </w:pPr>
                          <w:r>
                            <w:t>2511 DP Den Haag</w:t>
                          </w:r>
                        </w:p>
                        <w:p w:rsidR="005D5446" w14:textId="77777777">
                          <w:pPr>
                            <w:pStyle w:val="Referentiegegevens"/>
                          </w:pPr>
                          <w:r>
                            <w:t>Postbus 20011</w:t>
                          </w:r>
                        </w:p>
                        <w:p w:rsidR="005D5446" w:rsidP="007F7AA4" w14:textId="77777777">
                          <w:pPr>
                            <w:pStyle w:val="Referentiegegevens"/>
                          </w:pPr>
                          <w:r>
                            <w:t>2500 EA  Den Haag</w:t>
                          </w:r>
                          <w:r w:rsidR="007F7AA4">
                            <w:br/>
                          </w:r>
                        </w:p>
                        <w:p w:rsidR="005D5446" w14:textId="77777777">
                          <w:pPr>
                            <w:pStyle w:val="Referentiegegevensbold"/>
                          </w:pPr>
                          <w:r>
                            <w:t>Onze referentie</w:t>
                          </w:r>
                        </w:p>
                        <w:p w:rsidR="00734BDB" w14:textId="77777777">
                          <w:pPr>
                            <w:pStyle w:val="Referentiegegevens"/>
                          </w:pPr>
                          <w:r>
                            <w:fldChar w:fldCharType="begin"/>
                          </w:r>
                          <w:r>
                            <w:instrText xml:space="preserve"> DOCPROPERTY  "Kenmerk"  \* MERGEFORMAT </w:instrText>
                          </w:r>
                          <w:r>
                            <w:fldChar w:fldCharType="separate"/>
                          </w:r>
                          <w:r w:rsidR="003F4253">
                            <w:t>2026-0000158995</w:t>
                          </w:r>
                          <w:r w:rsidR="003F4253">
                            <w:fldChar w:fldCharType="end"/>
                          </w:r>
                        </w:p>
                        <w:p w:rsidR="005D5446" w14:textId="77777777">
                          <w:pPr>
                            <w:pStyle w:val="WitregelW1"/>
                          </w:pPr>
                        </w:p>
                        <w:p w:rsidR="005D544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D5446" w14:paraId="688CB1C4" w14:textId="77777777">
                    <w:pPr>
                      <w:pStyle w:val="Referentiegegevensbold"/>
                    </w:pPr>
                    <w:r>
                      <w:t xml:space="preserve">DG Openbaar Bestuur &amp; </w:t>
                    </w:r>
                    <w:r>
                      <w:t>Democr</w:t>
                    </w:r>
                    <w:r>
                      <w:t xml:space="preserve"> Rechtsstaat</w:t>
                    </w:r>
                  </w:p>
                  <w:p w:rsidR="005D5446" w14:paraId="788C8D28" w14:textId="77777777">
                    <w:pPr>
                      <w:pStyle w:val="Referentiegegevens"/>
                    </w:pPr>
                    <w:r>
                      <w:t xml:space="preserve">DGOBDR-BFR-Bekostiging </w:t>
                    </w:r>
                    <w:r>
                      <w:t>Binnenl</w:t>
                    </w:r>
                    <w:r>
                      <w:t>. Bestuur</w:t>
                    </w:r>
                  </w:p>
                  <w:p w:rsidR="005D5446" w14:paraId="43103962" w14:textId="77777777">
                    <w:pPr>
                      <w:pStyle w:val="WitregelW1"/>
                    </w:pPr>
                  </w:p>
                  <w:p w:rsidR="005D5446" w14:paraId="60763632" w14:textId="77777777">
                    <w:pPr>
                      <w:pStyle w:val="Referentiegegevens"/>
                    </w:pPr>
                    <w:r>
                      <w:t>Turfmarkt 147</w:t>
                    </w:r>
                  </w:p>
                  <w:p w:rsidR="005D5446" w14:paraId="320A14F3" w14:textId="77777777">
                    <w:pPr>
                      <w:pStyle w:val="Referentiegegevens"/>
                    </w:pPr>
                    <w:r>
                      <w:t>2511 DP Den Haag</w:t>
                    </w:r>
                  </w:p>
                  <w:p w:rsidR="005D5446" w14:paraId="47D280A0" w14:textId="77777777">
                    <w:pPr>
                      <w:pStyle w:val="Referentiegegevens"/>
                    </w:pPr>
                    <w:r>
                      <w:t>Postbus 20011</w:t>
                    </w:r>
                  </w:p>
                  <w:p w:rsidR="005D5446" w:rsidP="007F7AA4" w14:paraId="719D4580" w14:textId="77777777">
                    <w:pPr>
                      <w:pStyle w:val="Referentiegegevens"/>
                    </w:pPr>
                    <w:r>
                      <w:t>2500 EA  Den Haag</w:t>
                    </w:r>
                    <w:r w:rsidR="007F7AA4">
                      <w:br/>
                    </w:r>
                  </w:p>
                  <w:p w:rsidR="005D5446" w14:paraId="3980355D" w14:textId="77777777">
                    <w:pPr>
                      <w:pStyle w:val="Referentiegegevensbold"/>
                    </w:pPr>
                    <w:r>
                      <w:t>Onze referentie</w:t>
                    </w:r>
                  </w:p>
                  <w:p w:rsidR="00734BDB" w14:paraId="068BFFFD" w14:textId="77777777">
                    <w:pPr>
                      <w:pStyle w:val="Referentiegegevens"/>
                    </w:pPr>
                    <w:r>
                      <w:fldChar w:fldCharType="begin"/>
                    </w:r>
                    <w:r>
                      <w:instrText xml:space="preserve"> DOCPROPERTY  "Kenmerk"  \* MERGEFORMAT </w:instrText>
                    </w:r>
                    <w:r>
                      <w:fldChar w:fldCharType="separate"/>
                    </w:r>
                    <w:r w:rsidR="003F4253">
                      <w:t>2026-0000158995</w:t>
                    </w:r>
                    <w:r w:rsidR="003F4253">
                      <w:fldChar w:fldCharType="end"/>
                    </w:r>
                  </w:p>
                  <w:p w:rsidR="005D5446" w14:paraId="43E84029" w14:textId="77777777">
                    <w:pPr>
                      <w:pStyle w:val="WitregelW1"/>
                    </w:pPr>
                  </w:p>
                  <w:p w:rsidR="005D5446" w14:paraId="3FF24806"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36E6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136E62" w14:paraId="47B7E4E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30228" w14:paraId="57BF7BF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30228" w14:paraId="18007C4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64B3FCF"/>
    <w:multiLevelType w:val="multilevel"/>
    <w:tmpl w:val="2473393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D452C1A"/>
    <w:multiLevelType w:val="multilevel"/>
    <w:tmpl w:val="BC1EBBA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DB9FF147"/>
    <w:multiLevelType w:val="multilevel"/>
    <w:tmpl w:val="5EEAD36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15702E4"/>
    <w:multiLevelType w:val="hybridMultilevel"/>
    <w:tmpl w:val="7E04F2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B463DB0"/>
    <w:multiLevelType w:val="hybridMultilevel"/>
    <w:tmpl w:val="AB402FC0"/>
    <w:lvl w:ilvl="0">
      <w:start w:val="3"/>
      <w:numFmt w:val="bullet"/>
      <w:lvlText w:val=""/>
      <w:lvlJc w:val="left"/>
      <w:pPr>
        <w:ind w:left="1080" w:hanging="360"/>
      </w:pPr>
      <w:rPr>
        <w:rFonts w:ascii="Wingdings" w:eastAsia="Calibri" w:hAnsi="Wingdings" w:cs="Calibri" w:hint="default"/>
        <w:color w:val="auto"/>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FB41DAA"/>
    <w:multiLevelType w:val="hybridMultilevel"/>
    <w:tmpl w:val="2CD4073C"/>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12CE9D1"/>
    <w:multiLevelType w:val="multilevel"/>
    <w:tmpl w:val="7476784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1C7C6BE9"/>
    <w:multiLevelType w:val="hybridMultilevel"/>
    <w:tmpl w:val="0A5820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F524F88"/>
    <w:multiLevelType w:val="hybridMultilevel"/>
    <w:tmpl w:val="B4BAC4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65A5D31"/>
    <w:multiLevelType w:val="hybridMultilevel"/>
    <w:tmpl w:val="F8160D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76D5A9C"/>
    <w:multiLevelType w:val="hybridMultilevel"/>
    <w:tmpl w:val="C4DA9B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FF947EF"/>
    <w:multiLevelType w:val="hybridMultilevel"/>
    <w:tmpl w:val="A502C5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761781D"/>
    <w:multiLevelType w:val="hybridMultilevel"/>
    <w:tmpl w:val="E3FE1C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6C54F9"/>
    <w:multiLevelType w:val="hybridMultilevel"/>
    <w:tmpl w:val="3A8A15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376403D"/>
    <w:multiLevelType w:val="hybridMultilevel"/>
    <w:tmpl w:val="99108B18"/>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E1C5E3C"/>
    <w:multiLevelType w:val="hybridMultilevel"/>
    <w:tmpl w:val="EAC8C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52425003">
    <w:abstractNumId w:val="0"/>
  </w:num>
  <w:num w:numId="2" w16cid:durableId="281036383">
    <w:abstractNumId w:val="1"/>
  </w:num>
  <w:num w:numId="3" w16cid:durableId="600644277">
    <w:abstractNumId w:val="2"/>
  </w:num>
  <w:num w:numId="4" w16cid:durableId="975641435">
    <w:abstractNumId w:val="6"/>
  </w:num>
  <w:num w:numId="5" w16cid:durableId="1788964441">
    <w:abstractNumId w:val="7"/>
  </w:num>
  <w:num w:numId="6" w16cid:durableId="1728256216">
    <w:abstractNumId w:val="12"/>
  </w:num>
  <w:num w:numId="7" w16cid:durableId="360517669">
    <w:abstractNumId w:val="15"/>
  </w:num>
  <w:num w:numId="8" w16cid:durableId="1917010088">
    <w:abstractNumId w:val="9"/>
  </w:num>
  <w:num w:numId="9" w16cid:durableId="651838680">
    <w:abstractNumId w:val="11"/>
  </w:num>
  <w:num w:numId="10" w16cid:durableId="2103992004">
    <w:abstractNumId w:val="3"/>
  </w:num>
  <w:num w:numId="11" w16cid:durableId="2040351152">
    <w:abstractNumId w:val="8"/>
  </w:num>
  <w:num w:numId="12" w16cid:durableId="1841191253">
    <w:abstractNumId w:val="5"/>
  </w:num>
  <w:num w:numId="13" w16cid:durableId="1815247516">
    <w:abstractNumId w:val="14"/>
  </w:num>
  <w:num w:numId="14" w16cid:durableId="1382561345">
    <w:abstractNumId w:val="4"/>
  </w:num>
  <w:num w:numId="15" w16cid:durableId="1558592861">
    <w:abstractNumId w:val="13"/>
  </w:num>
  <w:num w:numId="16" w16cid:durableId="12623012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5"/>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46"/>
    <w:rsid w:val="00011A3B"/>
    <w:rsid w:val="000467C5"/>
    <w:rsid w:val="000523B9"/>
    <w:rsid w:val="0005393B"/>
    <w:rsid w:val="000673CD"/>
    <w:rsid w:val="00084239"/>
    <w:rsid w:val="00087916"/>
    <w:rsid w:val="00095946"/>
    <w:rsid w:val="000B0FD3"/>
    <w:rsid w:val="000C716B"/>
    <w:rsid w:val="000C7C16"/>
    <w:rsid w:val="000E1D87"/>
    <w:rsid w:val="000E4EA8"/>
    <w:rsid w:val="000F530D"/>
    <w:rsid w:val="0010028F"/>
    <w:rsid w:val="001311B3"/>
    <w:rsid w:val="001356CA"/>
    <w:rsid w:val="00136E62"/>
    <w:rsid w:val="00144E0C"/>
    <w:rsid w:val="001528DD"/>
    <w:rsid w:val="00161EA6"/>
    <w:rsid w:val="00162BF8"/>
    <w:rsid w:val="001654DD"/>
    <w:rsid w:val="00174956"/>
    <w:rsid w:val="00180231"/>
    <w:rsid w:val="001949A9"/>
    <w:rsid w:val="001C3519"/>
    <w:rsid w:val="001C6F12"/>
    <w:rsid w:val="001D42FB"/>
    <w:rsid w:val="00210288"/>
    <w:rsid w:val="00214FFB"/>
    <w:rsid w:val="00222A56"/>
    <w:rsid w:val="00226067"/>
    <w:rsid w:val="00252A9A"/>
    <w:rsid w:val="00263ACF"/>
    <w:rsid w:val="00285DC2"/>
    <w:rsid w:val="0029111D"/>
    <w:rsid w:val="002A380C"/>
    <w:rsid w:val="002D48F3"/>
    <w:rsid w:val="002E5339"/>
    <w:rsid w:val="0030724C"/>
    <w:rsid w:val="003100DA"/>
    <w:rsid w:val="00322FDA"/>
    <w:rsid w:val="0033706A"/>
    <w:rsid w:val="00350452"/>
    <w:rsid w:val="003545E5"/>
    <w:rsid w:val="00365F6C"/>
    <w:rsid w:val="00370CFD"/>
    <w:rsid w:val="00372D91"/>
    <w:rsid w:val="00384CAB"/>
    <w:rsid w:val="00396E73"/>
    <w:rsid w:val="003C6BB5"/>
    <w:rsid w:val="003F3791"/>
    <w:rsid w:val="003F4253"/>
    <w:rsid w:val="003F46DF"/>
    <w:rsid w:val="00403E18"/>
    <w:rsid w:val="00404220"/>
    <w:rsid w:val="0041114F"/>
    <w:rsid w:val="0042229D"/>
    <w:rsid w:val="00432D63"/>
    <w:rsid w:val="00496AF1"/>
    <w:rsid w:val="004A0F68"/>
    <w:rsid w:val="004A64EB"/>
    <w:rsid w:val="004B580B"/>
    <w:rsid w:val="004B646B"/>
    <w:rsid w:val="004D7F16"/>
    <w:rsid w:val="004E450D"/>
    <w:rsid w:val="004F07B3"/>
    <w:rsid w:val="00501163"/>
    <w:rsid w:val="00507AFF"/>
    <w:rsid w:val="00530228"/>
    <w:rsid w:val="00542402"/>
    <w:rsid w:val="00552647"/>
    <w:rsid w:val="00560965"/>
    <w:rsid w:val="005703EC"/>
    <w:rsid w:val="005A5B53"/>
    <w:rsid w:val="005D5446"/>
    <w:rsid w:val="005E054C"/>
    <w:rsid w:val="005E2D29"/>
    <w:rsid w:val="005E4648"/>
    <w:rsid w:val="005F68C7"/>
    <w:rsid w:val="00607BE9"/>
    <w:rsid w:val="00636367"/>
    <w:rsid w:val="00640574"/>
    <w:rsid w:val="0064057F"/>
    <w:rsid w:val="006C4CD6"/>
    <w:rsid w:val="006D04C9"/>
    <w:rsid w:val="006D674A"/>
    <w:rsid w:val="006F4273"/>
    <w:rsid w:val="00706019"/>
    <w:rsid w:val="00707682"/>
    <w:rsid w:val="00733E08"/>
    <w:rsid w:val="00734BDB"/>
    <w:rsid w:val="00746498"/>
    <w:rsid w:val="007537AC"/>
    <w:rsid w:val="00757931"/>
    <w:rsid w:val="007628BE"/>
    <w:rsid w:val="007704BD"/>
    <w:rsid w:val="007C04DE"/>
    <w:rsid w:val="007C2058"/>
    <w:rsid w:val="007F7AA4"/>
    <w:rsid w:val="00802474"/>
    <w:rsid w:val="008157CE"/>
    <w:rsid w:val="00817B34"/>
    <w:rsid w:val="0082563A"/>
    <w:rsid w:val="00835F73"/>
    <w:rsid w:val="00836468"/>
    <w:rsid w:val="0084088F"/>
    <w:rsid w:val="00844407"/>
    <w:rsid w:val="00844E12"/>
    <w:rsid w:val="00876348"/>
    <w:rsid w:val="00885BA2"/>
    <w:rsid w:val="008A6938"/>
    <w:rsid w:val="008E0EB7"/>
    <w:rsid w:val="009029FD"/>
    <w:rsid w:val="00910B2F"/>
    <w:rsid w:val="009244C8"/>
    <w:rsid w:val="00950E2F"/>
    <w:rsid w:val="009863BB"/>
    <w:rsid w:val="0099627C"/>
    <w:rsid w:val="009A3F14"/>
    <w:rsid w:val="009F57A6"/>
    <w:rsid w:val="009F79FC"/>
    <w:rsid w:val="00A24272"/>
    <w:rsid w:val="00A41108"/>
    <w:rsid w:val="00A454F2"/>
    <w:rsid w:val="00A461F7"/>
    <w:rsid w:val="00A64651"/>
    <w:rsid w:val="00A669B3"/>
    <w:rsid w:val="00A84A85"/>
    <w:rsid w:val="00AB1D4A"/>
    <w:rsid w:val="00AF2ACD"/>
    <w:rsid w:val="00AF6631"/>
    <w:rsid w:val="00B0568E"/>
    <w:rsid w:val="00B11DE8"/>
    <w:rsid w:val="00B20BFE"/>
    <w:rsid w:val="00B45ACA"/>
    <w:rsid w:val="00B4673C"/>
    <w:rsid w:val="00B84BD9"/>
    <w:rsid w:val="00B93CC1"/>
    <w:rsid w:val="00BA06C7"/>
    <w:rsid w:val="00BB0834"/>
    <w:rsid w:val="00BB203F"/>
    <w:rsid w:val="00BC124D"/>
    <w:rsid w:val="00BD07F7"/>
    <w:rsid w:val="00BD5BA9"/>
    <w:rsid w:val="00C0235A"/>
    <w:rsid w:val="00C04E3B"/>
    <w:rsid w:val="00C210F0"/>
    <w:rsid w:val="00C23066"/>
    <w:rsid w:val="00C31661"/>
    <w:rsid w:val="00C33629"/>
    <w:rsid w:val="00C52657"/>
    <w:rsid w:val="00C571D7"/>
    <w:rsid w:val="00C660F0"/>
    <w:rsid w:val="00C72168"/>
    <w:rsid w:val="00C72EE2"/>
    <w:rsid w:val="00C741B3"/>
    <w:rsid w:val="00C86F45"/>
    <w:rsid w:val="00CD0E4F"/>
    <w:rsid w:val="00CD6925"/>
    <w:rsid w:val="00CE370B"/>
    <w:rsid w:val="00CF5193"/>
    <w:rsid w:val="00CF76E4"/>
    <w:rsid w:val="00D0035C"/>
    <w:rsid w:val="00D10B17"/>
    <w:rsid w:val="00D33C92"/>
    <w:rsid w:val="00D347FF"/>
    <w:rsid w:val="00D375BD"/>
    <w:rsid w:val="00D51B6B"/>
    <w:rsid w:val="00D71FA7"/>
    <w:rsid w:val="00D7426D"/>
    <w:rsid w:val="00D910DC"/>
    <w:rsid w:val="00DA2D7F"/>
    <w:rsid w:val="00DA378B"/>
    <w:rsid w:val="00DA6445"/>
    <w:rsid w:val="00DC3E6E"/>
    <w:rsid w:val="00DC5E87"/>
    <w:rsid w:val="00DC7F5B"/>
    <w:rsid w:val="00DD3C34"/>
    <w:rsid w:val="00DD58E6"/>
    <w:rsid w:val="00DE1676"/>
    <w:rsid w:val="00DF1F6D"/>
    <w:rsid w:val="00E000A2"/>
    <w:rsid w:val="00E41A44"/>
    <w:rsid w:val="00E50664"/>
    <w:rsid w:val="00E62799"/>
    <w:rsid w:val="00E64BD9"/>
    <w:rsid w:val="00E86071"/>
    <w:rsid w:val="00E90F3A"/>
    <w:rsid w:val="00EB550B"/>
    <w:rsid w:val="00F3717A"/>
    <w:rsid w:val="00F86087"/>
    <w:rsid w:val="00FB1597"/>
    <w:rsid w:val="00FC24FF"/>
    <w:rsid w:val="00FC5AA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9A634BA"/>
  <w15:docId w15:val="{4FD7140E-8BC7-4BAB-A70D-B63BC03B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30228"/>
    <w:pPr>
      <w:tabs>
        <w:tab w:val="center" w:pos="4536"/>
        <w:tab w:val="right" w:pos="9072"/>
      </w:tabs>
      <w:spacing w:line="240" w:lineRule="auto"/>
    </w:pPr>
  </w:style>
  <w:style w:type="character" w:customStyle="1" w:styleId="KoptekstChar">
    <w:name w:val="Koptekst Char"/>
    <w:basedOn w:val="DefaultParagraphFont"/>
    <w:link w:val="Header"/>
    <w:uiPriority w:val="99"/>
    <w:rsid w:val="00530228"/>
    <w:rPr>
      <w:rFonts w:ascii="Verdana" w:hAnsi="Verdana"/>
      <w:color w:val="000000"/>
      <w:sz w:val="18"/>
      <w:szCs w:val="18"/>
    </w:rPr>
  </w:style>
  <w:style w:type="paragraph" w:styleId="Footer">
    <w:name w:val="footer"/>
    <w:basedOn w:val="Normal"/>
    <w:link w:val="VoettekstChar"/>
    <w:uiPriority w:val="99"/>
    <w:unhideWhenUsed/>
    <w:rsid w:val="00530228"/>
    <w:pPr>
      <w:tabs>
        <w:tab w:val="center" w:pos="4536"/>
        <w:tab w:val="right" w:pos="9072"/>
      </w:tabs>
      <w:spacing w:line="240" w:lineRule="auto"/>
    </w:pPr>
  </w:style>
  <w:style w:type="character" w:customStyle="1" w:styleId="VoettekstChar">
    <w:name w:val="Voettekst Char"/>
    <w:basedOn w:val="DefaultParagraphFont"/>
    <w:link w:val="Footer"/>
    <w:uiPriority w:val="99"/>
    <w:rsid w:val="00530228"/>
    <w:rPr>
      <w:rFonts w:ascii="Verdana" w:hAnsi="Verdana"/>
      <w:color w:val="000000"/>
      <w:sz w:val="18"/>
      <w:szCs w:val="18"/>
    </w:rPr>
  </w:style>
  <w:style w:type="paragraph" w:styleId="FootnoteText">
    <w:name w:val="footnote text"/>
    <w:basedOn w:val="Normal"/>
    <w:link w:val="VoetnoottekstChar"/>
    <w:uiPriority w:val="99"/>
    <w:semiHidden/>
    <w:unhideWhenUsed/>
    <w:rsid w:val="00D51B6B"/>
    <w:pPr>
      <w:spacing w:line="240" w:lineRule="auto"/>
    </w:pPr>
    <w:rPr>
      <w:sz w:val="20"/>
      <w:szCs w:val="20"/>
    </w:rPr>
  </w:style>
  <w:style w:type="character" w:customStyle="1" w:styleId="VoetnoottekstChar">
    <w:name w:val="Voetnoottekst Char"/>
    <w:basedOn w:val="DefaultParagraphFont"/>
    <w:link w:val="FootnoteText"/>
    <w:uiPriority w:val="99"/>
    <w:semiHidden/>
    <w:rsid w:val="00D51B6B"/>
    <w:rPr>
      <w:rFonts w:ascii="Verdana" w:hAnsi="Verdana"/>
      <w:color w:val="000000"/>
    </w:rPr>
  </w:style>
  <w:style w:type="character" w:styleId="FootnoteReference">
    <w:name w:val="footnote reference"/>
    <w:basedOn w:val="DefaultParagraphFont"/>
    <w:uiPriority w:val="99"/>
    <w:semiHidden/>
    <w:unhideWhenUsed/>
    <w:rsid w:val="00D51B6B"/>
    <w:rPr>
      <w:vertAlign w:val="superscript"/>
    </w:rPr>
  </w:style>
  <w:style w:type="paragraph" w:styleId="ListParagraph">
    <w:name w:val="List Paragraph"/>
    <w:basedOn w:val="Normal"/>
    <w:uiPriority w:val="34"/>
    <w:semiHidden/>
    <w:rsid w:val="00844407"/>
    <w:pPr>
      <w:ind w:left="720"/>
      <w:contextualSpacing/>
    </w:pPr>
  </w:style>
  <w:style w:type="character" w:styleId="CommentReference">
    <w:name w:val="annotation reference"/>
    <w:basedOn w:val="DefaultParagraphFont"/>
    <w:uiPriority w:val="99"/>
    <w:semiHidden/>
    <w:unhideWhenUsed/>
    <w:rsid w:val="00F86087"/>
    <w:rPr>
      <w:sz w:val="16"/>
      <w:szCs w:val="16"/>
    </w:rPr>
  </w:style>
  <w:style w:type="paragraph" w:styleId="CommentText">
    <w:name w:val="annotation text"/>
    <w:basedOn w:val="Normal"/>
    <w:link w:val="TekstopmerkingChar"/>
    <w:uiPriority w:val="99"/>
    <w:unhideWhenUsed/>
    <w:rsid w:val="00F86087"/>
    <w:pPr>
      <w:spacing w:line="240" w:lineRule="auto"/>
    </w:pPr>
    <w:rPr>
      <w:sz w:val="20"/>
      <w:szCs w:val="20"/>
    </w:rPr>
  </w:style>
  <w:style w:type="character" w:customStyle="1" w:styleId="TekstopmerkingChar">
    <w:name w:val="Tekst opmerking Char"/>
    <w:basedOn w:val="DefaultParagraphFont"/>
    <w:link w:val="CommentText"/>
    <w:uiPriority w:val="99"/>
    <w:rsid w:val="00F8608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86087"/>
    <w:rPr>
      <w:b/>
      <w:bCs/>
    </w:rPr>
  </w:style>
  <w:style w:type="character" w:customStyle="1" w:styleId="OnderwerpvanopmerkingChar">
    <w:name w:val="Onderwerp van opmerking Char"/>
    <w:basedOn w:val="TekstopmerkingChar"/>
    <w:link w:val="CommentSubject"/>
    <w:uiPriority w:val="99"/>
    <w:semiHidden/>
    <w:rsid w:val="00F86087"/>
    <w:rPr>
      <w:rFonts w:ascii="Verdana" w:hAnsi="Verdana"/>
      <w:b/>
      <w:bCs/>
      <w:color w:val="000000"/>
    </w:rPr>
  </w:style>
  <w:style w:type="paragraph" w:styleId="Revision">
    <w:name w:val="Revision"/>
    <w:hidden/>
    <w:uiPriority w:val="99"/>
    <w:semiHidden/>
    <w:rsid w:val="000673CD"/>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226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image" Target="media/image3.png" Id="rId10" /><Relationship Type="http://schemas.openxmlformats.org/officeDocument/2006/relationships/image" Target="media/image4.png" Id="rId11" /><Relationship Type="http://schemas.openxmlformats.org/officeDocument/2006/relationships/header" Target="header1.xml" Id="rId12" /><Relationship Type="http://schemas.openxmlformats.org/officeDocument/2006/relationships/header" Target="header2.xml" Id="rId13" /><Relationship Type="http://schemas.openxmlformats.org/officeDocument/2006/relationships/footer" Target="footer1.xml" Id="rId14" /><Relationship Type="http://schemas.openxmlformats.org/officeDocument/2006/relationships/footer" Target="footer2.xml" Id="rId15" /><Relationship Type="http://schemas.openxmlformats.org/officeDocument/2006/relationships/header" Target="header3.xml" Id="rId16" /><Relationship Type="http://schemas.openxmlformats.org/officeDocument/2006/relationships/footer" Target="footer3.xml" Id="rId17" /><Relationship Type="http://schemas.openxmlformats.org/officeDocument/2006/relationships/theme" Target="theme/theme1.xml" Id="rId18" /><Relationship Type="http://schemas.openxmlformats.org/officeDocument/2006/relationships/numbering" Target="numbering.xml" Id="rId19" /><Relationship Type="http://schemas.openxmlformats.org/officeDocument/2006/relationships/settings" Target="settings.xml" Id="rId2" /><Relationship Type="http://schemas.openxmlformats.org/officeDocument/2006/relationships/styles" Target="styles.xml" Id="rId20"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findo.nl" TargetMode="External" Id="rId7" /><Relationship Type="http://schemas.openxmlformats.org/officeDocument/2006/relationships/image" Target="media/image1.png" Id="rId8" /><Relationship Type="http://schemas.openxmlformats.org/officeDocument/2006/relationships/image" Target="media/image2.png" Id="rId9" /></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4640</ap:Words>
  <ap:Characters>25526</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Brief - Uitstelbrief Beantwoording vragen TK over adviesaanvraag ROB</vt:lpstr>
    </vt:vector>
  </ap:TitlesOfParts>
  <ap:LinksUpToDate>false</ap:LinksUpToDate>
  <ap:CharactersWithSpaces>30106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2026-05-13T12:39:00.0000000Z</dcterms:created>
  <dcterms:modified xsi:type="dcterms:W3CDTF">2026-05-28T08:37:00.0000000Z</dcterms:modified>
  <dc:creator/>
  <lastModifiedBy/>
  <dc:description>------------------------</dc:description>
  <dc:subject/>
  <keywords/>
  <version/>
  <category/>
</coreProperties>
</file>