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B9F" w:rsidP="00887B9F" w:rsidRDefault="00887B9F" w14:paraId="49A3478A" w14:textId="77777777"/>
    <w:p w:rsidR="002366F1" w:rsidP="00887B9F" w:rsidRDefault="002366F1" w14:paraId="104A6637" w14:textId="676FDDF7">
      <w:r>
        <w:t>Geachte Voorzitter,</w:t>
      </w:r>
    </w:p>
    <w:p w:rsidR="002366F1" w:rsidP="00887B9F" w:rsidRDefault="002366F1" w14:paraId="11400EE5" w14:textId="77777777"/>
    <w:p w:rsidRPr="00C35821" w:rsidR="002366F1" w:rsidP="00887B9F" w:rsidRDefault="002366F1" w14:paraId="0E75104C" w14:textId="504D52F0">
      <w:r w:rsidRPr="00C35821">
        <w:t>Met deze brief bied ik uw Kamer de evaluatie aan van het SBIR (Small Business Innovation Research)</w:t>
      </w:r>
      <w:r>
        <w:t xml:space="preserve"> </w:t>
      </w:r>
      <w:r w:rsidRPr="00C35821">
        <w:t xml:space="preserve">instrument, sinds </w:t>
      </w:r>
      <w:r>
        <w:t>2024</w:t>
      </w:r>
      <w:r w:rsidRPr="00C35821">
        <w:t xml:space="preserve"> bekend </w:t>
      </w:r>
      <w:r>
        <w:t>als de</w:t>
      </w:r>
      <w:r w:rsidRPr="00C35821">
        <w:t xml:space="preserve"> Innovation Impact Challenge</w:t>
      </w:r>
      <w:r>
        <w:t>, en zet ik uiteen hoe ik hier opvolging aan geef. Doel van de evaluatie was tweeledig</w:t>
      </w:r>
      <w:r w:rsidRPr="00C35821">
        <w:t xml:space="preserve">. </w:t>
      </w:r>
      <w:r>
        <w:t>Enerzijds</w:t>
      </w:r>
      <w:r w:rsidRPr="00C35821">
        <w:t xml:space="preserve"> </w:t>
      </w:r>
      <w:r>
        <w:t xml:space="preserve">was dit </w:t>
      </w:r>
      <w:r w:rsidRPr="00C35821">
        <w:t>inzicht verkrijgen in de doeltreffendheid en doelmatigheid van SBIR als instrument</w:t>
      </w:r>
      <w:r>
        <w:t>, d</w:t>
      </w:r>
      <w:r w:rsidRPr="00C35821">
        <w:t xml:space="preserve">aarnaast </w:t>
      </w:r>
      <w:r>
        <w:t xml:space="preserve">was dit inzicht verkrijgen </w:t>
      </w:r>
      <w:r w:rsidRPr="00C35821">
        <w:t xml:space="preserve">in de </w:t>
      </w:r>
      <w:r>
        <w:t xml:space="preserve">mate waarin de </w:t>
      </w:r>
      <w:r w:rsidRPr="00C35821">
        <w:t xml:space="preserve">cofinanciering </w:t>
      </w:r>
      <w:r>
        <w:t xml:space="preserve">beschikbaar gesteld door </w:t>
      </w:r>
      <w:r w:rsidRPr="00C35821">
        <w:t xml:space="preserve">het ministerie </w:t>
      </w:r>
      <w:r>
        <w:t>van EZK</w:t>
      </w:r>
      <w:r w:rsidRPr="00C35821">
        <w:t xml:space="preserve"> doeltreffend en doelmatig was.</w:t>
      </w:r>
      <w:r>
        <w:t xml:space="preserve"> </w:t>
      </w:r>
      <w:r w:rsidRPr="00C35821">
        <w:t xml:space="preserve">De evaluatie is uitgevoerd door de Rijksdienst voor Ondernemend Nederland (RVO) en is gevalideerd door een externe deskundige. </w:t>
      </w:r>
    </w:p>
    <w:p w:rsidRPr="00C35821" w:rsidR="002366F1" w:rsidP="00887B9F" w:rsidRDefault="002366F1" w14:paraId="3BFEE4FD" w14:textId="0FD39F48"/>
    <w:p w:rsidRPr="00C35821" w:rsidR="002366F1" w:rsidP="00887B9F" w:rsidRDefault="002366F1" w14:paraId="3CA3A34A" w14:textId="77777777">
      <w:r w:rsidRPr="00C35821">
        <w:rPr>
          <w:i/>
          <w:iCs/>
        </w:rPr>
        <w:t>Werking van het instrument</w:t>
      </w:r>
      <w:r w:rsidRPr="00C35821">
        <w:t> </w:t>
      </w:r>
    </w:p>
    <w:p w:rsidRPr="00C35821" w:rsidR="002366F1" w:rsidP="00887B9F" w:rsidRDefault="002366F1" w14:paraId="07EB25CA" w14:textId="13388B45">
      <w:r>
        <w:t>SBIR/Innovation Impact Challenge is een innovatiecompetitie waarmee een aanbestedende dienst als opdrachtgever een maatschappelijk vraagstuk in de markt zet en bedrijven, mkb of anderszins, worden uitgedaagd hiervoor een innovatieve oplossing te bedenken en desgevraagd te ontwikkelen. Het is geen (EZ-) subsidieregeling, maar een mogelijkheid binnen de aanbestedingswet om innovatie te stimuleren, via pre-commerciële inkoop (PCP) procedures. De competitie bestaat uit twee fases, een haalbaarheidsonderzoek door een groter aantal bedrijven naar mogelijke oplossingen, gevolgd door de ontwikkeling van een prototype door een kleiner aantal bedrijven. Voor beide fases stelt de opdrachtgever middelen beschikbaar.</w:t>
      </w:r>
    </w:p>
    <w:p w:rsidRPr="00C35821" w:rsidR="002366F1" w:rsidP="00887B9F" w:rsidRDefault="002366F1" w14:paraId="631571A6" w14:textId="77777777"/>
    <w:p w:rsidRPr="00C35821" w:rsidR="002366F1" w:rsidP="00887B9F" w:rsidRDefault="002366F1" w14:paraId="67A0C1FC" w14:textId="7B33D57A">
      <w:r w:rsidRPr="00C35821">
        <w:t xml:space="preserve">Doel van het instrument is om </w:t>
      </w:r>
      <w:r>
        <w:t xml:space="preserve">nieuwe, </w:t>
      </w:r>
      <w:r w:rsidRPr="00C35821">
        <w:t xml:space="preserve">innovatieve oplossingen voor actuele vraagstukken in het publieke domein te </w:t>
      </w:r>
      <w:r>
        <w:t>stimuleren</w:t>
      </w:r>
      <w:r w:rsidRPr="00C35821">
        <w:t xml:space="preserve"> </w:t>
      </w:r>
      <w:r>
        <w:t xml:space="preserve">en daarbij </w:t>
      </w:r>
      <w:r w:rsidRPr="00C35821">
        <w:t xml:space="preserve">het innovatiepotentieel van het bedrijfsleven te benutten. Daarbij kan de overheid optreden als </w:t>
      </w:r>
      <w:r w:rsidRPr="00C35821">
        <w:rPr>
          <w:i/>
          <w:iCs/>
        </w:rPr>
        <w:t>‘launching customer’</w:t>
      </w:r>
      <w:r w:rsidRPr="00C35821">
        <w:t xml:space="preserve"> en een markt creëren voor innovatieve bedrijven, wat verdere ontwikkeling en brede marktadoptie ondersteunt. Een inkoopverplichting kent SBIR/Innovation Impact Challenge niet. Dat betekent dat er geen sprake is van gegarandeerde afname door de overheid na afloop van het traject. </w:t>
      </w:r>
      <w:r>
        <w:t xml:space="preserve">Ondernemers dienen in hun plan wel mee te nemen hoe de innovatie ook buiten de overheid vermarkt kan worden. </w:t>
      </w:r>
      <w:r w:rsidRPr="00C35821">
        <w:t>De aanbestedende dienst (opdrachtgever) stelt in beginsel het budget beschikbaar voor beide fases van het traject</w:t>
      </w:r>
      <w:r>
        <w:t>. In</w:t>
      </w:r>
      <w:r w:rsidRPr="00C35821">
        <w:t xml:space="preserve"> de periode 201</w:t>
      </w:r>
      <w:r w:rsidR="00CF7684">
        <w:t>7</w:t>
      </w:r>
      <w:r w:rsidRPr="00C35821">
        <w:t>-202</w:t>
      </w:r>
      <w:r w:rsidR="00CF7684">
        <w:t>2</w:t>
      </w:r>
      <w:r w:rsidRPr="00C35821">
        <w:t xml:space="preserve"> heeft het ministerie van</w:t>
      </w:r>
      <w:r>
        <w:t xml:space="preserve"> EZK € 11,5 miljoen </w:t>
      </w:r>
      <w:r w:rsidRPr="00C35821">
        <w:lastRenderedPageBreak/>
        <w:t xml:space="preserve">beschikbaar gesteld ter cofinanciering van het budget </w:t>
      </w:r>
      <w:r>
        <w:t>van</w:t>
      </w:r>
      <w:r w:rsidRPr="00C35821">
        <w:t xml:space="preserve"> aanbestedende diensten voor een SBIR</w:t>
      </w:r>
      <w:r>
        <w:t>/Innovation Impact Challenge.</w:t>
      </w:r>
      <w:r>
        <w:rPr>
          <w:rStyle w:val="Voetnootmarkering"/>
        </w:rPr>
        <w:footnoteReference w:id="1"/>
      </w:r>
    </w:p>
    <w:p w:rsidRPr="00C35821" w:rsidR="002366F1" w:rsidP="00887B9F" w:rsidRDefault="002366F1" w14:paraId="1D3EBDAF" w14:textId="77777777">
      <w:r w:rsidRPr="00C35821">
        <w:t> </w:t>
      </w:r>
    </w:p>
    <w:p w:rsidRPr="002366F1" w:rsidR="002366F1" w:rsidP="00887B9F" w:rsidRDefault="002366F1" w14:paraId="0AFFB3F3" w14:textId="0D4E409A">
      <w:pPr>
        <w:rPr>
          <w:i/>
          <w:iCs/>
        </w:rPr>
      </w:pPr>
      <w:r w:rsidRPr="002366F1">
        <w:rPr>
          <w:i/>
          <w:iCs/>
        </w:rPr>
        <w:t>Bevindingen</w:t>
      </w:r>
    </w:p>
    <w:p w:rsidRPr="00C35821" w:rsidR="002366F1" w:rsidP="00887B9F" w:rsidRDefault="002366F1" w14:paraId="3EBB0075" w14:textId="77777777"/>
    <w:p w:rsidRPr="00C35821" w:rsidR="002366F1" w:rsidP="00887B9F" w:rsidRDefault="002366F1" w14:paraId="270D52C2" w14:textId="411F6BD5">
      <w:r w:rsidRPr="00C35821">
        <w:rPr>
          <w:u w:val="single"/>
        </w:rPr>
        <w:t>Doeltreffendheid</w:t>
      </w:r>
      <w:r>
        <w:rPr>
          <w:u w:val="single"/>
        </w:rPr>
        <w:t xml:space="preserve"> en doelmatigheid</w:t>
      </w:r>
      <w:r w:rsidRPr="00FF713D">
        <w:rPr>
          <w:u w:val="single"/>
        </w:rPr>
        <w:t xml:space="preserve"> </w:t>
      </w:r>
      <w:r>
        <w:rPr>
          <w:u w:val="single"/>
        </w:rPr>
        <w:t>SBIR</w:t>
      </w:r>
    </w:p>
    <w:p w:rsidR="002366F1" w:rsidP="00887B9F" w:rsidRDefault="002366F1" w14:paraId="0ECBBD26" w14:textId="7BCFA244">
      <w:r w:rsidRPr="00C35821">
        <w:t xml:space="preserve">De doeltreffendheid van het instrument </w:t>
      </w:r>
      <w:r>
        <w:t>is</w:t>
      </w:r>
      <w:r w:rsidRPr="00C35821">
        <w:t xml:space="preserve"> opgedeeld in doeltreffendheid ten aanzien van het vinden van oplossingen voor het in de markt gezette maatschappelijk probleem enerzijds</w:t>
      </w:r>
      <w:r>
        <w:t>,</w:t>
      </w:r>
      <w:r w:rsidRPr="00C35821">
        <w:t xml:space="preserve"> en het stimuleren van innovatie en innovatieprestaties bij bedrijven anderzijds. </w:t>
      </w:r>
    </w:p>
    <w:p w:rsidR="002366F1" w:rsidP="00887B9F" w:rsidRDefault="002366F1" w14:paraId="392403CB" w14:textId="77777777"/>
    <w:p w:rsidR="002366F1" w:rsidP="00887B9F" w:rsidRDefault="002366F1" w14:paraId="35B243EF" w14:textId="5A59F3CE">
      <w:r w:rsidRPr="00C35821">
        <w:t>De doeltreffendheid ten aanzien van het oplossen van maatschappelijk</w:t>
      </w:r>
      <w:r>
        <w:t>e</w:t>
      </w:r>
      <w:r w:rsidRPr="00C35821">
        <w:t xml:space="preserve"> proble</w:t>
      </w:r>
      <w:r>
        <w:t>men</w:t>
      </w:r>
      <w:r w:rsidRPr="00C35821">
        <w:t xml:space="preserve"> wordt als zeer beperkt </w:t>
      </w:r>
      <w:r>
        <w:t>beoordeeld</w:t>
      </w:r>
      <w:r w:rsidRPr="00C35821">
        <w:t xml:space="preserve">. De oplossingen waren volgens de aanbestedende diensten nog vaak onvoldoende om te implementeren of toe te passen. Dit leidde ertoe dat oplossingen niet werden ingekocht en </w:t>
      </w:r>
      <w:r>
        <w:t xml:space="preserve">deels </w:t>
      </w:r>
      <w:r w:rsidRPr="00C35821">
        <w:t>ook niet op de markt w</w:t>
      </w:r>
      <w:r>
        <w:t>e</w:t>
      </w:r>
      <w:r w:rsidRPr="00C35821">
        <w:t xml:space="preserve">rden gebracht. </w:t>
      </w:r>
      <w:r w:rsidRPr="00900C83">
        <w:t xml:space="preserve">De oorzaak van de beperkte doeltreffendheid lijkt met name te liggen bij aanbestedende diensten. Genoemde oorzaken in de evaluatie zijn: onvoldoende nagedacht hebben over het vervolgtraject (inkoop) na afloop van </w:t>
      </w:r>
      <w:r>
        <w:t>de SBIR</w:t>
      </w:r>
      <w:r w:rsidRPr="00900C83">
        <w:t>, dat de aanbestedende dienst niet ook verantwoordelijk is voor de inkoop, dat het probleem na afronding</w:t>
      </w:r>
      <w:r w:rsidRPr="00C35821">
        <w:t xml:space="preserve"> van het SBIR-traject niet meer actueel is en een gebrek aan interesse vanuit aanbestedende diensten voor de oplossing. </w:t>
      </w:r>
      <w:bookmarkStart w:name="OLE_LINK1" w:id="0"/>
    </w:p>
    <w:p w:rsidR="002366F1" w:rsidP="00887B9F" w:rsidRDefault="002366F1" w14:paraId="76A5E69E" w14:textId="1DBB5D62">
      <w:r w:rsidRPr="00C35821">
        <w:t xml:space="preserve">De evaluatie laat verder zien dat de SBIR op doeltreffende wijze bijdraagt aan het stimuleren van innovatie en de ontwikkeling van nieuwe producten binnen bedrijven. </w:t>
      </w:r>
      <w:r>
        <w:t>Omdat</w:t>
      </w:r>
      <w:r w:rsidRPr="00C35821">
        <w:t xml:space="preserve"> de innovaties slechts zeer beperkt op de markt zijn gebracht</w:t>
      </w:r>
      <w:r>
        <w:t xml:space="preserve"> ten tijde van de evaluatie</w:t>
      </w:r>
      <w:r w:rsidRPr="00C35821">
        <w:t>, word</w:t>
      </w:r>
      <w:r>
        <w:t xml:space="preserve">en de </w:t>
      </w:r>
      <w:r w:rsidRPr="00C35821">
        <w:t>uiteindelijk gerealiseerde innovatieprestaties</w:t>
      </w:r>
      <w:r>
        <w:t xml:space="preserve"> toch</w:t>
      </w:r>
      <w:r w:rsidRPr="00C35821">
        <w:t xml:space="preserve"> als zeer beperkt doeltreffend beoordeeld.</w:t>
      </w:r>
      <w:bookmarkEnd w:id="0"/>
      <w:r w:rsidRPr="00C35821">
        <w:t> </w:t>
      </w:r>
    </w:p>
    <w:p w:rsidR="002366F1" w:rsidP="00887B9F" w:rsidRDefault="002366F1" w14:paraId="558D27D2" w14:textId="77777777"/>
    <w:p w:rsidR="002366F1" w:rsidP="00887B9F" w:rsidRDefault="002366F1" w14:paraId="233D76D6" w14:textId="56CFE8F7">
      <w:r w:rsidRPr="00C35821">
        <w:t xml:space="preserve">Gezien </w:t>
      </w:r>
      <w:r>
        <w:t>de</w:t>
      </w:r>
      <w:r w:rsidRPr="00C35821">
        <w:t xml:space="preserve"> beperkt</w:t>
      </w:r>
      <w:r>
        <w:t>e mate</w:t>
      </w:r>
      <w:r w:rsidRPr="00C35821">
        <w:t xml:space="preserve"> </w:t>
      </w:r>
      <w:r>
        <w:t xml:space="preserve">waarin </w:t>
      </w:r>
      <w:r w:rsidRPr="00C35821">
        <w:t>de doelstellingen van het SBIR-instrument</w:t>
      </w:r>
      <w:r>
        <w:t xml:space="preserve"> zijn bereikt </w:t>
      </w:r>
      <w:r w:rsidR="00A43BF4">
        <w:t>in</w:t>
      </w:r>
      <w:r>
        <w:t xml:space="preserve"> de evaluatieperiode</w:t>
      </w:r>
      <w:r w:rsidRPr="00C35821">
        <w:t>, is</w:t>
      </w:r>
      <w:r w:rsidR="00A43BF4">
        <w:t xml:space="preserve"> ook</w:t>
      </w:r>
      <w:r w:rsidRPr="00C35821">
        <w:t xml:space="preserve"> de doelmatigheid van het SBIR-instrument als beperkt aangeduid. Dit betreft een beoordeling van de effecten van het SBIR-instrument in verhouding tot de ingezette overheidsmiddelen.</w:t>
      </w:r>
      <w:r>
        <w:t xml:space="preserve"> </w:t>
      </w:r>
      <w:r w:rsidRPr="00C35821">
        <w:t xml:space="preserve">De geringe resultaten die uiteindelijk worden gerealiseerd bij het adresseren van maatschappelijke </w:t>
      </w:r>
      <w:r>
        <w:t>vraagstukken</w:t>
      </w:r>
      <w:r w:rsidRPr="00C35821">
        <w:t xml:space="preserve"> en het op de markt brengen van innovaties, beperken de doelmatigheid van het instrument</w:t>
      </w:r>
      <w:r w:rsidR="00094723">
        <w:t xml:space="preserve">; </w:t>
      </w:r>
      <w:r w:rsidRPr="00C35821">
        <w:t>een beoordeling van de effecten van het SBIR-instrument in verhouding tot de ingezette overheidsmiddelen. Naast de doelmatigheid van het instrument (ook wel macrodoelmatigheid)</w:t>
      </w:r>
      <w:r>
        <w:t>,</w:t>
      </w:r>
      <w:r w:rsidRPr="00C35821">
        <w:t xml:space="preserve"> is </w:t>
      </w:r>
      <w:r>
        <w:t xml:space="preserve">ook </w:t>
      </w:r>
      <w:r w:rsidRPr="00C35821">
        <w:t xml:space="preserve">de doelmatigheid van specifiek de uitvoering van het instrument </w:t>
      </w:r>
      <w:r>
        <w:t xml:space="preserve">geëvalueerd </w:t>
      </w:r>
      <w:r w:rsidRPr="00C35821">
        <w:t xml:space="preserve">(microdoelmatigheid). </w:t>
      </w:r>
      <w:r>
        <w:t>D</w:t>
      </w:r>
      <w:r w:rsidRPr="00C35821">
        <w:t xml:space="preserve">e aanbestedende diensten </w:t>
      </w:r>
      <w:r>
        <w:t xml:space="preserve">beoordelen </w:t>
      </w:r>
      <w:r w:rsidRPr="00C35821">
        <w:t>de uitvoering van het SBIR-instrument</w:t>
      </w:r>
      <w:r w:rsidRPr="00C35821" w:rsidDel="00BD27BE">
        <w:t xml:space="preserve"> </w:t>
      </w:r>
      <w:r w:rsidRPr="00C35821">
        <w:t>overwegend positief.</w:t>
      </w:r>
      <w:r>
        <w:t xml:space="preserve"> Ook deelnemende bedrijven ervaren deelname aan een SBIR positief. Ze kunnen R&amp;D uitvoeren die ze zonder een opdracht vanuit de SBIR niet hadden kunnen doen.</w:t>
      </w:r>
    </w:p>
    <w:p w:rsidR="002366F1" w:rsidP="00887B9F" w:rsidRDefault="002366F1" w14:paraId="0804B787" w14:textId="77777777">
      <w:pPr>
        <w:keepNext/>
        <w:keepLines/>
      </w:pPr>
      <w:bookmarkStart w:name="OLE_LINK2" w:id="1"/>
    </w:p>
    <w:p w:rsidRPr="00C35821" w:rsidR="002366F1" w:rsidP="00887B9F" w:rsidRDefault="002366F1" w14:paraId="380169F8" w14:textId="3C4891BF">
      <w:pPr>
        <w:keepNext/>
        <w:keepLines/>
        <w:rPr>
          <w:u w:val="single"/>
        </w:rPr>
      </w:pPr>
      <w:r w:rsidRPr="00C35821">
        <w:rPr>
          <w:u w:val="single"/>
        </w:rPr>
        <w:t>Doeltreffendheid</w:t>
      </w:r>
      <w:r>
        <w:rPr>
          <w:u w:val="single"/>
        </w:rPr>
        <w:t xml:space="preserve"> en doelmatigheid </w:t>
      </w:r>
      <w:r w:rsidRPr="00C35821">
        <w:rPr>
          <w:u w:val="single"/>
        </w:rPr>
        <w:t>van de cofinanciering</w:t>
      </w:r>
    </w:p>
    <w:p w:rsidR="002366F1" w:rsidP="00887B9F" w:rsidRDefault="002366F1" w14:paraId="294B2437" w14:textId="509C727A">
      <w:r w:rsidRPr="00C35821">
        <w:t xml:space="preserve">Uit de evaluatie blijkt dat de tijdelijke cofinanciering door het ministerie voor veel aanbestedende diensten als belangrijk is ervaren voor het starten van een SBIR-traject of de omvang </w:t>
      </w:r>
      <w:r>
        <w:t>daarvan</w:t>
      </w:r>
      <w:r w:rsidRPr="00C35821">
        <w:t>. Zonder deze bijdrage zouden veel trajecten niet van de grond zijn gekomen, of op kleinere schaal zijn uitgevoerd. De cofinanciering is daarmee doeltreffend in het stimuleren van extra SBIR-activiteit. Tegelijkertijd wordt in de evaluatie benadrukt dat de doeltreffendheid van de cofinanciering uiteindelijk afhankelijk is van de effectiviteit van het instrument zelf, en dus samenhangt met het beperkte maatschappelijke en economische effect dat in veel gevallen is waargenomen.</w:t>
      </w:r>
      <w:bookmarkEnd w:id="1"/>
      <w:r w:rsidRPr="00C35821">
        <w:t xml:space="preserve"> </w:t>
      </w:r>
    </w:p>
    <w:p w:rsidR="002366F1" w:rsidP="00887B9F" w:rsidRDefault="002366F1" w14:paraId="42B912A5" w14:textId="77777777"/>
    <w:p w:rsidRPr="00C35821" w:rsidR="002366F1" w:rsidP="00887B9F" w:rsidRDefault="002366F1" w14:paraId="510D146A" w14:textId="77777777">
      <w:r w:rsidRPr="00C35821">
        <w:t>De evaluatie laat zien dat de tijdelijke cofinanciering een belangrijke prikkel vormde voor aanbestedende diensten om een SBIR</w:t>
      </w:r>
      <w:r>
        <w:t xml:space="preserve"> </w:t>
      </w:r>
      <w:r w:rsidRPr="00C35821">
        <w:t>te starten of de omvang ervan te vergroten. Echter, gezien de beperkte doelmatigheid van het SBIR-instrument zelf wordt ook de doelmatigheid van de cofinanciering ervan als beperkt beoordeeld. De uitvoering van de cofinanciering is overwegend positief beoordeeld door de diensten</w:t>
      </w:r>
      <w:r>
        <w:t xml:space="preserve"> die een aanbesteding hebben doorlopen</w:t>
      </w:r>
      <w:r w:rsidRPr="00C35821">
        <w:t>.</w:t>
      </w:r>
    </w:p>
    <w:p w:rsidRPr="00C35821" w:rsidR="002366F1" w:rsidP="00887B9F" w:rsidRDefault="002366F1" w14:paraId="2F843220" w14:textId="77777777"/>
    <w:p w:rsidRPr="00C35821" w:rsidR="002366F1" w:rsidP="00887B9F" w:rsidRDefault="002366F1" w14:paraId="7B92DFF8" w14:textId="77777777">
      <w:pPr>
        <w:rPr>
          <w:i/>
          <w:iCs/>
        </w:rPr>
      </w:pPr>
      <w:r w:rsidRPr="00C35821">
        <w:rPr>
          <w:i/>
          <w:iCs/>
        </w:rPr>
        <w:t>Beleidsconclusies </w:t>
      </w:r>
    </w:p>
    <w:p w:rsidR="002366F1" w:rsidP="00887B9F" w:rsidRDefault="002366F1" w14:paraId="5CA4F4AF" w14:textId="77312A7B">
      <w:bookmarkStart w:name="OLE_LINK9" w:id="2"/>
      <w:r w:rsidRPr="00C35821">
        <w:t xml:space="preserve">Ik </w:t>
      </w:r>
      <w:r>
        <w:t>onderschrijf</w:t>
      </w:r>
      <w:r w:rsidRPr="00C35821">
        <w:t xml:space="preserve"> dat het instrument </w:t>
      </w:r>
      <w:r w:rsidR="00D50D3F">
        <w:t>SBIR</w:t>
      </w:r>
      <w:r>
        <w:t>,</w:t>
      </w:r>
      <w:r w:rsidRPr="00C35821">
        <w:t xml:space="preserve"> in </w:t>
      </w:r>
      <w:r>
        <w:t xml:space="preserve">de </w:t>
      </w:r>
      <w:r w:rsidRPr="00C35821">
        <w:t>opzet</w:t>
      </w:r>
      <w:r>
        <w:t xml:space="preserve"> gedurende de evaluatieperiode, </w:t>
      </w:r>
      <w:r w:rsidRPr="00C35821">
        <w:t xml:space="preserve">onvoldoende tot zijn recht </w:t>
      </w:r>
      <w:r w:rsidR="00D50D3F">
        <w:t>kwam</w:t>
      </w:r>
      <w:r w:rsidRPr="00C35821">
        <w:t>. Dat blijkt uit de evaluatie, waarin zowel de doeltreffendheid als de doelmatigheid al</w:t>
      </w:r>
      <w:r>
        <w:t>s (zeer)</w:t>
      </w:r>
      <w:r w:rsidRPr="00C35821">
        <w:t xml:space="preserve"> beperkt worden beoordeeld. </w:t>
      </w:r>
      <w:r>
        <w:t>T</w:t>
      </w:r>
      <w:r w:rsidRPr="00C35821">
        <w:t xml:space="preserve">egelijkertijd laat de praktijk zien dat de </w:t>
      </w:r>
      <w:r w:rsidR="00CB3F0E">
        <w:t>SBIR/</w:t>
      </w:r>
      <w:r w:rsidRPr="00C35821">
        <w:t>Innovation Impact Challenge onder de juiste voorwaarden w</w:t>
      </w:r>
      <w:r>
        <w:t>e</w:t>
      </w:r>
      <w:r w:rsidRPr="00C35821">
        <w:t xml:space="preserve">l waardevol kan zijn. </w:t>
      </w:r>
      <w:r>
        <w:t>S</w:t>
      </w:r>
      <w:r w:rsidRPr="00C35821">
        <w:t xml:space="preserve">oortgelijke instrumenten in het buitenland </w:t>
      </w:r>
      <w:r>
        <w:t xml:space="preserve">blijken </w:t>
      </w:r>
      <w:r w:rsidRPr="00C35821">
        <w:t>erg effectief in het realiseren van maatschappelijke impact en private R&amp;D</w:t>
      </w:r>
      <w:r>
        <w:t>-</w:t>
      </w:r>
      <w:r w:rsidRPr="00C35821">
        <w:t xml:space="preserve">investeringen. Hieruit volgt dat de beperkte impact van het instrument niet zozeer ligt </w:t>
      </w:r>
      <w:r>
        <w:t>aa</w:t>
      </w:r>
      <w:r w:rsidRPr="00C35821">
        <w:t xml:space="preserve">n </w:t>
      </w:r>
      <w:r>
        <w:t>de opzet</w:t>
      </w:r>
      <w:r w:rsidRPr="00C35821">
        <w:t>, maar vooral in een aantal structurele, institutionele keuzes over hoe het instrument is gepositioneerd binnen het stelsel voor (innovatiegericht) inkopen.</w:t>
      </w:r>
    </w:p>
    <w:p w:rsidRPr="00C35821" w:rsidR="002366F1" w:rsidP="00887B9F" w:rsidRDefault="002366F1" w14:paraId="3F4BCF2A" w14:textId="77777777"/>
    <w:p w:rsidR="002366F1" w:rsidP="00887B9F" w:rsidRDefault="002366F1" w14:paraId="5A57662F" w14:textId="17C7E0FE">
      <w:r>
        <w:t xml:space="preserve">Ten eerste is sprake van een structurele mismatch tussen de inzet van het instrument, de fase in de innovatieketen en de beschikbare schaal. Het equivalent van de Innovation Impact Challenge in andere landen wordt vaak ingezet ná een eerder ontwikkeltraject. Het instrument is in de Verenigde Staten bijvoorbeeld programmatisch ingebed in een bredere innovatieketen, waarbij fundamentele technologieontwikkeling vaak wordt ondersteund via Advanced Research Projects Agency (ARPA)-programma’s. SBIR </w:t>
      </w:r>
      <w:r w:rsidR="00D50D3F">
        <w:t>werd</w:t>
      </w:r>
      <w:r>
        <w:t xml:space="preserve"> pas daarna ingezet, als tactisch instrument om toepassing in een concrete overheidscontext mogelijk te maken. In Nederland ontbreekt vaak zo’n programmatische voorfase. Daardoor werd de </w:t>
      </w:r>
      <w:r w:rsidR="00D50D3F">
        <w:t xml:space="preserve">SBIR </w:t>
      </w:r>
      <w:r>
        <w:t>ook gebruikt voor innovaties met een beperkt toepassings- of afnameperspectief. De beschikbare middelen zijn daarbij beperkt, waardoor goed werkende prototypes vaak niet werden opgeschaald.</w:t>
      </w:r>
    </w:p>
    <w:p w:rsidRPr="00C35821" w:rsidR="002366F1" w:rsidP="00887B9F" w:rsidRDefault="002366F1" w14:paraId="65F7F070" w14:textId="77777777"/>
    <w:p w:rsidRPr="00C35821" w:rsidR="002366F1" w:rsidP="00887B9F" w:rsidRDefault="002366F1" w14:paraId="73CFF0F2" w14:textId="3D079B5E">
      <w:r w:rsidRPr="00C35821">
        <w:t xml:space="preserve">Ten tweede </w:t>
      </w:r>
      <w:r>
        <w:t>werd</w:t>
      </w:r>
      <w:r w:rsidRPr="00C35821">
        <w:t xml:space="preserve"> de </w:t>
      </w:r>
      <w:r w:rsidR="00D50D3F">
        <w:t>SBIR</w:t>
      </w:r>
      <w:r w:rsidRPr="00C35821">
        <w:t xml:space="preserve"> vaak ad hoc en vrijblijvend ingezet, zonder inbedding in een </w:t>
      </w:r>
      <w:r>
        <w:t>overkoepelende</w:t>
      </w:r>
      <w:r w:rsidRPr="00C35821">
        <w:t xml:space="preserve"> strategie.</w:t>
      </w:r>
      <w:r>
        <w:t xml:space="preserve"> De </w:t>
      </w:r>
      <w:r w:rsidRPr="00C35821">
        <w:t>OECD onderstreept</w:t>
      </w:r>
      <w:r>
        <w:t xml:space="preserve"> in</w:t>
      </w:r>
      <w:r w:rsidRPr="00C35821">
        <w:t xml:space="preserve"> </w:t>
      </w:r>
      <w:r w:rsidRPr="00C35821">
        <w:rPr>
          <w:i/>
          <w:iCs/>
        </w:rPr>
        <w:t>Public Procurement for Public Sector Innovation</w:t>
      </w:r>
      <w:r w:rsidRPr="00C35821">
        <w:t xml:space="preserve"> (2024) dat innovatiegericht inkopen sterk kan bijdragen aan economische groei, technologische vernieuwing en betere publieke dienstverlening, mits er voldoende schaal wordt georganiseerd en er structurele </w:t>
      </w:r>
      <w:r w:rsidRPr="00C35821">
        <w:lastRenderedPageBreak/>
        <w:t>leercycli worden ingericht binnen publieke organisaties</w:t>
      </w:r>
      <w:r>
        <w:t>.</w:t>
      </w:r>
      <w:r w:rsidRPr="00C35821">
        <w:rPr>
          <w:vertAlign w:val="superscript"/>
        </w:rPr>
        <w:footnoteReference w:id="2"/>
      </w:r>
      <w:r>
        <w:t xml:space="preserve"> Met de opzet van de </w:t>
      </w:r>
      <w:r w:rsidR="00D50D3F">
        <w:t>SBIR</w:t>
      </w:r>
      <w:r>
        <w:t xml:space="preserve"> was </w:t>
      </w:r>
      <w:r w:rsidRPr="00C35821">
        <w:t>het leereffect bij aanbestedende diensten</w:t>
      </w:r>
      <w:r>
        <w:t xml:space="preserve"> beperkt </w:t>
      </w:r>
      <w:r w:rsidRPr="00C35821">
        <w:t xml:space="preserve">en </w:t>
      </w:r>
      <w:r>
        <w:t xml:space="preserve">was </w:t>
      </w:r>
      <w:r w:rsidRPr="00C35821">
        <w:t xml:space="preserve">het lastig om kennis en ervaring duurzaam te verankeren in het inkoopproces. </w:t>
      </w:r>
      <w:r>
        <w:t>L</w:t>
      </w:r>
      <w:r w:rsidRPr="00C35821">
        <w:t xml:space="preserve">osstaand </w:t>
      </w:r>
      <w:r>
        <w:t xml:space="preserve">is het instrument </w:t>
      </w:r>
      <w:r w:rsidRPr="00C35821">
        <w:t>moeilijk te combineren met de gehele waardeketen en andere doelen van publieke inkoop, zoals duurzaamheid, leveringszekerheid en kostenbeheersing.</w:t>
      </w:r>
      <w:r>
        <w:t xml:space="preserve"> </w:t>
      </w:r>
      <w:r w:rsidRPr="00C35821">
        <w:t xml:space="preserve">Zonder centrale strategie en ondersteuning kan </w:t>
      </w:r>
      <w:r>
        <w:t xml:space="preserve">het instrument niet de </w:t>
      </w:r>
      <w:r w:rsidRPr="00C35821">
        <w:t>motor voor verandering zijn</w:t>
      </w:r>
      <w:r>
        <w:t>, waar het wel de potentie toe heeft.</w:t>
      </w:r>
    </w:p>
    <w:p w:rsidRPr="00C35821" w:rsidR="002366F1" w:rsidP="00887B9F" w:rsidRDefault="002366F1" w14:paraId="0B5B6236" w14:textId="77777777"/>
    <w:p w:rsidRPr="00C35821" w:rsidR="002366F1" w:rsidP="00887B9F" w:rsidRDefault="002366F1" w14:paraId="4BD3737B" w14:textId="615FCD9F">
      <w:r w:rsidRPr="00C35821">
        <w:t xml:space="preserve">Ten derde </w:t>
      </w:r>
      <w:r>
        <w:t xml:space="preserve">zijn </w:t>
      </w:r>
      <w:r w:rsidRPr="00C35821">
        <w:t>de baten van een Challenge verspreid, maar de kosten geconcentreerd. Omdat de relatief hoge kosten van een innovatiegericht aanbestedingstraject nu bij één partij liggen</w:t>
      </w:r>
      <w:r>
        <w:t xml:space="preserve"> na het aflopen van de cofinanciering</w:t>
      </w:r>
      <w:r w:rsidRPr="00C35821">
        <w:t>, is de prikkel tot starten/gebruikmaken van een</w:t>
      </w:r>
      <w:r>
        <w:t xml:space="preserve"> </w:t>
      </w:r>
      <w:r w:rsidRPr="00C35821">
        <w:t xml:space="preserve">traject van de Innovation Impact Challenge voor een aanbestedende dienst </w:t>
      </w:r>
      <w:r>
        <w:t xml:space="preserve">mogelijk </w:t>
      </w:r>
      <w:r w:rsidRPr="00C35821">
        <w:t>beperkt.</w:t>
      </w:r>
    </w:p>
    <w:bookmarkEnd w:id="2"/>
    <w:p w:rsidRPr="00C35821" w:rsidR="002366F1" w:rsidP="00887B9F" w:rsidRDefault="002366F1" w14:paraId="0A020290" w14:textId="77777777"/>
    <w:p w:rsidRPr="00C35821" w:rsidR="002366F1" w:rsidP="00887B9F" w:rsidRDefault="002366F1" w14:paraId="2ADAC57C" w14:textId="5A4EB799">
      <w:r w:rsidRPr="00C35821">
        <w:t xml:space="preserve">Gezien de conclusies van de evaluatie </w:t>
      </w:r>
      <w:r>
        <w:t>is</w:t>
      </w:r>
      <w:r w:rsidRPr="00C35821">
        <w:t xml:space="preserve"> het </w:t>
      </w:r>
      <w:r>
        <w:t>belangrijk</w:t>
      </w:r>
      <w:r w:rsidRPr="00C35821">
        <w:t xml:space="preserve"> </w:t>
      </w:r>
      <w:r>
        <w:t xml:space="preserve">verbeteringen door te voeren ten behoeve van de doeltreffendheid van </w:t>
      </w:r>
      <w:r w:rsidRPr="00C35821">
        <w:t>de Innovation Impact Challenge.</w:t>
      </w:r>
      <w:r>
        <w:t xml:space="preserve"> </w:t>
      </w:r>
      <w:r w:rsidRPr="00C35821">
        <w:t xml:space="preserve">Op de korte termijn </w:t>
      </w:r>
      <w:r>
        <w:t>zijn</w:t>
      </w:r>
      <w:r w:rsidRPr="00C35821">
        <w:t xml:space="preserve"> de aanbevelingen uit de evaluatie opgevolgd binnen de bestaande inrichting en positionering van het instrument. </w:t>
      </w:r>
      <w:r>
        <w:t xml:space="preserve">Al voor de </w:t>
      </w:r>
      <w:r w:rsidRPr="00C35821">
        <w:t xml:space="preserve">evaluatie </w:t>
      </w:r>
      <w:r>
        <w:t xml:space="preserve">en ook daarna </w:t>
      </w:r>
      <w:r w:rsidRPr="00C35821">
        <w:t xml:space="preserve">zijn door RVO verbeteringen in gang gezet, onder meer gericht </w:t>
      </w:r>
      <w:bookmarkStart w:name="_Hlk218690970" w:id="3"/>
      <w:r w:rsidRPr="00C35821">
        <w:t>op de thematische uitwerking van calls, intensievere betrokkenheid van stakeholders in de ontwerpfase en betere zichtbaarheid van resultaten.</w:t>
      </w:r>
      <w:bookmarkEnd w:id="3"/>
      <w:r w:rsidRPr="00C35821">
        <w:t xml:space="preserve"> Daarnaast werkt RVO samen met aanbestedende diensten aan het verbeteren van de opvolging van uitgevoerde trajecten, onder meer door actiever de aansluiting te zoeken bij potentiële afnemers van ontwikkelde oplossingen. Ook wordt ingezet op het actief verwijzen naar vervolginstrumenten die ondernemers kunnen ondersteunen bij opschaling en markttoetreding.</w:t>
      </w:r>
    </w:p>
    <w:p w:rsidRPr="00C35821" w:rsidR="002366F1" w:rsidP="00887B9F" w:rsidRDefault="002366F1" w14:paraId="25D6ED28" w14:textId="77777777"/>
    <w:p w:rsidRPr="00C35821" w:rsidR="002366F1" w:rsidP="00887B9F" w:rsidRDefault="002366F1" w14:paraId="4154D978" w14:textId="77908C28">
      <w:r w:rsidRPr="00C35821">
        <w:t xml:space="preserve">Parallel aan deze uitvoeringsmaatregelen heeft een ambtelijke projectgroep, </w:t>
      </w:r>
      <w:r>
        <w:t>volgend op</w:t>
      </w:r>
      <w:r w:rsidRPr="00C35821">
        <w:t xml:space="preserve"> het 3%</w:t>
      </w:r>
      <w:r>
        <w:t>-</w:t>
      </w:r>
      <w:r w:rsidRPr="00C35821">
        <w:t>R&amp;D-actieplan,</w:t>
      </w:r>
      <w:r>
        <w:rPr>
          <w:rStyle w:val="Voetnootmarkering"/>
        </w:rPr>
        <w:footnoteReference w:id="3"/>
      </w:r>
      <w:r w:rsidRPr="00C35821">
        <w:t xml:space="preserve"> een verkenning uitgevoerd naar de oprichting van een Nationaal Agentschap voor Disruptieve Innovatie (NADI)</w:t>
      </w:r>
      <w:r>
        <w:t>.</w:t>
      </w:r>
      <w:r w:rsidRPr="00C35821">
        <w:rPr>
          <w:vertAlign w:val="superscript"/>
        </w:rPr>
        <w:footnoteReference w:id="4"/>
      </w:r>
      <w:r w:rsidRPr="00C35821">
        <w:t xml:space="preserve"> Uit de verkenning komt naar voren dat NADI de functie van de Innovation Impact Challenge </w:t>
      </w:r>
      <w:r>
        <w:t>effectiever kan gebruiken</w:t>
      </w:r>
      <w:r w:rsidRPr="00C35821">
        <w:t xml:space="preserve"> en op grotere schaal kan inzetten, met een sterkere programmatische inbedding en koppeling aan publieke inkoop. De uitwerking hiervan wordt meegenomen in de oprichting van NADI, </w:t>
      </w:r>
      <w:r>
        <w:t>aangekondigd</w:t>
      </w:r>
      <w:r w:rsidRPr="00C35821">
        <w:t xml:space="preserve"> </w:t>
      </w:r>
      <w:r>
        <w:t xml:space="preserve">in </w:t>
      </w:r>
      <w:r w:rsidRPr="00C35821">
        <w:t>het coalitieakkoord.</w:t>
      </w:r>
    </w:p>
    <w:p w:rsidR="002366F1" w:rsidP="00887B9F" w:rsidRDefault="002366F1" w14:paraId="6F27A470" w14:textId="77777777"/>
    <w:p w:rsidR="002366F1" w:rsidP="00887B9F" w:rsidRDefault="002366F1" w14:paraId="679E340D" w14:textId="77777777"/>
    <w:p w:rsidR="002366F1" w:rsidP="00887B9F" w:rsidRDefault="002366F1" w14:paraId="33475EBB" w14:textId="77777777"/>
    <w:p w:rsidR="002366F1" w:rsidP="00887B9F" w:rsidRDefault="002366F1" w14:paraId="03C5EA05" w14:textId="77777777"/>
    <w:p w:rsidRPr="00591E4A" w:rsidR="00C90702" w:rsidP="00887B9F" w:rsidRDefault="00CB3F0E" w14:paraId="49D21A86" w14:textId="77777777">
      <w:pPr>
        <w:rPr>
          <w:szCs w:val="18"/>
        </w:rPr>
      </w:pPr>
      <w:r>
        <w:rPr>
          <w:szCs w:val="18"/>
        </w:rPr>
        <w:t>Heleen Herbert</w:t>
      </w:r>
    </w:p>
    <w:p w:rsidR="00BD2D73" w:rsidP="00887B9F" w:rsidRDefault="00CB3F0E" w14:paraId="546FC7B3" w14:textId="7516B398">
      <w:r w:rsidRPr="005C65B5">
        <w:t>Minister van Economische Zaken</w:t>
      </w:r>
      <w:r w:rsidR="00F12C95">
        <w:t xml:space="preserve"> en Klimaat</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263F" w14:textId="77777777" w:rsidR="00520994" w:rsidRDefault="00520994">
      <w:r>
        <w:separator/>
      </w:r>
    </w:p>
    <w:p w14:paraId="07C928FD" w14:textId="77777777" w:rsidR="00520994" w:rsidRDefault="00520994"/>
  </w:endnote>
  <w:endnote w:type="continuationSeparator" w:id="0">
    <w:p w14:paraId="78700B2F" w14:textId="77777777" w:rsidR="00520994" w:rsidRDefault="00520994">
      <w:r>
        <w:continuationSeparator/>
      </w:r>
    </w:p>
    <w:p w14:paraId="7D6A033B" w14:textId="77777777" w:rsidR="00520994" w:rsidRDefault="00520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58C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55254" w14:paraId="1DC3698D" w14:textId="77777777" w:rsidTr="00CA6A25">
      <w:trPr>
        <w:trHeight w:hRule="exact" w:val="240"/>
      </w:trPr>
      <w:tc>
        <w:tcPr>
          <w:tcW w:w="7601" w:type="dxa"/>
        </w:tcPr>
        <w:p w14:paraId="6D856140" w14:textId="77777777" w:rsidR="00527BD4" w:rsidRDefault="00527BD4" w:rsidP="003F1F6B">
          <w:pPr>
            <w:pStyle w:val="Huisstijl-Rubricering"/>
          </w:pPr>
        </w:p>
      </w:tc>
      <w:tc>
        <w:tcPr>
          <w:tcW w:w="2156" w:type="dxa"/>
        </w:tcPr>
        <w:p w14:paraId="30F0B7AE" w14:textId="1E734038" w:rsidR="00527BD4" w:rsidRPr="00645414" w:rsidRDefault="00CB3F0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D19A6">
            <w:t>4</w:t>
          </w:r>
          <w:r w:rsidR="004425CC">
            <w:fldChar w:fldCharType="end"/>
          </w:r>
        </w:p>
      </w:tc>
    </w:tr>
  </w:tbl>
  <w:p w14:paraId="6CB509C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55254" w14:paraId="07077860" w14:textId="77777777" w:rsidTr="00CA6A25">
      <w:trPr>
        <w:trHeight w:hRule="exact" w:val="240"/>
      </w:trPr>
      <w:tc>
        <w:tcPr>
          <w:tcW w:w="7601" w:type="dxa"/>
        </w:tcPr>
        <w:p w14:paraId="63D6E766" w14:textId="77777777" w:rsidR="00527BD4" w:rsidRDefault="00527BD4" w:rsidP="008C356D">
          <w:pPr>
            <w:pStyle w:val="Huisstijl-Rubricering"/>
          </w:pPr>
        </w:p>
      </w:tc>
      <w:tc>
        <w:tcPr>
          <w:tcW w:w="2170" w:type="dxa"/>
        </w:tcPr>
        <w:p w14:paraId="46780FEB" w14:textId="5EC4AABA" w:rsidR="00527BD4" w:rsidRPr="00ED539E" w:rsidRDefault="00CB3F0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0D19A6">
            <w:t>4</w:t>
          </w:r>
          <w:r w:rsidR="00A13FBD">
            <w:fldChar w:fldCharType="end"/>
          </w:r>
        </w:p>
      </w:tc>
    </w:tr>
  </w:tbl>
  <w:p w14:paraId="44A1B1B9" w14:textId="77777777" w:rsidR="00527BD4" w:rsidRPr="00BC3B53" w:rsidRDefault="00527BD4" w:rsidP="008C356D">
    <w:pPr>
      <w:pStyle w:val="Voettekst"/>
      <w:spacing w:line="240" w:lineRule="auto"/>
      <w:rPr>
        <w:sz w:val="2"/>
        <w:szCs w:val="2"/>
      </w:rPr>
    </w:pPr>
  </w:p>
  <w:p w14:paraId="0A2BDE8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5CD7" w14:textId="77777777" w:rsidR="00520994" w:rsidRDefault="00520994">
      <w:r>
        <w:separator/>
      </w:r>
    </w:p>
    <w:p w14:paraId="0401782E" w14:textId="77777777" w:rsidR="00520994" w:rsidRDefault="00520994"/>
  </w:footnote>
  <w:footnote w:type="continuationSeparator" w:id="0">
    <w:p w14:paraId="1B5C404E" w14:textId="77777777" w:rsidR="00520994" w:rsidRDefault="00520994">
      <w:r>
        <w:continuationSeparator/>
      </w:r>
    </w:p>
    <w:p w14:paraId="3D1BA1B7" w14:textId="77777777" w:rsidR="00520994" w:rsidRDefault="00520994"/>
  </w:footnote>
  <w:footnote w:id="1">
    <w:p w14:paraId="5C859402" w14:textId="77777777" w:rsidR="002366F1" w:rsidRDefault="002366F1" w:rsidP="002366F1">
      <w:pPr>
        <w:pStyle w:val="Voetnoottekst"/>
      </w:pPr>
      <w:r>
        <w:rPr>
          <w:rStyle w:val="Voetnootmarkering"/>
        </w:rPr>
        <w:footnoteRef/>
      </w:r>
      <w:r>
        <w:t xml:space="preserve"> In twee gevallen zijn met deze middelen Innovatiepartnerschappen van cofinanciering voorzien. Innovatiepartnerschappen lijken op de Innovatie Impact Challenge, maar vereisen sterker commitment aan afname van de oplossing. Ten tijde van de evaluatie was er nog te weinig ervaring met deze partnerschappen om ze volledig mee te nemen, waardoor de focus ligt op de SBIR/Innovatie Impact Challenge. </w:t>
      </w:r>
    </w:p>
  </w:footnote>
  <w:footnote w:id="2">
    <w:p w14:paraId="4A8281FE" w14:textId="77777777" w:rsidR="002366F1" w:rsidRPr="00C35821" w:rsidRDefault="002366F1" w:rsidP="002366F1">
      <w:pPr>
        <w:pStyle w:val="Voetnoottekst"/>
        <w:rPr>
          <w:lang w:val="en-US"/>
        </w:rPr>
      </w:pPr>
      <w:r w:rsidRPr="002366F1">
        <w:rPr>
          <w:rStyle w:val="Voetnootmarkering"/>
          <w:szCs w:val="13"/>
        </w:rPr>
        <w:footnoteRef/>
      </w:r>
      <w:r w:rsidRPr="009F12CA">
        <w:rPr>
          <w:sz w:val="16"/>
          <w:szCs w:val="16"/>
          <w:lang w:val="en-US"/>
        </w:rPr>
        <w:t xml:space="preserve"> </w:t>
      </w:r>
      <w:r w:rsidRPr="002366F1">
        <w:rPr>
          <w:szCs w:val="13"/>
          <w:lang w:val="en-US"/>
        </w:rPr>
        <w:t>OECD (2024). Public Procurement for Innovation: Good Practices and Strategies for the Public Sector.</w:t>
      </w:r>
    </w:p>
  </w:footnote>
  <w:footnote w:id="3">
    <w:p w14:paraId="0BC1BF2C" w14:textId="77777777" w:rsidR="002366F1" w:rsidRDefault="002366F1" w:rsidP="002366F1">
      <w:pPr>
        <w:pStyle w:val="Voetnoottekst"/>
      </w:pPr>
      <w:r>
        <w:rPr>
          <w:rStyle w:val="Voetnootmarkering"/>
        </w:rPr>
        <w:footnoteRef/>
      </w:r>
      <w:r>
        <w:t xml:space="preserve"> Kamerstukken II 2024-2025, 33 009, nr. 165. </w:t>
      </w:r>
    </w:p>
  </w:footnote>
  <w:footnote w:id="4">
    <w:p w14:paraId="22CFC2EB" w14:textId="4B363727" w:rsidR="002366F1" w:rsidRDefault="002366F1" w:rsidP="002366F1">
      <w:pPr>
        <w:pStyle w:val="Voetnoottekst"/>
      </w:pPr>
      <w:r w:rsidRPr="002366F1">
        <w:rPr>
          <w:rStyle w:val="Voetnootmarkering"/>
        </w:rPr>
        <w:footnoteRef/>
      </w:r>
      <w:r w:rsidRPr="009F12CA">
        <w:rPr>
          <w:sz w:val="16"/>
          <w:szCs w:val="16"/>
        </w:rPr>
        <w:t xml:space="preserve"> </w:t>
      </w:r>
      <w:r w:rsidRPr="002366F1">
        <w:t>Kamerstukken II 2025-2026, 33 009,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55254" w14:paraId="6EBA612B" w14:textId="77777777" w:rsidTr="00A50CF6">
      <w:tc>
        <w:tcPr>
          <w:tcW w:w="2156" w:type="dxa"/>
        </w:tcPr>
        <w:p w14:paraId="4EBAC8E9" w14:textId="77777777" w:rsidR="00527BD4" w:rsidRPr="005819CE" w:rsidRDefault="00CB3F0E" w:rsidP="00A50CF6">
          <w:pPr>
            <w:pStyle w:val="Huisstijl-Adres"/>
            <w:rPr>
              <w:b/>
            </w:rPr>
          </w:pPr>
          <w:r>
            <w:rPr>
              <w:b/>
            </w:rPr>
            <w:t>Directoraat-generaal Bedrijfsleven &amp; Innovatie</w:t>
          </w:r>
          <w:r w:rsidRPr="005819CE">
            <w:rPr>
              <w:b/>
            </w:rPr>
            <w:br/>
          </w:r>
        </w:p>
      </w:tc>
    </w:tr>
    <w:tr w:rsidR="00655254" w14:paraId="3946D0D2" w14:textId="77777777" w:rsidTr="00A50CF6">
      <w:trPr>
        <w:trHeight w:hRule="exact" w:val="200"/>
      </w:trPr>
      <w:tc>
        <w:tcPr>
          <w:tcW w:w="2156" w:type="dxa"/>
        </w:tcPr>
        <w:p w14:paraId="7F2E963E" w14:textId="77777777" w:rsidR="00527BD4" w:rsidRPr="005819CE" w:rsidRDefault="00527BD4" w:rsidP="00A50CF6"/>
      </w:tc>
    </w:tr>
    <w:tr w:rsidR="00655254" w14:paraId="3D26B72C" w14:textId="77777777" w:rsidTr="00502512">
      <w:trPr>
        <w:trHeight w:hRule="exact" w:val="774"/>
      </w:trPr>
      <w:tc>
        <w:tcPr>
          <w:tcW w:w="2156" w:type="dxa"/>
        </w:tcPr>
        <w:p w14:paraId="6CC5CB59" w14:textId="77777777" w:rsidR="00527BD4" w:rsidRDefault="00CB3F0E" w:rsidP="003A5290">
          <w:pPr>
            <w:pStyle w:val="Huisstijl-Kopje"/>
          </w:pPr>
          <w:r>
            <w:t>Ons kenmerk</w:t>
          </w:r>
        </w:p>
        <w:p w14:paraId="7B1704F9" w14:textId="77777777" w:rsidR="00527BD4" w:rsidRPr="005819CE" w:rsidRDefault="00CB3F0E" w:rsidP="004425CC">
          <w:pPr>
            <w:pStyle w:val="Huisstijl-Kopje"/>
          </w:pPr>
          <w:r>
            <w:rPr>
              <w:b w:val="0"/>
            </w:rPr>
            <w:t>DGBI</w:t>
          </w:r>
          <w:r w:rsidRPr="00502512">
            <w:rPr>
              <w:b w:val="0"/>
            </w:rPr>
            <w:t xml:space="preserve"> / </w:t>
          </w:r>
          <w:r>
            <w:rPr>
              <w:b w:val="0"/>
            </w:rPr>
            <w:t>106112848</w:t>
          </w:r>
        </w:p>
      </w:tc>
    </w:tr>
  </w:tbl>
  <w:p w14:paraId="114DF06C" w14:textId="77777777" w:rsidR="00527BD4" w:rsidRDefault="00527BD4" w:rsidP="008C356D">
    <w:pPr>
      <w:pStyle w:val="Koptekst"/>
      <w:rPr>
        <w:rFonts w:cs="Verdana-Bold"/>
        <w:b/>
        <w:bCs/>
        <w:smallCaps/>
        <w:szCs w:val="18"/>
      </w:rPr>
    </w:pPr>
  </w:p>
  <w:p w14:paraId="760D261D" w14:textId="77777777" w:rsidR="00527BD4" w:rsidRDefault="00527BD4" w:rsidP="008C356D"/>
  <w:p w14:paraId="717C204A" w14:textId="77777777" w:rsidR="00527BD4" w:rsidRPr="00740712" w:rsidRDefault="00527BD4" w:rsidP="008C356D"/>
  <w:p w14:paraId="41EFBD87" w14:textId="77777777" w:rsidR="00527BD4" w:rsidRPr="00217880" w:rsidRDefault="00527BD4" w:rsidP="008C356D">
    <w:pPr>
      <w:spacing w:line="0" w:lineRule="atLeast"/>
      <w:rPr>
        <w:sz w:val="2"/>
        <w:szCs w:val="2"/>
      </w:rPr>
    </w:pPr>
  </w:p>
  <w:p w14:paraId="2546CD9E" w14:textId="77777777" w:rsidR="00527BD4" w:rsidRDefault="00527BD4" w:rsidP="004F44C2">
    <w:pPr>
      <w:pStyle w:val="Koptekst"/>
      <w:rPr>
        <w:rFonts w:cs="Verdana-Bold"/>
        <w:b/>
        <w:bCs/>
        <w:smallCaps/>
        <w:szCs w:val="18"/>
      </w:rPr>
    </w:pPr>
  </w:p>
  <w:p w14:paraId="284AFD9E" w14:textId="77777777" w:rsidR="00527BD4" w:rsidRDefault="00527BD4" w:rsidP="004F44C2"/>
  <w:p w14:paraId="5FF05A5B" w14:textId="77777777" w:rsidR="00527BD4" w:rsidRPr="00740712" w:rsidRDefault="00527BD4" w:rsidP="004F44C2"/>
  <w:p w14:paraId="22C74B9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55254" w14:paraId="52657EB2" w14:textId="77777777" w:rsidTr="00751A6A">
      <w:trPr>
        <w:trHeight w:val="2636"/>
      </w:trPr>
      <w:tc>
        <w:tcPr>
          <w:tcW w:w="737" w:type="dxa"/>
        </w:tcPr>
        <w:p w14:paraId="34F5AFFC" w14:textId="77777777" w:rsidR="00527BD4" w:rsidRDefault="00527BD4" w:rsidP="00D0609E">
          <w:pPr>
            <w:framePr w:w="6340" w:h="2750" w:hRule="exact" w:hSpace="180" w:wrap="around" w:vAnchor="page" w:hAnchor="text" w:x="3873" w:y="-140"/>
            <w:spacing w:line="240" w:lineRule="auto"/>
          </w:pPr>
        </w:p>
      </w:tc>
      <w:tc>
        <w:tcPr>
          <w:tcW w:w="5156" w:type="dxa"/>
        </w:tcPr>
        <w:p w14:paraId="506D2FA3" w14:textId="77777777" w:rsidR="00527BD4" w:rsidRDefault="00CB3F0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7FFB7C7" wp14:editId="383A391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7C958EF" w14:textId="77777777" w:rsidR="007269E3" w:rsidRDefault="007269E3" w:rsidP="00651CEE">
          <w:pPr>
            <w:framePr w:w="6340" w:h="2750" w:hRule="exact" w:hSpace="180" w:wrap="around" w:vAnchor="page" w:hAnchor="text" w:x="3873" w:y="-140"/>
            <w:spacing w:line="240" w:lineRule="auto"/>
          </w:pPr>
        </w:p>
      </w:tc>
    </w:tr>
  </w:tbl>
  <w:p w14:paraId="1ABA6382" w14:textId="77777777" w:rsidR="00527BD4" w:rsidRDefault="00527BD4" w:rsidP="00D0609E">
    <w:pPr>
      <w:framePr w:w="6340" w:h="2750" w:hRule="exact" w:hSpace="180" w:wrap="around" w:vAnchor="page" w:hAnchor="text" w:x="3873" w:y="-140"/>
    </w:pPr>
  </w:p>
  <w:p w14:paraId="7B883A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55254" w14:paraId="26320023" w14:textId="77777777" w:rsidTr="00A50CF6">
      <w:tc>
        <w:tcPr>
          <w:tcW w:w="2160" w:type="dxa"/>
        </w:tcPr>
        <w:p w14:paraId="3445D798" w14:textId="77777777" w:rsidR="00527BD4" w:rsidRPr="005819CE" w:rsidRDefault="00CB3F0E" w:rsidP="00A50CF6">
          <w:pPr>
            <w:pStyle w:val="Huisstijl-Adres"/>
            <w:rPr>
              <w:b/>
            </w:rPr>
          </w:pPr>
          <w:r>
            <w:rPr>
              <w:b/>
            </w:rPr>
            <w:t>Directoraat-generaal Bedrijfsleven &amp; Innovatie</w:t>
          </w:r>
          <w:r w:rsidRPr="005819CE">
            <w:rPr>
              <w:b/>
            </w:rPr>
            <w:br/>
          </w:r>
        </w:p>
        <w:p w14:paraId="766CB05E" w14:textId="77777777" w:rsidR="00527BD4" w:rsidRPr="00BE5ED9" w:rsidRDefault="00CB3F0E" w:rsidP="00A50CF6">
          <w:pPr>
            <w:pStyle w:val="Huisstijl-Adres"/>
          </w:pPr>
          <w:r>
            <w:rPr>
              <w:b/>
            </w:rPr>
            <w:t>Bezoekadres</w:t>
          </w:r>
          <w:r>
            <w:rPr>
              <w:b/>
            </w:rPr>
            <w:br/>
          </w:r>
          <w:r>
            <w:t>Bezuidenhoutseweg 73</w:t>
          </w:r>
          <w:r w:rsidRPr="005819CE">
            <w:br/>
          </w:r>
          <w:r>
            <w:t>2594 AC Den Haag</w:t>
          </w:r>
        </w:p>
        <w:p w14:paraId="42B6F14C" w14:textId="77777777" w:rsidR="00EF495B" w:rsidRDefault="00CB3F0E" w:rsidP="0098788A">
          <w:pPr>
            <w:pStyle w:val="Huisstijl-Adres"/>
          </w:pPr>
          <w:r>
            <w:rPr>
              <w:b/>
            </w:rPr>
            <w:t>Postadres</w:t>
          </w:r>
          <w:r>
            <w:rPr>
              <w:b/>
            </w:rPr>
            <w:br/>
          </w:r>
          <w:r>
            <w:t>Postbus 20401</w:t>
          </w:r>
          <w:r w:rsidRPr="005819CE">
            <w:br/>
            <w:t>2500 E</w:t>
          </w:r>
          <w:r>
            <w:t>K</w:t>
          </w:r>
          <w:r w:rsidRPr="005819CE">
            <w:t xml:space="preserve"> Den Haag</w:t>
          </w:r>
        </w:p>
        <w:p w14:paraId="7F53C0DB" w14:textId="77777777" w:rsidR="00EF495B" w:rsidRPr="005B3814" w:rsidRDefault="00CB3F0E" w:rsidP="0098788A">
          <w:pPr>
            <w:pStyle w:val="Huisstijl-Adres"/>
          </w:pPr>
          <w:r>
            <w:rPr>
              <w:b/>
            </w:rPr>
            <w:t>Overheidsidentificatienr</w:t>
          </w:r>
          <w:r>
            <w:rPr>
              <w:b/>
            </w:rPr>
            <w:br/>
          </w:r>
          <w:r w:rsidRPr="005B3814">
            <w:t>00000001003214369000</w:t>
          </w:r>
        </w:p>
        <w:p w14:paraId="63A0ADA2" w14:textId="135340F4" w:rsidR="00527BD4" w:rsidRPr="00887B9F" w:rsidRDefault="00CB3F0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55254" w14:paraId="041FD873" w14:textId="77777777" w:rsidTr="00A50CF6">
      <w:trPr>
        <w:trHeight w:hRule="exact" w:val="200"/>
      </w:trPr>
      <w:tc>
        <w:tcPr>
          <w:tcW w:w="2160" w:type="dxa"/>
        </w:tcPr>
        <w:p w14:paraId="673C01D9" w14:textId="77777777" w:rsidR="00527BD4" w:rsidRPr="005819CE" w:rsidRDefault="00527BD4" w:rsidP="00A50CF6"/>
      </w:tc>
    </w:tr>
    <w:tr w:rsidR="00655254" w14:paraId="74F808FC" w14:textId="77777777" w:rsidTr="00A50CF6">
      <w:tc>
        <w:tcPr>
          <w:tcW w:w="2160" w:type="dxa"/>
        </w:tcPr>
        <w:p w14:paraId="54BF557F" w14:textId="77777777" w:rsidR="000C0163" w:rsidRPr="005819CE" w:rsidRDefault="00CB3F0E" w:rsidP="000C0163">
          <w:pPr>
            <w:pStyle w:val="Huisstijl-Kopje"/>
          </w:pPr>
          <w:r>
            <w:t>Ons kenmerk</w:t>
          </w:r>
          <w:r w:rsidRPr="005819CE">
            <w:t xml:space="preserve"> </w:t>
          </w:r>
        </w:p>
        <w:p w14:paraId="4B3FB8EF" w14:textId="77777777" w:rsidR="000C0163" w:rsidRPr="005819CE" w:rsidRDefault="00CB3F0E" w:rsidP="000C0163">
          <w:pPr>
            <w:pStyle w:val="Huisstijl-Gegeven"/>
          </w:pPr>
          <w:r>
            <w:t>DGBI</w:t>
          </w:r>
          <w:r w:rsidR="00926AE2">
            <w:t xml:space="preserve"> / </w:t>
          </w:r>
          <w:r>
            <w:t>106112848</w:t>
          </w:r>
        </w:p>
        <w:p w14:paraId="50DB5F50" w14:textId="77777777" w:rsidR="00527BD4" w:rsidRPr="005819CE" w:rsidRDefault="00CB3F0E" w:rsidP="00A50CF6">
          <w:pPr>
            <w:pStyle w:val="Huisstijl-Kopje"/>
          </w:pPr>
          <w:r>
            <w:t>Bijlage(n)</w:t>
          </w:r>
        </w:p>
        <w:p w14:paraId="0AE4575C" w14:textId="38343C33" w:rsidR="00527BD4" w:rsidRPr="005819CE" w:rsidRDefault="00735860" w:rsidP="00A50CF6">
          <w:pPr>
            <w:pStyle w:val="Huisstijl-Gegeven"/>
          </w:pPr>
          <w:r>
            <w:t>1</w:t>
          </w:r>
        </w:p>
      </w:tc>
    </w:tr>
  </w:tbl>
  <w:p w14:paraId="6A7D9D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55254" w14:paraId="5BF3EA9C" w14:textId="77777777" w:rsidTr="007610AA">
      <w:trPr>
        <w:trHeight w:val="400"/>
      </w:trPr>
      <w:tc>
        <w:tcPr>
          <w:tcW w:w="7520" w:type="dxa"/>
          <w:gridSpan w:val="2"/>
        </w:tcPr>
        <w:p w14:paraId="7021CE4A" w14:textId="77777777" w:rsidR="00527BD4" w:rsidRPr="00BC3B53" w:rsidRDefault="00CB3F0E" w:rsidP="00A50CF6">
          <w:pPr>
            <w:pStyle w:val="Huisstijl-Retouradres"/>
          </w:pPr>
          <w:r>
            <w:t>&gt; Retouradres Postbus 20401 2500 EK Den Haag</w:t>
          </w:r>
        </w:p>
      </w:tc>
    </w:tr>
    <w:tr w:rsidR="00655254" w14:paraId="38BF0A7F" w14:textId="77777777" w:rsidTr="007610AA">
      <w:tc>
        <w:tcPr>
          <w:tcW w:w="7520" w:type="dxa"/>
          <w:gridSpan w:val="2"/>
        </w:tcPr>
        <w:p w14:paraId="377C5B15" w14:textId="77777777" w:rsidR="00527BD4" w:rsidRPr="00983E8F" w:rsidRDefault="00527BD4" w:rsidP="00A50CF6">
          <w:pPr>
            <w:pStyle w:val="Huisstijl-Rubricering"/>
          </w:pPr>
        </w:p>
      </w:tc>
    </w:tr>
    <w:tr w:rsidR="00655254" w14:paraId="3ED4D01C" w14:textId="77777777" w:rsidTr="007610AA">
      <w:trPr>
        <w:trHeight w:hRule="exact" w:val="2440"/>
      </w:trPr>
      <w:tc>
        <w:tcPr>
          <w:tcW w:w="7520" w:type="dxa"/>
          <w:gridSpan w:val="2"/>
        </w:tcPr>
        <w:p w14:paraId="58510DDA" w14:textId="72357154" w:rsidR="00887B9F" w:rsidRDefault="00CB3F0E" w:rsidP="00A50CF6">
          <w:pPr>
            <w:pStyle w:val="Huisstijl-NAW"/>
          </w:pPr>
          <w:r>
            <w:t xml:space="preserve">De </w:t>
          </w:r>
          <w:r w:rsidR="00887B9F">
            <w:t>V</w:t>
          </w:r>
          <w:r>
            <w:t xml:space="preserve">oorzitter van de Tweede Kamer </w:t>
          </w:r>
        </w:p>
        <w:p w14:paraId="14028A1F" w14:textId="439F7B7C" w:rsidR="00527BD4" w:rsidRDefault="00CB3F0E" w:rsidP="00A50CF6">
          <w:pPr>
            <w:pStyle w:val="Huisstijl-NAW"/>
          </w:pPr>
          <w:r>
            <w:t>der Staten-Generaal</w:t>
          </w:r>
        </w:p>
        <w:p w14:paraId="407994E3" w14:textId="77777777" w:rsidR="00655254" w:rsidRDefault="00CB3F0E">
          <w:pPr>
            <w:pStyle w:val="Huisstijl-NAW"/>
          </w:pPr>
          <w:r>
            <w:t>Prinses Irenestraat 6</w:t>
          </w:r>
        </w:p>
        <w:p w14:paraId="1351A933" w14:textId="22E6AD00" w:rsidR="00655254" w:rsidRDefault="00CB3F0E">
          <w:pPr>
            <w:pStyle w:val="Huisstijl-NAW"/>
          </w:pPr>
          <w:r>
            <w:t xml:space="preserve">2595 BD </w:t>
          </w:r>
          <w:r w:rsidR="00887B9F">
            <w:t xml:space="preserve"> DEN HAAG</w:t>
          </w:r>
        </w:p>
      </w:tc>
    </w:tr>
    <w:tr w:rsidR="00655254" w14:paraId="1B4929C8" w14:textId="77777777" w:rsidTr="007610AA">
      <w:trPr>
        <w:trHeight w:hRule="exact" w:val="400"/>
      </w:trPr>
      <w:tc>
        <w:tcPr>
          <w:tcW w:w="7520" w:type="dxa"/>
          <w:gridSpan w:val="2"/>
        </w:tcPr>
        <w:p w14:paraId="0540A01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55254" w14:paraId="18A65013" w14:textId="77777777" w:rsidTr="007610AA">
      <w:trPr>
        <w:trHeight w:val="240"/>
      </w:trPr>
      <w:tc>
        <w:tcPr>
          <w:tcW w:w="900" w:type="dxa"/>
        </w:tcPr>
        <w:p w14:paraId="60D49853" w14:textId="77777777" w:rsidR="00527BD4" w:rsidRPr="007709EF" w:rsidRDefault="00CB3F0E" w:rsidP="00A50CF6">
          <w:pPr>
            <w:rPr>
              <w:szCs w:val="18"/>
            </w:rPr>
          </w:pPr>
          <w:r>
            <w:rPr>
              <w:szCs w:val="18"/>
            </w:rPr>
            <w:t>Datum</w:t>
          </w:r>
        </w:p>
      </w:tc>
      <w:tc>
        <w:tcPr>
          <w:tcW w:w="6620" w:type="dxa"/>
        </w:tcPr>
        <w:p w14:paraId="56E48A9B" w14:textId="426D8768" w:rsidR="00527BD4" w:rsidRPr="007709EF" w:rsidRDefault="00692641" w:rsidP="00A50CF6">
          <w:r>
            <w:t>28 mei 2026</w:t>
          </w:r>
        </w:p>
      </w:tc>
    </w:tr>
    <w:tr w:rsidR="00655254" w14:paraId="0A306081" w14:textId="77777777" w:rsidTr="007610AA">
      <w:trPr>
        <w:trHeight w:val="240"/>
      </w:trPr>
      <w:tc>
        <w:tcPr>
          <w:tcW w:w="900" w:type="dxa"/>
        </w:tcPr>
        <w:p w14:paraId="3F5AB4BB" w14:textId="77777777" w:rsidR="00527BD4" w:rsidRPr="007709EF" w:rsidRDefault="00CB3F0E" w:rsidP="00A50CF6">
          <w:pPr>
            <w:rPr>
              <w:szCs w:val="18"/>
            </w:rPr>
          </w:pPr>
          <w:r>
            <w:rPr>
              <w:szCs w:val="18"/>
            </w:rPr>
            <w:t>Betreft</w:t>
          </w:r>
        </w:p>
      </w:tc>
      <w:tc>
        <w:tcPr>
          <w:tcW w:w="6620" w:type="dxa"/>
        </w:tcPr>
        <w:p w14:paraId="15D43CE2" w14:textId="770584F5" w:rsidR="00527BD4" w:rsidRPr="007709EF" w:rsidRDefault="00CB3F0E" w:rsidP="00A50CF6">
          <w:r>
            <w:t>Evaluatie SBIR en EZK-cofinanciering</w:t>
          </w:r>
          <w:r w:rsidR="005073D4">
            <w:t xml:space="preserve"> 2018-2024</w:t>
          </w:r>
        </w:p>
      </w:tc>
    </w:tr>
  </w:tbl>
  <w:p w14:paraId="7CF2E36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2666D34">
      <w:start w:val="1"/>
      <w:numFmt w:val="bullet"/>
      <w:pStyle w:val="Lijstopsomteken"/>
      <w:lvlText w:val="•"/>
      <w:lvlJc w:val="left"/>
      <w:pPr>
        <w:tabs>
          <w:tab w:val="num" w:pos="227"/>
        </w:tabs>
        <w:ind w:left="227" w:hanging="227"/>
      </w:pPr>
      <w:rPr>
        <w:rFonts w:ascii="Verdana" w:hAnsi="Verdana" w:hint="default"/>
        <w:sz w:val="18"/>
        <w:szCs w:val="18"/>
      </w:rPr>
    </w:lvl>
    <w:lvl w:ilvl="1" w:tplc="C53AD9D0" w:tentative="1">
      <w:start w:val="1"/>
      <w:numFmt w:val="bullet"/>
      <w:lvlText w:val="o"/>
      <w:lvlJc w:val="left"/>
      <w:pPr>
        <w:tabs>
          <w:tab w:val="num" w:pos="1440"/>
        </w:tabs>
        <w:ind w:left="1440" w:hanging="360"/>
      </w:pPr>
      <w:rPr>
        <w:rFonts w:ascii="Courier New" w:hAnsi="Courier New" w:cs="Courier New" w:hint="default"/>
      </w:rPr>
    </w:lvl>
    <w:lvl w:ilvl="2" w:tplc="97309528" w:tentative="1">
      <w:start w:val="1"/>
      <w:numFmt w:val="bullet"/>
      <w:lvlText w:val=""/>
      <w:lvlJc w:val="left"/>
      <w:pPr>
        <w:tabs>
          <w:tab w:val="num" w:pos="2160"/>
        </w:tabs>
        <w:ind w:left="2160" w:hanging="360"/>
      </w:pPr>
      <w:rPr>
        <w:rFonts w:ascii="Wingdings" w:hAnsi="Wingdings" w:hint="default"/>
      </w:rPr>
    </w:lvl>
    <w:lvl w:ilvl="3" w:tplc="BBD80326" w:tentative="1">
      <w:start w:val="1"/>
      <w:numFmt w:val="bullet"/>
      <w:lvlText w:val=""/>
      <w:lvlJc w:val="left"/>
      <w:pPr>
        <w:tabs>
          <w:tab w:val="num" w:pos="2880"/>
        </w:tabs>
        <w:ind w:left="2880" w:hanging="360"/>
      </w:pPr>
      <w:rPr>
        <w:rFonts w:ascii="Symbol" w:hAnsi="Symbol" w:hint="default"/>
      </w:rPr>
    </w:lvl>
    <w:lvl w:ilvl="4" w:tplc="4592765C" w:tentative="1">
      <w:start w:val="1"/>
      <w:numFmt w:val="bullet"/>
      <w:lvlText w:val="o"/>
      <w:lvlJc w:val="left"/>
      <w:pPr>
        <w:tabs>
          <w:tab w:val="num" w:pos="3600"/>
        </w:tabs>
        <w:ind w:left="3600" w:hanging="360"/>
      </w:pPr>
      <w:rPr>
        <w:rFonts w:ascii="Courier New" w:hAnsi="Courier New" w:cs="Courier New" w:hint="default"/>
      </w:rPr>
    </w:lvl>
    <w:lvl w:ilvl="5" w:tplc="4522A568" w:tentative="1">
      <w:start w:val="1"/>
      <w:numFmt w:val="bullet"/>
      <w:lvlText w:val=""/>
      <w:lvlJc w:val="left"/>
      <w:pPr>
        <w:tabs>
          <w:tab w:val="num" w:pos="4320"/>
        </w:tabs>
        <w:ind w:left="4320" w:hanging="360"/>
      </w:pPr>
      <w:rPr>
        <w:rFonts w:ascii="Wingdings" w:hAnsi="Wingdings" w:hint="default"/>
      </w:rPr>
    </w:lvl>
    <w:lvl w:ilvl="6" w:tplc="0F7A3028" w:tentative="1">
      <w:start w:val="1"/>
      <w:numFmt w:val="bullet"/>
      <w:lvlText w:val=""/>
      <w:lvlJc w:val="left"/>
      <w:pPr>
        <w:tabs>
          <w:tab w:val="num" w:pos="5040"/>
        </w:tabs>
        <w:ind w:left="5040" w:hanging="360"/>
      </w:pPr>
      <w:rPr>
        <w:rFonts w:ascii="Symbol" w:hAnsi="Symbol" w:hint="default"/>
      </w:rPr>
    </w:lvl>
    <w:lvl w:ilvl="7" w:tplc="DC900228" w:tentative="1">
      <w:start w:val="1"/>
      <w:numFmt w:val="bullet"/>
      <w:lvlText w:val="o"/>
      <w:lvlJc w:val="left"/>
      <w:pPr>
        <w:tabs>
          <w:tab w:val="num" w:pos="5760"/>
        </w:tabs>
        <w:ind w:left="5760" w:hanging="360"/>
      </w:pPr>
      <w:rPr>
        <w:rFonts w:ascii="Courier New" w:hAnsi="Courier New" w:cs="Courier New" w:hint="default"/>
      </w:rPr>
    </w:lvl>
    <w:lvl w:ilvl="8" w:tplc="EF482F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52A690">
      <w:start w:val="1"/>
      <w:numFmt w:val="bullet"/>
      <w:pStyle w:val="Lijstopsomteken2"/>
      <w:lvlText w:val="–"/>
      <w:lvlJc w:val="left"/>
      <w:pPr>
        <w:tabs>
          <w:tab w:val="num" w:pos="227"/>
        </w:tabs>
        <w:ind w:left="227" w:firstLine="0"/>
      </w:pPr>
      <w:rPr>
        <w:rFonts w:ascii="Verdana" w:hAnsi="Verdana" w:hint="default"/>
      </w:rPr>
    </w:lvl>
    <w:lvl w:ilvl="1" w:tplc="751C2B82" w:tentative="1">
      <w:start w:val="1"/>
      <w:numFmt w:val="bullet"/>
      <w:lvlText w:val="o"/>
      <w:lvlJc w:val="left"/>
      <w:pPr>
        <w:tabs>
          <w:tab w:val="num" w:pos="1440"/>
        </w:tabs>
        <w:ind w:left="1440" w:hanging="360"/>
      </w:pPr>
      <w:rPr>
        <w:rFonts w:ascii="Courier New" w:hAnsi="Courier New" w:cs="Courier New" w:hint="default"/>
      </w:rPr>
    </w:lvl>
    <w:lvl w:ilvl="2" w:tplc="71F65976" w:tentative="1">
      <w:start w:val="1"/>
      <w:numFmt w:val="bullet"/>
      <w:lvlText w:val=""/>
      <w:lvlJc w:val="left"/>
      <w:pPr>
        <w:tabs>
          <w:tab w:val="num" w:pos="2160"/>
        </w:tabs>
        <w:ind w:left="2160" w:hanging="360"/>
      </w:pPr>
      <w:rPr>
        <w:rFonts w:ascii="Wingdings" w:hAnsi="Wingdings" w:hint="default"/>
      </w:rPr>
    </w:lvl>
    <w:lvl w:ilvl="3" w:tplc="809E8AD4" w:tentative="1">
      <w:start w:val="1"/>
      <w:numFmt w:val="bullet"/>
      <w:lvlText w:val=""/>
      <w:lvlJc w:val="left"/>
      <w:pPr>
        <w:tabs>
          <w:tab w:val="num" w:pos="2880"/>
        </w:tabs>
        <w:ind w:left="2880" w:hanging="360"/>
      </w:pPr>
      <w:rPr>
        <w:rFonts w:ascii="Symbol" w:hAnsi="Symbol" w:hint="default"/>
      </w:rPr>
    </w:lvl>
    <w:lvl w:ilvl="4" w:tplc="810898D6" w:tentative="1">
      <w:start w:val="1"/>
      <w:numFmt w:val="bullet"/>
      <w:lvlText w:val="o"/>
      <w:lvlJc w:val="left"/>
      <w:pPr>
        <w:tabs>
          <w:tab w:val="num" w:pos="3600"/>
        </w:tabs>
        <w:ind w:left="3600" w:hanging="360"/>
      </w:pPr>
      <w:rPr>
        <w:rFonts w:ascii="Courier New" w:hAnsi="Courier New" w:cs="Courier New" w:hint="default"/>
      </w:rPr>
    </w:lvl>
    <w:lvl w:ilvl="5" w:tplc="F2900D02" w:tentative="1">
      <w:start w:val="1"/>
      <w:numFmt w:val="bullet"/>
      <w:lvlText w:val=""/>
      <w:lvlJc w:val="left"/>
      <w:pPr>
        <w:tabs>
          <w:tab w:val="num" w:pos="4320"/>
        </w:tabs>
        <w:ind w:left="4320" w:hanging="360"/>
      </w:pPr>
      <w:rPr>
        <w:rFonts w:ascii="Wingdings" w:hAnsi="Wingdings" w:hint="default"/>
      </w:rPr>
    </w:lvl>
    <w:lvl w:ilvl="6" w:tplc="5708578C" w:tentative="1">
      <w:start w:val="1"/>
      <w:numFmt w:val="bullet"/>
      <w:lvlText w:val=""/>
      <w:lvlJc w:val="left"/>
      <w:pPr>
        <w:tabs>
          <w:tab w:val="num" w:pos="5040"/>
        </w:tabs>
        <w:ind w:left="5040" w:hanging="360"/>
      </w:pPr>
      <w:rPr>
        <w:rFonts w:ascii="Symbol" w:hAnsi="Symbol" w:hint="default"/>
      </w:rPr>
    </w:lvl>
    <w:lvl w:ilvl="7" w:tplc="0AB40BAE" w:tentative="1">
      <w:start w:val="1"/>
      <w:numFmt w:val="bullet"/>
      <w:lvlText w:val="o"/>
      <w:lvlJc w:val="left"/>
      <w:pPr>
        <w:tabs>
          <w:tab w:val="num" w:pos="5760"/>
        </w:tabs>
        <w:ind w:left="5760" w:hanging="360"/>
      </w:pPr>
      <w:rPr>
        <w:rFonts w:ascii="Courier New" w:hAnsi="Courier New" w:cs="Courier New" w:hint="default"/>
      </w:rPr>
    </w:lvl>
    <w:lvl w:ilvl="8" w:tplc="753AA2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6285507">
    <w:abstractNumId w:val="10"/>
  </w:num>
  <w:num w:numId="2" w16cid:durableId="846209089">
    <w:abstractNumId w:val="7"/>
  </w:num>
  <w:num w:numId="3" w16cid:durableId="57562144">
    <w:abstractNumId w:val="6"/>
  </w:num>
  <w:num w:numId="4" w16cid:durableId="2029478083">
    <w:abstractNumId w:val="5"/>
  </w:num>
  <w:num w:numId="5" w16cid:durableId="544490169">
    <w:abstractNumId w:val="4"/>
  </w:num>
  <w:num w:numId="6" w16cid:durableId="2132168752">
    <w:abstractNumId w:val="8"/>
  </w:num>
  <w:num w:numId="7" w16cid:durableId="293684900">
    <w:abstractNumId w:val="3"/>
  </w:num>
  <w:num w:numId="8" w16cid:durableId="1937322522">
    <w:abstractNumId w:val="2"/>
  </w:num>
  <w:num w:numId="9" w16cid:durableId="1527673275">
    <w:abstractNumId w:val="1"/>
  </w:num>
  <w:num w:numId="10" w16cid:durableId="1719208345">
    <w:abstractNumId w:val="0"/>
  </w:num>
  <w:num w:numId="11" w16cid:durableId="253246342">
    <w:abstractNumId w:val="9"/>
  </w:num>
  <w:num w:numId="12" w16cid:durableId="1467236564">
    <w:abstractNumId w:val="11"/>
  </w:num>
  <w:num w:numId="13" w16cid:durableId="811096443">
    <w:abstractNumId w:val="13"/>
  </w:num>
  <w:num w:numId="14" w16cid:durableId="1739989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4723"/>
    <w:rsid w:val="00096680"/>
    <w:rsid w:val="000A0F36"/>
    <w:rsid w:val="000A174A"/>
    <w:rsid w:val="000A3E0A"/>
    <w:rsid w:val="000A65AC"/>
    <w:rsid w:val="000A7159"/>
    <w:rsid w:val="000B7281"/>
    <w:rsid w:val="000B7FAB"/>
    <w:rsid w:val="000C0163"/>
    <w:rsid w:val="000C1BA1"/>
    <w:rsid w:val="000C3EA9"/>
    <w:rsid w:val="000D0225"/>
    <w:rsid w:val="000D19A6"/>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6F1"/>
    <w:rsid w:val="002369BF"/>
    <w:rsid w:val="00236CFE"/>
    <w:rsid w:val="00241D72"/>
    <w:rsid w:val="002428E3"/>
    <w:rsid w:val="00243031"/>
    <w:rsid w:val="00260BAF"/>
    <w:rsid w:val="002650F7"/>
    <w:rsid w:val="00273F3B"/>
    <w:rsid w:val="00274DB7"/>
    <w:rsid w:val="00275584"/>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707F"/>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97104"/>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C3BE8"/>
    <w:rsid w:val="004D505E"/>
    <w:rsid w:val="004D72CA"/>
    <w:rsid w:val="004E2242"/>
    <w:rsid w:val="004E505E"/>
    <w:rsid w:val="004E6FB0"/>
    <w:rsid w:val="004F42FF"/>
    <w:rsid w:val="004F44C2"/>
    <w:rsid w:val="00502512"/>
    <w:rsid w:val="00503FD2"/>
    <w:rsid w:val="00505262"/>
    <w:rsid w:val="005073D4"/>
    <w:rsid w:val="00516022"/>
    <w:rsid w:val="00520994"/>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55254"/>
    <w:rsid w:val="006610E9"/>
    <w:rsid w:val="00661591"/>
    <w:rsid w:val="00664678"/>
    <w:rsid w:val="0066632F"/>
    <w:rsid w:val="00674A89"/>
    <w:rsid w:val="00674F3D"/>
    <w:rsid w:val="00685545"/>
    <w:rsid w:val="006864B3"/>
    <w:rsid w:val="00692641"/>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860"/>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67F05"/>
    <w:rsid w:val="00872271"/>
    <w:rsid w:val="008738B5"/>
    <w:rsid w:val="00883137"/>
    <w:rsid w:val="00887B9F"/>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3BF4"/>
    <w:rsid w:val="00A46FEF"/>
    <w:rsid w:val="00A47948"/>
    <w:rsid w:val="00A50CF6"/>
    <w:rsid w:val="00A56946"/>
    <w:rsid w:val="00A6170E"/>
    <w:rsid w:val="00A63B8C"/>
    <w:rsid w:val="00A64B6D"/>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C6837"/>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2A5F"/>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B3F0E"/>
    <w:rsid w:val="00CC6290"/>
    <w:rsid w:val="00CC6947"/>
    <w:rsid w:val="00CD233D"/>
    <w:rsid w:val="00CD3499"/>
    <w:rsid w:val="00CD362D"/>
    <w:rsid w:val="00CD4A96"/>
    <w:rsid w:val="00CE101D"/>
    <w:rsid w:val="00CE1814"/>
    <w:rsid w:val="00CE1A95"/>
    <w:rsid w:val="00CE1C84"/>
    <w:rsid w:val="00CE5055"/>
    <w:rsid w:val="00CF053F"/>
    <w:rsid w:val="00CF1A17"/>
    <w:rsid w:val="00CF65AC"/>
    <w:rsid w:val="00CF7684"/>
    <w:rsid w:val="00D0375A"/>
    <w:rsid w:val="00D0609E"/>
    <w:rsid w:val="00D078E1"/>
    <w:rsid w:val="00D100E9"/>
    <w:rsid w:val="00D17942"/>
    <w:rsid w:val="00D21E4B"/>
    <w:rsid w:val="00D22441"/>
    <w:rsid w:val="00D23522"/>
    <w:rsid w:val="00D264D6"/>
    <w:rsid w:val="00D32F78"/>
    <w:rsid w:val="00D33BF0"/>
    <w:rsid w:val="00D33DE0"/>
    <w:rsid w:val="00D36447"/>
    <w:rsid w:val="00D50D3F"/>
    <w:rsid w:val="00D516BE"/>
    <w:rsid w:val="00D5423B"/>
    <w:rsid w:val="00D54E6A"/>
    <w:rsid w:val="00D54F4E"/>
    <w:rsid w:val="00D56E01"/>
    <w:rsid w:val="00D57A56"/>
    <w:rsid w:val="00D604B3"/>
    <w:rsid w:val="00D60BA4"/>
    <w:rsid w:val="00D62419"/>
    <w:rsid w:val="00D77870"/>
    <w:rsid w:val="00D80977"/>
    <w:rsid w:val="00D80CCE"/>
    <w:rsid w:val="00D8479F"/>
    <w:rsid w:val="00D86EEA"/>
    <w:rsid w:val="00D87D03"/>
    <w:rsid w:val="00D9360B"/>
    <w:rsid w:val="00D95C88"/>
    <w:rsid w:val="00D97B2E"/>
    <w:rsid w:val="00D97FB8"/>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57E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2366F1"/>
    <w:rPr>
      <w:sz w:val="16"/>
      <w:szCs w:val="16"/>
    </w:rPr>
  </w:style>
  <w:style w:type="character" w:styleId="Voetnootmarkering">
    <w:name w:val="footnote reference"/>
    <w:basedOn w:val="Standaardalinea-lettertype"/>
    <w:uiPriority w:val="99"/>
    <w:semiHidden/>
    <w:unhideWhenUsed/>
    <w:rsid w:val="002366F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1610</ap:Words>
  <ap:Characters>8856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2026-05-28T08:09:00.0000000Z</dcterms:created>
  <dcterms:modified xsi:type="dcterms:W3CDTF">2026-05-28T08:09:00.0000000Z</dcterms:modified>
  <dc:description>------------------------</dc:description>
  <dc:subject/>
  <keywords/>
  <version/>
  <category/>
</coreProperties>
</file>