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700" w:rsidP="00FF2700" w:rsidRDefault="00FF2700" w14:paraId="7DE00D2A" w14:textId="7D94C89A">
      <w:pPr>
        <w:rPr>
          <w:b/>
        </w:rPr>
      </w:pPr>
      <w:r>
        <w:rPr>
          <w:b/>
        </w:rPr>
        <w:t xml:space="preserve">Verslag houdende lijst van vragen </w:t>
      </w:r>
    </w:p>
    <w:p w:rsidR="00FF2700" w:rsidP="00FF2700" w:rsidRDefault="00FF2700" w14:paraId="2236E7C1" w14:textId="5FAE69EA">
      <w:r>
        <w:t xml:space="preserve">De vaste commissie voor Sociale Zaken en Werkgelegenheid, belast met het voorbereidend onderzoek van de </w:t>
      </w:r>
      <w:proofErr w:type="spellStart"/>
      <w:r>
        <w:t>Slotwet</w:t>
      </w:r>
      <w:proofErr w:type="spellEnd"/>
      <w:r>
        <w:t xml:space="preserve"> ministerie van Sociale Zaken en Werkgelegenheid 2025 (36945-XV), heeft de eer verslag uit te brengen in de vorm van een lijst van</w:t>
      </w:r>
      <w:r>
        <w:t xml:space="preserve"> vragen</w:t>
      </w:r>
      <w:r>
        <w:t>.</w:t>
      </w:r>
    </w:p>
    <w:p w:rsidR="00FF2700" w:rsidP="00FF2700" w:rsidRDefault="00FF2700" w14:paraId="16912B06" w14:textId="098164FA">
      <w:pPr>
        <w:spacing w:after="0"/>
      </w:pPr>
      <w:r>
        <w:t>De v</w:t>
      </w:r>
      <w:r>
        <w:t xml:space="preserve">oorzitter van de commissie, </w:t>
      </w:r>
    </w:p>
    <w:p w:rsidR="00FF2700" w:rsidP="00FF2700" w:rsidRDefault="00FF2700" w14:paraId="5A2C39B4" w14:textId="0B181755">
      <w:pPr>
        <w:spacing w:after="0"/>
      </w:pPr>
      <w:r>
        <w:t>Van der Lee</w:t>
      </w:r>
    </w:p>
    <w:p w:rsidR="00FF2700" w:rsidP="00FF2700" w:rsidRDefault="00FF2700" w14:paraId="6DAE94E4" w14:textId="77777777">
      <w:pPr>
        <w:spacing w:after="0"/>
      </w:pPr>
      <w:r>
        <w:tab/>
      </w:r>
      <w:r>
        <w:tab/>
      </w:r>
    </w:p>
    <w:p w:rsidR="00FF2700" w:rsidP="00FF2700" w:rsidRDefault="00FF2700" w14:paraId="5D92DB3F" w14:textId="62952B74">
      <w:pPr>
        <w:spacing w:after="0"/>
      </w:pPr>
      <w:r>
        <w:t>Adjunct-griffier van de commissie,</w:t>
      </w:r>
    </w:p>
    <w:p w:rsidR="00FF2700" w:rsidP="00FF2700" w:rsidRDefault="00FF2700" w14:paraId="65F1F9CB" w14:textId="0F74595C">
      <w:pPr>
        <w:spacing w:after="0"/>
      </w:pPr>
      <w:r>
        <w:t>Morrin</w:t>
      </w:r>
    </w:p>
    <w:p w:rsidR="00FF2700" w:rsidP="00FF2700" w:rsidRDefault="00FF2700" w14:paraId="0F08CEE5" w14:textId="77777777"/>
    <w:tbl>
      <w:tblPr>
        <w:tblW w:w="7088" w:type="dxa"/>
        <w:tblLayout w:type="fixed"/>
        <w:tblCellMar>
          <w:left w:w="10" w:type="dxa"/>
          <w:right w:w="10" w:type="dxa"/>
        </w:tblCellMar>
        <w:tblLook w:val="04A0" w:firstRow="1" w:lastRow="0" w:firstColumn="1" w:lastColumn="0" w:noHBand="0" w:noVBand="1"/>
      </w:tblPr>
      <w:tblGrid>
        <w:gridCol w:w="567"/>
        <w:gridCol w:w="6521"/>
      </w:tblGrid>
      <w:tr w:rsidR="00FF2700" w:rsidTr="00FF2700" w14:paraId="6C72F4A4" w14:textId="77777777">
        <w:tblPrEx>
          <w:tblCellMar>
            <w:top w:w="0" w:type="dxa"/>
            <w:bottom w:w="0" w:type="dxa"/>
          </w:tblCellMar>
        </w:tblPrEx>
        <w:trPr>
          <w:cantSplit/>
        </w:trPr>
        <w:tc>
          <w:tcPr>
            <w:tcW w:w="567" w:type="dxa"/>
            <w:tcMar>
              <w:top w:w="0" w:type="dxa"/>
              <w:left w:w="0" w:type="dxa"/>
              <w:bottom w:w="0" w:type="dxa"/>
              <w:right w:w="0" w:type="dxa"/>
            </w:tcMar>
          </w:tcPr>
          <w:p w:rsidR="00FF2700" w:rsidP="001D78DE" w:rsidRDefault="00FF2700" w14:paraId="5FF5DB1D" w14:textId="77777777">
            <w:bookmarkStart w:name="bmkStartTabel" w:id="0"/>
            <w:bookmarkEnd w:id="0"/>
            <w:proofErr w:type="spellStart"/>
            <w:r>
              <w:t>Nr</w:t>
            </w:r>
            <w:proofErr w:type="spellEnd"/>
          </w:p>
        </w:tc>
        <w:tc>
          <w:tcPr>
            <w:tcW w:w="6521" w:type="dxa"/>
            <w:tcMar>
              <w:top w:w="0" w:type="dxa"/>
              <w:left w:w="0" w:type="dxa"/>
              <w:bottom w:w="0" w:type="dxa"/>
              <w:right w:w="0" w:type="dxa"/>
            </w:tcMar>
          </w:tcPr>
          <w:p w:rsidR="00FF2700" w:rsidP="001D78DE" w:rsidRDefault="00FF2700" w14:paraId="75E3E304" w14:textId="77777777">
            <w:r>
              <w:t>Vraag</w:t>
            </w:r>
          </w:p>
        </w:tc>
      </w:tr>
      <w:tr w:rsidR="00FF2700" w:rsidTr="00FF2700" w14:paraId="3207BCC5"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11202414" w14:textId="77777777">
            <w:r>
              <w:t>1</w:t>
            </w:r>
          </w:p>
        </w:tc>
        <w:tc>
          <w:tcPr>
            <w:tcW w:w="6521" w:type="dxa"/>
            <w:tcMar>
              <w:top w:w="0" w:type="dxa"/>
              <w:left w:w="0" w:type="dxa"/>
              <w:bottom w:w="0" w:type="dxa"/>
              <w:right w:w="0" w:type="dxa"/>
            </w:tcMar>
          </w:tcPr>
          <w:p w:rsidR="00FF2700" w:rsidP="001D78DE" w:rsidRDefault="00FF2700" w14:paraId="1914C758" w14:textId="77777777">
            <w:r>
              <w:t xml:space="preserve">Wat was in Nederland in 2025 de gemiddelde </w:t>
            </w:r>
            <w:proofErr w:type="spellStart"/>
            <w:r>
              <w:t>loonwig</w:t>
            </w:r>
            <w:proofErr w:type="spellEnd"/>
            <w:r>
              <w:t xml:space="preserve">? En wat was de </w:t>
            </w:r>
            <w:proofErr w:type="spellStart"/>
            <w:r>
              <w:t>loonwig</w:t>
            </w:r>
            <w:proofErr w:type="spellEnd"/>
            <w:r>
              <w:t xml:space="preserve"> in de andere EU-lidstaten?</w:t>
            </w:r>
          </w:p>
        </w:tc>
      </w:tr>
      <w:tr w:rsidR="00FF2700" w:rsidTr="00FF2700" w14:paraId="71FB992F"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6DE19227" w14:textId="77777777">
            <w:r>
              <w:t>2</w:t>
            </w:r>
          </w:p>
        </w:tc>
        <w:tc>
          <w:tcPr>
            <w:tcW w:w="6521" w:type="dxa"/>
            <w:tcMar>
              <w:top w:w="0" w:type="dxa"/>
              <w:left w:w="0" w:type="dxa"/>
              <w:bottom w:w="0" w:type="dxa"/>
              <w:right w:w="0" w:type="dxa"/>
            </w:tcMar>
          </w:tcPr>
          <w:p w:rsidR="00FF2700" w:rsidP="001D78DE" w:rsidRDefault="00FF2700" w14:paraId="01B0D20A" w14:textId="77777777">
            <w:r>
              <w:t>Wat is in 2025 de werkelijke gemiddelde leeftijd waarop mensen met pensioen gaan in Nederland? Hoe heeft dit zich de afgelopen 25 jaar ontwikkeld?</w:t>
            </w:r>
          </w:p>
        </w:tc>
      </w:tr>
      <w:tr w:rsidR="00FF2700" w:rsidTr="00FF2700" w14:paraId="5E174C9D"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5C308F0B" w14:textId="77777777">
            <w:r>
              <w:t>3</w:t>
            </w:r>
          </w:p>
        </w:tc>
        <w:tc>
          <w:tcPr>
            <w:tcW w:w="6521" w:type="dxa"/>
            <w:tcMar>
              <w:top w:w="0" w:type="dxa"/>
              <w:left w:w="0" w:type="dxa"/>
              <w:bottom w:w="0" w:type="dxa"/>
              <w:right w:w="0" w:type="dxa"/>
            </w:tcMar>
          </w:tcPr>
          <w:p w:rsidR="00FF2700" w:rsidP="001D78DE" w:rsidRDefault="00FF2700" w14:paraId="4DEC7349" w14:textId="77777777">
            <w:r>
              <w:t>Wat is de Nederlandse werkgelegenheidsgraad in de leeftijdscategorie 67 jaar en ouder?</w:t>
            </w:r>
          </w:p>
        </w:tc>
      </w:tr>
      <w:tr w:rsidR="00FF2700" w:rsidTr="00FF2700" w14:paraId="273D1B08"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3EE31AD9" w14:textId="77777777">
            <w:r>
              <w:t>4</w:t>
            </w:r>
          </w:p>
        </w:tc>
        <w:tc>
          <w:tcPr>
            <w:tcW w:w="6521" w:type="dxa"/>
            <w:tcMar>
              <w:top w:w="0" w:type="dxa"/>
              <w:left w:w="0" w:type="dxa"/>
              <w:bottom w:w="0" w:type="dxa"/>
              <w:right w:w="0" w:type="dxa"/>
            </w:tcMar>
          </w:tcPr>
          <w:p w:rsidR="00FF2700" w:rsidP="001D78DE" w:rsidRDefault="00FF2700" w14:paraId="2989BB51" w14:textId="77777777">
            <w:r>
              <w:t>Kunt u in een grafiek het aantal Nederlanders met een arbeidsongeschiktheidsuitkering uitdrukken sinds 2010? Met 2010 = 100?</w:t>
            </w:r>
          </w:p>
        </w:tc>
      </w:tr>
      <w:tr w:rsidR="00FF2700" w:rsidTr="00FF2700" w14:paraId="6B941EFD"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6E42D7C6" w14:textId="77777777">
            <w:r>
              <w:t>5</w:t>
            </w:r>
          </w:p>
        </w:tc>
        <w:tc>
          <w:tcPr>
            <w:tcW w:w="6521" w:type="dxa"/>
            <w:tcMar>
              <w:top w:w="0" w:type="dxa"/>
              <w:left w:w="0" w:type="dxa"/>
              <w:bottom w:w="0" w:type="dxa"/>
              <w:right w:w="0" w:type="dxa"/>
            </w:tcMar>
          </w:tcPr>
          <w:p w:rsidR="00FF2700" w:rsidP="001D78DE" w:rsidRDefault="00FF2700" w14:paraId="155CA6EA" w14:textId="77777777">
            <w:r>
              <w:t>Hoeveel Nederlanders ontvangen een sociale uitkering en/of toeslag?</w:t>
            </w:r>
          </w:p>
        </w:tc>
      </w:tr>
      <w:tr w:rsidR="00FF2700" w:rsidTr="00FF2700" w14:paraId="0D2360FD"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2C75BD15" w14:textId="77777777">
            <w:r>
              <w:t>6</w:t>
            </w:r>
          </w:p>
        </w:tc>
        <w:tc>
          <w:tcPr>
            <w:tcW w:w="6521" w:type="dxa"/>
            <w:tcMar>
              <w:top w:w="0" w:type="dxa"/>
              <w:left w:w="0" w:type="dxa"/>
              <w:bottom w:w="0" w:type="dxa"/>
              <w:right w:w="0" w:type="dxa"/>
            </w:tcMar>
          </w:tcPr>
          <w:p w:rsidR="00FF2700" w:rsidP="001D78DE" w:rsidRDefault="00FF2700" w14:paraId="3BE39B22" w14:textId="77777777">
            <w:r>
              <w:t>Wat zijn de apparaatskosten van het Uitvoeringsinstituut Werknemersverzekeringen (UWV) in 2025? Hoeveel hiervan is kosten voor personeel? Hoe hebben beide aantallen zich ontwikkeld?</w:t>
            </w:r>
          </w:p>
        </w:tc>
      </w:tr>
      <w:tr w:rsidR="00FF2700" w:rsidTr="00FF2700" w14:paraId="137968F7"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214C86C1" w14:textId="77777777">
            <w:r>
              <w:t>7</w:t>
            </w:r>
          </w:p>
        </w:tc>
        <w:tc>
          <w:tcPr>
            <w:tcW w:w="6521" w:type="dxa"/>
            <w:tcMar>
              <w:top w:w="0" w:type="dxa"/>
              <w:left w:w="0" w:type="dxa"/>
              <w:bottom w:w="0" w:type="dxa"/>
              <w:right w:w="0" w:type="dxa"/>
            </w:tcMar>
          </w:tcPr>
          <w:p w:rsidR="00FF2700" w:rsidP="001D78DE" w:rsidRDefault="00FF2700" w14:paraId="0FDA6079" w14:textId="77777777">
            <w:r>
              <w:t>Hoeveel dossiers behandelde het UWV in 2025?</w:t>
            </w:r>
          </w:p>
        </w:tc>
      </w:tr>
      <w:tr w:rsidR="00FF2700" w:rsidTr="00FF2700" w14:paraId="766D5339"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33BC8A4C" w14:textId="77777777">
            <w:r>
              <w:t>8</w:t>
            </w:r>
          </w:p>
        </w:tc>
        <w:tc>
          <w:tcPr>
            <w:tcW w:w="6521" w:type="dxa"/>
            <w:tcMar>
              <w:top w:w="0" w:type="dxa"/>
              <w:left w:w="0" w:type="dxa"/>
              <w:bottom w:w="0" w:type="dxa"/>
              <w:right w:w="0" w:type="dxa"/>
            </w:tcMar>
          </w:tcPr>
          <w:p w:rsidR="00FF2700" w:rsidP="001D78DE" w:rsidRDefault="00FF2700" w14:paraId="631252C9" w14:textId="77777777">
            <w:r>
              <w:t>Wat zijn de gemiddelde premiekosten voor de Wet werk en inkomen naar arbeidsvermogen (WIA) per werknemer in loondienst aan zowel de werkgevers- als de werknemerskant?</w:t>
            </w:r>
          </w:p>
        </w:tc>
      </w:tr>
      <w:tr w:rsidR="00FF2700" w:rsidTr="00FF2700" w14:paraId="630B1E40"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5B1E9B48" w14:textId="77777777">
            <w:r>
              <w:t>9</w:t>
            </w:r>
          </w:p>
        </w:tc>
        <w:tc>
          <w:tcPr>
            <w:tcW w:w="6521" w:type="dxa"/>
            <w:tcMar>
              <w:top w:w="0" w:type="dxa"/>
              <w:left w:w="0" w:type="dxa"/>
              <w:bottom w:w="0" w:type="dxa"/>
              <w:right w:w="0" w:type="dxa"/>
            </w:tcMar>
          </w:tcPr>
          <w:p w:rsidR="00FF2700" w:rsidP="001D78DE" w:rsidRDefault="00FF2700" w14:paraId="40380760" w14:textId="77777777">
            <w:r>
              <w:t>Hoe lang ontvangen mensen gemiddeld een WIA-uitkering, uitgesplitst op type uitkering?</w:t>
            </w:r>
          </w:p>
        </w:tc>
      </w:tr>
      <w:tr w:rsidR="00FF2700" w:rsidTr="00FF2700" w14:paraId="0D4DB740"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3C945CA0" w14:textId="77777777">
            <w:r>
              <w:t>10</w:t>
            </w:r>
          </w:p>
        </w:tc>
        <w:tc>
          <w:tcPr>
            <w:tcW w:w="6521" w:type="dxa"/>
            <w:tcMar>
              <w:top w:w="0" w:type="dxa"/>
              <w:left w:w="0" w:type="dxa"/>
              <w:bottom w:w="0" w:type="dxa"/>
              <w:right w:w="0" w:type="dxa"/>
            </w:tcMar>
          </w:tcPr>
          <w:p w:rsidR="00FF2700" w:rsidP="001D78DE" w:rsidRDefault="00FF2700" w14:paraId="22B23973" w14:textId="77777777">
            <w:r>
              <w:t>Wat zijn de demografische gegevens van het WIA-bestand? Graag uitgesplitst naar leeftijd, man, vrouw, migratieachtergrond, beroepsachtergrond.</w:t>
            </w:r>
          </w:p>
        </w:tc>
      </w:tr>
      <w:tr w:rsidR="00FF2700" w:rsidTr="00FF2700" w14:paraId="0A445D05"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797BD3CF" w14:textId="77777777">
            <w:r>
              <w:t>11</w:t>
            </w:r>
          </w:p>
        </w:tc>
        <w:tc>
          <w:tcPr>
            <w:tcW w:w="6521" w:type="dxa"/>
            <w:tcMar>
              <w:top w:w="0" w:type="dxa"/>
              <w:left w:w="0" w:type="dxa"/>
              <w:bottom w:w="0" w:type="dxa"/>
              <w:right w:w="0" w:type="dxa"/>
            </w:tcMar>
          </w:tcPr>
          <w:p w:rsidR="00FF2700" w:rsidP="001D78DE" w:rsidRDefault="00FF2700" w14:paraId="1E79A9EE" w14:textId="77777777">
            <w:r>
              <w:t xml:space="preserve">Hoeveel mensen zitten er in 2025 langer dan één jaar in de Werkloosheidswet (WW)? Wat zijn de demografische gegevens van </w:t>
            </w:r>
            <w:r>
              <w:lastRenderedPageBreak/>
              <w:t>dit smaldeel van het WW-bestand? Graag uitgesplitst naar leeftijd, man, vrouw, migratieachtergrond, beroepsachtergrond.</w:t>
            </w:r>
          </w:p>
        </w:tc>
      </w:tr>
      <w:tr w:rsidR="00FF2700" w:rsidTr="00FF2700" w14:paraId="1A0A863D"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7BB1432F" w14:textId="77777777">
            <w:r>
              <w:lastRenderedPageBreak/>
              <w:t>12</w:t>
            </w:r>
          </w:p>
        </w:tc>
        <w:tc>
          <w:tcPr>
            <w:tcW w:w="6521" w:type="dxa"/>
            <w:tcMar>
              <w:top w:w="0" w:type="dxa"/>
              <w:left w:w="0" w:type="dxa"/>
              <w:bottom w:w="0" w:type="dxa"/>
              <w:right w:w="0" w:type="dxa"/>
            </w:tcMar>
          </w:tcPr>
          <w:p w:rsidR="00FF2700" w:rsidP="001D78DE" w:rsidRDefault="00FF2700" w14:paraId="5A6B4F05" w14:textId="77777777">
            <w:r>
              <w:t>Wat doet de regering aan het toezicht op het UWV als uitvoeringsorganisatie met onderscheid productiviteit kwaliteit en complexiteit?</w:t>
            </w:r>
          </w:p>
        </w:tc>
      </w:tr>
      <w:tr w:rsidR="00FF2700" w:rsidTr="00FF2700" w14:paraId="694B3D54"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20CC9885" w14:textId="77777777">
            <w:r>
              <w:t>13</w:t>
            </w:r>
          </w:p>
        </w:tc>
        <w:tc>
          <w:tcPr>
            <w:tcW w:w="6521" w:type="dxa"/>
            <w:tcMar>
              <w:top w:w="0" w:type="dxa"/>
              <w:left w:w="0" w:type="dxa"/>
              <w:bottom w:w="0" w:type="dxa"/>
              <w:right w:w="0" w:type="dxa"/>
            </w:tcMar>
          </w:tcPr>
          <w:p w:rsidR="00FF2700" w:rsidP="001D78DE" w:rsidRDefault="00FF2700" w14:paraId="6403EF4B" w14:textId="77777777">
            <w:r>
              <w:t xml:space="preserve">Wat is het verschil in aanpak ten aanzien van de WIA nu het een toprisico is van het ministerie en op de </w:t>
            </w:r>
            <w:proofErr w:type="spellStart"/>
            <w:r>
              <w:t>hoogrisicolijst</w:t>
            </w:r>
            <w:proofErr w:type="spellEnd"/>
            <w:r>
              <w:t xml:space="preserve"> staat van de Algemene Rekenkamer? Wat betekent dit voor de algemene aanpak van de WIA-problematiek?</w:t>
            </w:r>
          </w:p>
        </w:tc>
      </w:tr>
      <w:tr w:rsidR="00FF2700" w:rsidTr="00FF2700" w14:paraId="585282C0"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067CAC17" w14:textId="77777777">
            <w:r>
              <w:t>14</w:t>
            </w:r>
          </w:p>
        </w:tc>
        <w:tc>
          <w:tcPr>
            <w:tcW w:w="6521" w:type="dxa"/>
            <w:tcMar>
              <w:top w:w="0" w:type="dxa"/>
              <w:left w:w="0" w:type="dxa"/>
              <w:bottom w:w="0" w:type="dxa"/>
              <w:right w:w="0" w:type="dxa"/>
            </w:tcMar>
          </w:tcPr>
          <w:p w:rsidR="00FF2700" w:rsidP="001D78DE" w:rsidRDefault="00FF2700" w14:paraId="77E2A965" w14:textId="77777777">
            <w:r>
              <w:t>Wat doet de regering aan de vereenvoudiging van wet en regelgeving in 2026? Wat is de agenda in het vereenvoudigen van wet en regelgeving in 2026 en verder?</w:t>
            </w:r>
          </w:p>
        </w:tc>
      </w:tr>
      <w:tr w:rsidR="00FF2700" w:rsidTr="00FF2700" w14:paraId="14982DD3"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706EE8F2" w14:textId="77777777">
            <w:r>
              <w:t>15</w:t>
            </w:r>
          </w:p>
        </w:tc>
        <w:tc>
          <w:tcPr>
            <w:tcW w:w="6521" w:type="dxa"/>
            <w:tcMar>
              <w:top w:w="0" w:type="dxa"/>
              <w:left w:w="0" w:type="dxa"/>
              <w:bottom w:w="0" w:type="dxa"/>
              <w:right w:w="0" w:type="dxa"/>
            </w:tcMar>
          </w:tcPr>
          <w:p w:rsidR="00FF2700" w:rsidP="001D78DE" w:rsidRDefault="00FF2700" w14:paraId="69EB8D03" w14:textId="77777777">
            <w:r>
              <w:t>Waarom lukt het de regering opnieuw niet om beschikbare middelen tijdig bij mensen en ondernemers te krijgen, terwijl bij regelingen als de Stimuleringsregeling Leren en Ontwikkelen in Bedrijven (SLIM) en Tijdelijke Maatwerkregeling Duurzame Inzetbaarheid en Eerder Uittreden (MDIEU) tientallen miljoenen blijven liggen door vertragingen in beoordelingen en lagere voorschotverzoeken?</w:t>
            </w:r>
          </w:p>
        </w:tc>
      </w:tr>
      <w:tr w:rsidR="00FF2700" w:rsidTr="00FF2700" w14:paraId="025435B2" w14:textId="77777777">
        <w:tblPrEx>
          <w:tblCellMar>
            <w:top w:w="0" w:type="dxa"/>
            <w:bottom w:w="0" w:type="dxa"/>
          </w:tblCellMar>
        </w:tblPrEx>
        <w:tc>
          <w:tcPr>
            <w:tcW w:w="567" w:type="dxa"/>
            <w:tcMar>
              <w:top w:w="0" w:type="dxa"/>
              <w:left w:w="0" w:type="dxa"/>
              <w:bottom w:w="0" w:type="dxa"/>
              <w:right w:w="0" w:type="dxa"/>
            </w:tcMar>
          </w:tcPr>
          <w:p w:rsidR="00FF2700" w:rsidP="001D78DE" w:rsidRDefault="00FF2700" w14:paraId="2D22AF07" w14:textId="77777777">
            <w:r>
              <w:t>16</w:t>
            </w:r>
          </w:p>
        </w:tc>
        <w:tc>
          <w:tcPr>
            <w:tcW w:w="6521" w:type="dxa"/>
            <w:tcMar>
              <w:top w:w="0" w:type="dxa"/>
              <w:left w:w="0" w:type="dxa"/>
              <w:bottom w:w="0" w:type="dxa"/>
              <w:right w:w="0" w:type="dxa"/>
            </w:tcMar>
          </w:tcPr>
          <w:p w:rsidR="00FF2700" w:rsidP="001D78DE" w:rsidRDefault="00FF2700" w14:paraId="26A15BF0" w14:textId="77777777">
            <w:r>
              <w:t>Hoe kan het dat er € 53,1 miljoen minder is uitgegeven aan kinderopvang dan geraamd, terwijl gewone werkende gezinnen juist iedere maand worstelen met hoge kosten voor kinderopvang?</w:t>
            </w:r>
          </w:p>
        </w:tc>
      </w:tr>
    </w:tbl>
    <w:p w:rsidR="00FF2700" w:rsidP="00FF2700" w:rsidRDefault="00FF2700" w14:paraId="739C967F" w14:textId="77777777"/>
    <w:p w:rsidR="00FF2700" w:rsidP="00FF2700" w:rsidRDefault="00FF2700" w14:paraId="5946861E" w14:textId="77777777"/>
    <w:p w:rsidR="00EC711E" w:rsidRDefault="00EC711E" w14:paraId="019400BF" w14:textId="77777777"/>
    <w:sectPr w:rsidR="00EC711E" w:rsidSect="00FF270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F264" w14:textId="77777777" w:rsidR="00724A40" w:rsidRDefault="00724A40" w:rsidP="00FF2700">
      <w:pPr>
        <w:spacing w:after="0" w:line="240" w:lineRule="auto"/>
      </w:pPr>
      <w:r>
        <w:separator/>
      </w:r>
    </w:p>
  </w:endnote>
  <w:endnote w:type="continuationSeparator" w:id="0">
    <w:p w14:paraId="25152ACC" w14:textId="77777777" w:rsidR="00724A40" w:rsidRDefault="00724A40" w:rsidP="00FF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3A4" w14:textId="77777777" w:rsidR="00FF2700" w:rsidRPr="00FF2700" w:rsidRDefault="00FF2700" w:rsidP="00FF27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4A25" w14:textId="77777777" w:rsidR="00FF2700" w:rsidRPr="00FF2700" w:rsidRDefault="00FF2700" w:rsidP="00FF27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C2E2" w14:textId="77777777" w:rsidR="00FF2700" w:rsidRPr="00FF2700" w:rsidRDefault="00FF2700" w:rsidP="00FF27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643D9" w14:textId="77777777" w:rsidR="00724A40" w:rsidRDefault="00724A40" w:rsidP="00FF2700">
      <w:pPr>
        <w:spacing w:after="0" w:line="240" w:lineRule="auto"/>
      </w:pPr>
      <w:r>
        <w:separator/>
      </w:r>
    </w:p>
  </w:footnote>
  <w:footnote w:type="continuationSeparator" w:id="0">
    <w:p w14:paraId="650A4FBB" w14:textId="77777777" w:rsidR="00724A40" w:rsidRDefault="00724A40" w:rsidP="00FF2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8E5C" w14:textId="77777777" w:rsidR="00FF2700" w:rsidRPr="00FF2700" w:rsidRDefault="00FF2700" w:rsidP="00FF27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02EF" w14:textId="77777777" w:rsidR="00FF2700" w:rsidRPr="00FF2700" w:rsidRDefault="00FF2700" w:rsidP="00FF27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D095" w14:textId="77777777" w:rsidR="00FF2700" w:rsidRPr="00FF2700" w:rsidRDefault="00FF2700" w:rsidP="00FF27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00"/>
    <w:rsid w:val="00353CBB"/>
    <w:rsid w:val="00566ABE"/>
    <w:rsid w:val="00724A40"/>
    <w:rsid w:val="009F5F36"/>
    <w:rsid w:val="00EC711E"/>
    <w:rsid w:val="00FF2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1449A"/>
  <w15:chartTrackingRefBased/>
  <w15:docId w15:val="{0FDEE86D-6C5B-46B9-88E9-AF6DCA9F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2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2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27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27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27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27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27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27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27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27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27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27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27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27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27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27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27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2700"/>
    <w:rPr>
      <w:rFonts w:eastAsiaTheme="majorEastAsia" w:cstheme="majorBidi"/>
      <w:color w:val="272727" w:themeColor="text1" w:themeTint="D8"/>
    </w:rPr>
  </w:style>
  <w:style w:type="paragraph" w:styleId="Titel">
    <w:name w:val="Title"/>
    <w:basedOn w:val="Standaard"/>
    <w:next w:val="Standaard"/>
    <w:link w:val="TitelChar"/>
    <w:uiPriority w:val="10"/>
    <w:qFormat/>
    <w:rsid w:val="00FF2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27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27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27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27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2700"/>
    <w:rPr>
      <w:i/>
      <w:iCs/>
      <w:color w:val="404040" w:themeColor="text1" w:themeTint="BF"/>
    </w:rPr>
  </w:style>
  <w:style w:type="paragraph" w:styleId="Lijstalinea">
    <w:name w:val="List Paragraph"/>
    <w:basedOn w:val="Standaard"/>
    <w:uiPriority w:val="34"/>
    <w:qFormat/>
    <w:rsid w:val="00FF2700"/>
    <w:pPr>
      <w:ind w:left="720"/>
      <w:contextualSpacing/>
    </w:pPr>
  </w:style>
  <w:style w:type="character" w:styleId="Intensievebenadrukking">
    <w:name w:val="Intense Emphasis"/>
    <w:basedOn w:val="Standaardalinea-lettertype"/>
    <w:uiPriority w:val="21"/>
    <w:qFormat/>
    <w:rsid w:val="00FF2700"/>
    <w:rPr>
      <w:i/>
      <w:iCs/>
      <w:color w:val="0F4761" w:themeColor="accent1" w:themeShade="BF"/>
    </w:rPr>
  </w:style>
  <w:style w:type="paragraph" w:styleId="Duidelijkcitaat">
    <w:name w:val="Intense Quote"/>
    <w:basedOn w:val="Standaard"/>
    <w:next w:val="Standaard"/>
    <w:link w:val="DuidelijkcitaatChar"/>
    <w:uiPriority w:val="30"/>
    <w:qFormat/>
    <w:rsid w:val="00FF2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2700"/>
    <w:rPr>
      <w:i/>
      <w:iCs/>
      <w:color w:val="0F4761" w:themeColor="accent1" w:themeShade="BF"/>
    </w:rPr>
  </w:style>
  <w:style w:type="character" w:styleId="Intensieveverwijzing">
    <w:name w:val="Intense Reference"/>
    <w:basedOn w:val="Standaardalinea-lettertype"/>
    <w:uiPriority w:val="32"/>
    <w:qFormat/>
    <w:rsid w:val="00FF2700"/>
    <w:rPr>
      <w:b/>
      <w:bCs/>
      <w:smallCaps/>
      <w:color w:val="0F4761" w:themeColor="accent1" w:themeShade="BF"/>
      <w:spacing w:val="5"/>
    </w:rPr>
  </w:style>
  <w:style w:type="paragraph" w:styleId="Koptekst">
    <w:name w:val="header"/>
    <w:basedOn w:val="Standaard"/>
    <w:link w:val="KoptekstChar"/>
    <w:rsid w:val="00FF2700"/>
    <w:pPr>
      <w:tabs>
        <w:tab w:val="center" w:pos="4513"/>
        <w:tab w:val="right" w:pos="9026"/>
      </w:tabs>
      <w:suppressAutoHyphens/>
      <w:autoSpaceDN w:val="0"/>
      <w:spacing w:after="0" w:line="240" w:lineRule="auto"/>
      <w:textAlignment w:val="baseline"/>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rsid w:val="00FF270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rsid w:val="00FF2700"/>
    <w:pPr>
      <w:tabs>
        <w:tab w:val="center" w:pos="4513"/>
        <w:tab w:val="right" w:pos="9026"/>
      </w:tabs>
      <w:suppressAutoHyphens/>
      <w:autoSpaceDN w:val="0"/>
      <w:spacing w:after="0" w:line="240" w:lineRule="auto"/>
      <w:textAlignment w:val="baseline"/>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rsid w:val="00FF2700"/>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448</ap:Words>
  <ap:Characters>2468</ap:Characters>
  <ap:DocSecurity>0</ap:DocSecurity>
  <ap:Lines>20</ap:Lines>
  <ap:Paragraphs>5</ap:Paragraphs>
  <ap:ScaleCrop>false</ap:ScaleCrop>
  <ap:LinksUpToDate>false</ap:LinksUpToDate>
  <ap:CharactersWithSpaces>2911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2026-06-02T12:39:00.0000000Z</dcterms:created>
  <dcterms:modified xsi:type="dcterms:W3CDTF">2026-06-02T12:40:00.0000000Z</dcterms:modified>
  <version/>
  <category/>
</coreProperties>
</file>