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9A6" w:rsidP="00F919A6" w:rsidRDefault="00F919A6" w14:paraId="7B3FE052" w14:textId="06FF3087">
      <w:pPr>
        <w:rPr>
          <w:b/>
        </w:rPr>
      </w:pPr>
      <w:r>
        <w:rPr>
          <w:b/>
        </w:rPr>
        <w:t xml:space="preserve">Lijst van vragen </w:t>
      </w:r>
    </w:p>
    <w:p w:rsidR="00F919A6" w:rsidP="00F919A6" w:rsidRDefault="00F919A6" w14:paraId="3D36CF52" w14:textId="0B2EB694">
      <w:r>
        <w:t xml:space="preserve">De vaste commissie voor Sociale Zaken en Werkgelegenheid heeft een aantal vragen voorgelegd aan de bewindspersonen van Sociale Zaken en Werkgelegenheid over de </w:t>
      </w:r>
      <w:r>
        <w:rPr>
          <w:b/>
        </w:rPr>
        <w:t xml:space="preserve">Aanbieding van het rapport Resultaten verantwoordingsonderzoek 2025 bij het Ministerie van Sociale Zaken en Werkgelegenheid </w:t>
      </w:r>
      <w:r>
        <w:t>(</w:t>
      </w:r>
      <w:r>
        <w:rPr>
          <w:b/>
        </w:rPr>
        <w:t>36945-XV</w:t>
      </w:r>
      <w:r>
        <w:t xml:space="preserve">, nr. </w:t>
      </w:r>
      <w:r>
        <w:rPr>
          <w:b/>
        </w:rPr>
        <w:t>2</w:t>
      </w:r>
      <w:r>
        <w:t>).</w:t>
      </w:r>
    </w:p>
    <w:p w:rsidR="00F919A6" w:rsidP="00F919A6" w:rsidRDefault="00F919A6" w14:paraId="24B642C9" w14:textId="77777777">
      <w:pPr>
        <w:spacing w:after="0"/>
      </w:pPr>
    </w:p>
    <w:p w:rsidR="00F919A6" w:rsidP="00F919A6" w:rsidRDefault="00F919A6" w14:paraId="7F2CDE2D" w14:textId="54058DA1">
      <w:pPr>
        <w:spacing w:after="0"/>
      </w:pPr>
      <w:r>
        <w:t>De v</w:t>
      </w:r>
      <w:r>
        <w:t xml:space="preserve">oorzitter van de commissie, </w:t>
      </w:r>
    </w:p>
    <w:p w:rsidR="00F919A6" w:rsidP="00F919A6" w:rsidRDefault="00F919A6" w14:paraId="77545749" w14:textId="39D3C6C8">
      <w:pPr>
        <w:spacing w:after="0"/>
      </w:pPr>
      <w:r>
        <w:t>Van der Lee</w:t>
      </w:r>
    </w:p>
    <w:p w:rsidR="00F919A6" w:rsidP="00F919A6" w:rsidRDefault="00F919A6" w14:paraId="79A57DEF" w14:textId="77777777">
      <w:pPr>
        <w:spacing w:after="0"/>
      </w:pPr>
      <w:r>
        <w:tab/>
      </w:r>
      <w:r>
        <w:tab/>
      </w:r>
    </w:p>
    <w:p w:rsidR="00F919A6" w:rsidP="00F919A6" w:rsidRDefault="00F919A6" w14:paraId="5CDD21C0" w14:textId="4F5A194A">
      <w:pPr>
        <w:spacing w:after="0"/>
      </w:pPr>
      <w:r>
        <w:t>Adjunct-griffier van de commissie,</w:t>
      </w:r>
    </w:p>
    <w:p w:rsidR="00F919A6" w:rsidP="00F919A6" w:rsidRDefault="00F919A6" w14:paraId="2A649A31" w14:textId="7CE376E3">
      <w:pPr>
        <w:spacing w:after="0"/>
      </w:pPr>
      <w:r>
        <w:t>Morrin</w:t>
      </w:r>
    </w:p>
    <w:p w:rsidR="00F919A6" w:rsidP="00F919A6" w:rsidRDefault="00F919A6" w14:paraId="707C22AA" w14:textId="77777777"/>
    <w:tbl>
      <w:tblPr>
        <w:tblW w:w="7088" w:type="dxa"/>
        <w:tblLayout w:type="fixed"/>
        <w:tblCellMar>
          <w:left w:w="10" w:type="dxa"/>
          <w:right w:w="10" w:type="dxa"/>
        </w:tblCellMar>
        <w:tblLook w:val="04A0" w:firstRow="1" w:lastRow="0" w:firstColumn="1" w:lastColumn="0" w:noHBand="0" w:noVBand="1"/>
      </w:tblPr>
      <w:tblGrid>
        <w:gridCol w:w="567"/>
        <w:gridCol w:w="6521"/>
      </w:tblGrid>
      <w:tr w:rsidR="00F919A6" w:rsidTr="00F919A6" w14:paraId="7FAED89E" w14:textId="77777777">
        <w:tblPrEx>
          <w:tblCellMar>
            <w:top w:w="0" w:type="dxa"/>
            <w:bottom w:w="0" w:type="dxa"/>
          </w:tblCellMar>
        </w:tblPrEx>
        <w:trPr>
          <w:cantSplit/>
        </w:trPr>
        <w:tc>
          <w:tcPr>
            <w:tcW w:w="567" w:type="dxa"/>
            <w:tcMar>
              <w:top w:w="0" w:type="dxa"/>
              <w:left w:w="0" w:type="dxa"/>
              <w:bottom w:w="0" w:type="dxa"/>
              <w:right w:w="0" w:type="dxa"/>
            </w:tcMar>
          </w:tcPr>
          <w:p w:rsidR="00F919A6" w:rsidP="0047591D" w:rsidRDefault="00F919A6" w14:paraId="654ABDEE" w14:textId="77777777">
            <w:bookmarkStart w:name="bmkStartTabel" w:id="0"/>
            <w:bookmarkEnd w:id="0"/>
            <w:proofErr w:type="spellStart"/>
            <w:r>
              <w:t>Nr</w:t>
            </w:r>
            <w:proofErr w:type="spellEnd"/>
          </w:p>
        </w:tc>
        <w:tc>
          <w:tcPr>
            <w:tcW w:w="6521" w:type="dxa"/>
            <w:tcMar>
              <w:top w:w="0" w:type="dxa"/>
              <w:left w:w="0" w:type="dxa"/>
              <w:bottom w:w="0" w:type="dxa"/>
              <w:right w:w="0" w:type="dxa"/>
            </w:tcMar>
          </w:tcPr>
          <w:p w:rsidR="00F919A6" w:rsidP="0047591D" w:rsidRDefault="00F919A6" w14:paraId="7F653C22" w14:textId="77777777">
            <w:r>
              <w:t>Vraag</w:t>
            </w:r>
          </w:p>
        </w:tc>
      </w:tr>
      <w:tr w:rsidR="00F919A6" w:rsidTr="00F919A6" w14:paraId="6CDE1DD6"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71B930C3" w14:textId="77777777">
            <w:r>
              <w:t>1</w:t>
            </w:r>
          </w:p>
        </w:tc>
        <w:tc>
          <w:tcPr>
            <w:tcW w:w="6521" w:type="dxa"/>
            <w:tcMar>
              <w:top w:w="0" w:type="dxa"/>
              <w:left w:w="0" w:type="dxa"/>
              <w:bottom w:w="0" w:type="dxa"/>
              <w:right w:w="0" w:type="dxa"/>
            </w:tcMar>
          </w:tcPr>
          <w:p w:rsidR="00F919A6" w:rsidP="0047591D" w:rsidRDefault="00F919A6" w14:paraId="6890A358" w14:textId="77777777">
            <w:r>
              <w:t>In het nawoord schrijft de Algemene Rekenkamer dat ten aanzien van de uitkeringen in het kader van de Wet Werk en Inkomen naar Arbeidsvermogen (WIA) tempo gemaakt moet worden met de vereenvoudiging van regelgeving, zonder dat het arbeidsongeschiktheidsstelsel hoeft te worden herzien. Op welke termijn denkt u te kunnen komen met dergelijke concrete vereenvoudigingsmaatregelen voor de WIA?</w:t>
            </w:r>
          </w:p>
        </w:tc>
      </w:tr>
      <w:tr w:rsidR="00F919A6" w:rsidTr="00F919A6" w14:paraId="533448BA"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202B82AC" w14:textId="77777777">
            <w:r>
              <w:t>2</w:t>
            </w:r>
          </w:p>
        </w:tc>
        <w:tc>
          <w:tcPr>
            <w:tcW w:w="6521" w:type="dxa"/>
            <w:tcMar>
              <w:top w:w="0" w:type="dxa"/>
              <w:left w:w="0" w:type="dxa"/>
              <w:bottom w:w="0" w:type="dxa"/>
              <w:right w:w="0" w:type="dxa"/>
            </w:tcMar>
          </w:tcPr>
          <w:p w:rsidR="00F919A6" w:rsidP="0047591D" w:rsidRDefault="00F919A6" w14:paraId="4040B190" w14:textId="77777777">
            <w:r>
              <w:t>De Algemene Rekenkamer schrijft over structurele onvolkomenheden bij de unit Rijksdienst Caribisch Nederland. Wanneer denkt u het financieel beheer door deze Rijksdienst op orde te hebben?</w:t>
            </w:r>
          </w:p>
        </w:tc>
      </w:tr>
      <w:tr w:rsidR="00F919A6" w:rsidTr="00F919A6" w14:paraId="6FA47C89"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17D6DABE" w14:textId="77777777">
            <w:r>
              <w:t>3</w:t>
            </w:r>
          </w:p>
        </w:tc>
        <w:tc>
          <w:tcPr>
            <w:tcW w:w="6521" w:type="dxa"/>
            <w:tcMar>
              <w:top w:w="0" w:type="dxa"/>
              <w:left w:w="0" w:type="dxa"/>
              <w:bottom w:w="0" w:type="dxa"/>
              <w:right w:w="0" w:type="dxa"/>
            </w:tcMar>
          </w:tcPr>
          <w:p w:rsidR="00F919A6" w:rsidP="0047591D" w:rsidRDefault="00F919A6" w14:paraId="28927654" w14:textId="77777777">
            <w:r>
              <w:t>Kunt u de Tweede Kamer informeren over de te nemen stappen (en voortgang) met betrekking tot de verbetering van het financieel beheer bij deze Rijksdienst?</w:t>
            </w:r>
          </w:p>
        </w:tc>
      </w:tr>
      <w:tr w:rsidR="00F919A6" w:rsidTr="00F919A6" w14:paraId="0D2F3792"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144A8DD5" w14:textId="77777777">
            <w:r>
              <w:t>4</w:t>
            </w:r>
          </w:p>
        </w:tc>
        <w:tc>
          <w:tcPr>
            <w:tcW w:w="6521" w:type="dxa"/>
            <w:tcMar>
              <w:top w:w="0" w:type="dxa"/>
              <w:left w:w="0" w:type="dxa"/>
              <w:bottom w:w="0" w:type="dxa"/>
              <w:right w:w="0" w:type="dxa"/>
            </w:tcMar>
          </w:tcPr>
          <w:p w:rsidR="00F919A6" w:rsidP="0047591D" w:rsidRDefault="00F919A6" w14:paraId="0B2FD3D0" w14:textId="77777777">
            <w:r>
              <w:t>Kunt u aangeven waarom de minister volgens de Algemene Rekenkamer “geen zekerheid” heeft over de rechtmatigheid van de uitgaven aan de Wajong van € 4,4 miljard? Welke concrete fouten of onzekerheden liggen hieraan ten grondslag? Welke acties lopen hier nu op?</w:t>
            </w:r>
          </w:p>
        </w:tc>
      </w:tr>
      <w:tr w:rsidR="00F919A6" w:rsidTr="00F919A6" w14:paraId="1478EB04"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67738D44" w14:textId="77777777">
            <w:r>
              <w:t>5</w:t>
            </w:r>
          </w:p>
        </w:tc>
        <w:tc>
          <w:tcPr>
            <w:tcW w:w="6521" w:type="dxa"/>
            <w:tcMar>
              <w:top w:w="0" w:type="dxa"/>
              <w:left w:w="0" w:type="dxa"/>
              <w:bottom w:w="0" w:type="dxa"/>
              <w:right w:w="0" w:type="dxa"/>
            </w:tcMar>
          </w:tcPr>
          <w:p w:rsidR="00F919A6" w:rsidP="0047591D" w:rsidRDefault="00F919A6" w14:paraId="56FF5081" w14:textId="77777777">
            <w:r>
              <w:t>De Algemene Rekenkamer stelt dat men weinig vooruitgang ziet bij de bestrijding van arbeidsuitbuiting en dat de minister niet goed weet of slachtoffers beter worden geholpen, kunt u uitleggen waarom er sinds het Rekenkameronderzoek uit 2021 nog steeds zo weinig vooruitgang is geboekt bij de aanpak van arbeidsuitbuiting, terwijl vooral arbeidsmigranten hiervan slachtoffer worden?</w:t>
            </w:r>
          </w:p>
        </w:tc>
      </w:tr>
      <w:tr w:rsidR="00F919A6" w:rsidTr="00F919A6" w14:paraId="5446B651"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7DDCC780" w14:textId="77777777">
            <w:r>
              <w:t>6</w:t>
            </w:r>
          </w:p>
        </w:tc>
        <w:tc>
          <w:tcPr>
            <w:tcW w:w="6521" w:type="dxa"/>
            <w:tcMar>
              <w:top w:w="0" w:type="dxa"/>
              <w:left w:w="0" w:type="dxa"/>
              <w:bottom w:w="0" w:type="dxa"/>
              <w:right w:w="0" w:type="dxa"/>
            </w:tcMar>
          </w:tcPr>
          <w:p w:rsidR="00F919A6" w:rsidP="0047591D" w:rsidRDefault="00F919A6" w14:paraId="19DE6B8B" w14:textId="77777777">
            <w:r>
              <w:t xml:space="preserve">Herkent u de constatering van de Algemene Rekenkamer dat het aantal opgelegde bestuursrechtelijke boetes en waarschuwingen weliswaar zijn gestegen, maar dat het effect van die acties is op het terugdringen van arbeidsuitbuiting en ernstige benadeling onduidelijk </w:t>
            </w:r>
            <w:r>
              <w:lastRenderedPageBreak/>
              <w:t>is? Zo nee, welke effecten ziet u als gevolg van de intensievere handhaving?</w:t>
            </w:r>
          </w:p>
        </w:tc>
      </w:tr>
      <w:tr w:rsidR="00F919A6" w:rsidTr="00F919A6" w14:paraId="6C17F474"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37CD1A11" w14:textId="77777777">
            <w:r>
              <w:lastRenderedPageBreak/>
              <w:t>7</w:t>
            </w:r>
          </w:p>
        </w:tc>
        <w:tc>
          <w:tcPr>
            <w:tcW w:w="6521" w:type="dxa"/>
            <w:tcMar>
              <w:top w:w="0" w:type="dxa"/>
              <w:left w:w="0" w:type="dxa"/>
              <w:bottom w:w="0" w:type="dxa"/>
              <w:right w:w="0" w:type="dxa"/>
            </w:tcMar>
          </w:tcPr>
          <w:p w:rsidR="00F919A6" w:rsidP="0047591D" w:rsidRDefault="00F919A6" w14:paraId="526DD372" w14:textId="77777777">
            <w:r>
              <w:t>Hoe verklaart u de sterke daling in het aantal meldingen van arbeidsuitbuiting en ernstige benadeling door partijen waarmee de Arbeidsinspectie samenwerkt?</w:t>
            </w:r>
          </w:p>
        </w:tc>
      </w:tr>
      <w:tr w:rsidR="00F919A6" w:rsidTr="00F919A6" w14:paraId="40CDA2AD"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6E09EF6A" w14:textId="77777777">
            <w:r>
              <w:t>8</w:t>
            </w:r>
          </w:p>
        </w:tc>
        <w:tc>
          <w:tcPr>
            <w:tcW w:w="6521" w:type="dxa"/>
            <w:tcMar>
              <w:top w:w="0" w:type="dxa"/>
              <w:left w:w="0" w:type="dxa"/>
              <w:bottom w:w="0" w:type="dxa"/>
              <w:right w:w="0" w:type="dxa"/>
            </w:tcMar>
          </w:tcPr>
          <w:p w:rsidR="00F919A6" w:rsidP="0047591D" w:rsidRDefault="00F919A6" w14:paraId="0E32974B" w14:textId="77777777">
            <w:r>
              <w:t>Hoe verklaart u de lagere benutting van de noodbeddenvoorziening? Zijn er plannen om de toegankelijkheid en benutting van de noodbedden verder te verbeteren?</w:t>
            </w:r>
          </w:p>
        </w:tc>
      </w:tr>
      <w:tr w:rsidR="00F919A6" w:rsidTr="00F919A6" w14:paraId="48683878"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2BE691DA" w14:textId="77777777">
            <w:r>
              <w:t>9</w:t>
            </w:r>
          </w:p>
        </w:tc>
        <w:tc>
          <w:tcPr>
            <w:tcW w:w="6521" w:type="dxa"/>
            <w:tcMar>
              <w:top w:w="0" w:type="dxa"/>
              <w:left w:w="0" w:type="dxa"/>
              <w:bottom w:w="0" w:type="dxa"/>
              <w:right w:w="0" w:type="dxa"/>
            </w:tcMar>
          </w:tcPr>
          <w:p w:rsidR="00F919A6" w:rsidP="0047591D" w:rsidRDefault="00F919A6" w14:paraId="47762B37" w14:textId="77777777">
            <w:r>
              <w:t xml:space="preserve">Wat is de reden dat de in 2021 tussen </w:t>
            </w:r>
            <w:proofErr w:type="spellStart"/>
            <w:r>
              <w:t>Fairwork</w:t>
            </w:r>
            <w:proofErr w:type="spellEnd"/>
            <w:r>
              <w:t xml:space="preserve"> en de Arbeidsinspectie gemaakte samenwerkingsafspraken nog niet zijn uitgevoerd?</w:t>
            </w:r>
          </w:p>
        </w:tc>
      </w:tr>
      <w:tr w:rsidR="00F919A6" w:rsidTr="00F919A6" w14:paraId="6555F43F"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614B31DA" w14:textId="77777777">
            <w:r>
              <w:t>10</w:t>
            </w:r>
          </w:p>
        </w:tc>
        <w:tc>
          <w:tcPr>
            <w:tcW w:w="6521" w:type="dxa"/>
            <w:tcMar>
              <w:top w:w="0" w:type="dxa"/>
              <w:left w:w="0" w:type="dxa"/>
              <w:bottom w:w="0" w:type="dxa"/>
              <w:right w:w="0" w:type="dxa"/>
            </w:tcMar>
          </w:tcPr>
          <w:p w:rsidR="00F919A6" w:rsidP="0047591D" w:rsidRDefault="00F919A6" w14:paraId="1CC4655E" w14:textId="77777777">
            <w:r>
              <w:t xml:space="preserve">Heeft het project </w:t>
            </w:r>
            <w:proofErr w:type="spellStart"/>
            <w:r>
              <w:t>Work</w:t>
            </w:r>
            <w:proofErr w:type="spellEnd"/>
            <w:r>
              <w:t xml:space="preserve"> in NL de positie van slachtoffers van </w:t>
            </w:r>
            <w:r>
              <w:br/>
              <w:t>ernstige benadeling verbeterd? Zo ja, hoe?</w:t>
            </w:r>
          </w:p>
        </w:tc>
      </w:tr>
      <w:tr w:rsidR="00F919A6" w:rsidTr="00F919A6" w14:paraId="291F2F1D"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2D87F133" w14:textId="77777777">
            <w:r>
              <w:t>11</w:t>
            </w:r>
          </w:p>
        </w:tc>
        <w:tc>
          <w:tcPr>
            <w:tcW w:w="6521" w:type="dxa"/>
            <w:tcMar>
              <w:top w:w="0" w:type="dxa"/>
              <w:left w:w="0" w:type="dxa"/>
              <w:bottom w:w="0" w:type="dxa"/>
              <w:right w:w="0" w:type="dxa"/>
            </w:tcMar>
          </w:tcPr>
          <w:p w:rsidR="00F919A6" w:rsidP="0047591D" w:rsidRDefault="00F919A6" w14:paraId="533D02F9" w14:textId="77777777">
            <w:r>
              <w:t>Kunt u aangeven in hoeverre de problemen bij sociaal-medische beoordelingen binnen de WIA ook gevolgen hebben voor de uitvoering van de Wajong?</w:t>
            </w:r>
          </w:p>
        </w:tc>
      </w:tr>
      <w:tr w:rsidR="00F919A6" w:rsidTr="00F919A6" w14:paraId="063680B0"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2C5F3D95" w14:textId="77777777">
            <w:r>
              <w:t>12</w:t>
            </w:r>
          </w:p>
        </w:tc>
        <w:tc>
          <w:tcPr>
            <w:tcW w:w="6521" w:type="dxa"/>
            <w:tcMar>
              <w:top w:w="0" w:type="dxa"/>
              <w:left w:w="0" w:type="dxa"/>
              <w:bottom w:w="0" w:type="dxa"/>
              <w:right w:w="0" w:type="dxa"/>
            </w:tcMar>
          </w:tcPr>
          <w:p w:rsidR="00F919A6" w:rsidP="0047591D" w:rsidRDefault="00F919A6" w14:paraId="5CCA52FF" w14:textId="77777777">
            <w:r>
              <w:t>De Algemene Rekenkamer stelt dat dat 120.000 huishoudens geld uit het Tijdelijk Noodfonds Energie kregen, maar dat onduidelijk blijft of juist de meest kwetsbare huishoudens zijn geholpen, kunt u aangeven hoeveel van de meest kwetsbare huishoudens daadwerkelijk zijn bereikt met het Tijdelijk Noodfonds Energie, en waarom u dit niet vooraf beter in beeld had?</w:t>
            </w:r>
          </w:p>
        </w:tc>
      </w:tr>
      <w:tr w:rsidR="00F919A6" w:rsidTr="00F919A6" w14:paraId="482E0196"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73F39E6D" w14:textId="77777777">
            <w:r>
              <w:t>13</w:t>
            </w:r>
          </w:p>
        </w:tc>
        <w:tc>
          <w:tcPr>
            <w:tcW w:w="6521" w:type="dxa"/>
            <w:tcMar>
              <w:top w:w="0" w:type="dxa"/>
              <w:left w:w="0" w:type="dxa"/>
              <w:bottom w:w="0" w:type="dxa"/>
              <w:right w:w="0" w:type="dxa"/>
            </w:tcMar>
          </w:tcPr>
          <w:p w:rsidR="00F919A6" w:rsidP="0047591D" w:rsidRDefault="00F919A6" w14:paraId="6411A82B" w14:textId="77777777">
            <w:r>
              <w:t>Ligt u op koers met het streven om in 2026 de eerstelijnscontrole van de RCN-unit dusdanig verstevigd te hebben dat het controleteam van de unit zich kan richten op de tweedelijnscontrole?</w:t>
            </w:r>
          </w:p>
        </w:tc>
      </w:tr>
      <w:tr w:rsidR="00F919A6" w:rsidTr="00F919A6" w14:paraId="4F395D87"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27FFBBAC" w14:textId="77777777">
            <w:r>
              <w:t>14</w:t>
            </w:r>
          </w:p>
        </w:tc>
        <w:tc>
          <w:tcPr>
            <w:tcW w:w="6521" w:type="dxa"/>
            <w:tcMar>
              <w:top w:w="0" w:type="dxa"/>
              <w:left w:w="0" w:type="dxa"/>
              <w:bottom w:w="0" w:type="dxa"/>
              <w:right w:w="0" w:type="dxa"/>
            </w:tcMar>
          </w:tcPr>
          <w:p w:rsidR="00F919A6" w:rsidP="0047591D" w:rsidRDefault="00F919A6" w14:paraId="18CF89B5" w14:textId="77777777">
            <w:r>
              <w:t>Wanneer wordt het parlement nader geïnformeerd over de voortgang van de verbeteringen bij de RCN-unit?</w:t>
            </w:r>
          </w:p>
        </w:tc>
      </w:tr>
      <w:tr w:rsidR="00F919A6" w:rsidTr="00F919A6" w14:paraId="1732E316" w14:textId="77777777">
        <w:tblPrEx>
          <w:tblCellMar>
            <w:top w:w="0" w:type="dxa"/>
            <w:bottom w:w="0" w:type="dxa"/>
          </w:tblCellMar>
        </w:tblPrEx>
        <w:tc>
          <w:tcPr>
            <w:tcW w:w="567" w:type="dxa"/>
            <w:tcMar>
              <w:top w:w="0" w:type="dxa"/>
              <w:left w:w="0" w:type="dxa"/>
              <w:bottom w:w="0" w:type="dxa"/>
              <w:right w:w="0" w:type="dxa"/>
            </w:tcMar>
          </w:tcPr>
          <w:p w:rsidR="00F919A6" w:rsidP="0047591D" w:rsidRDefault="00F919A6" w14:paraId="66C5D2A4" w14:textId="77777777">
            <w:r>
              <w:t>15</w:t>
            </w:r>
          </w:p>
        </w:tc>
        <w:tc>
          <w:tcPr>
            <w:tcW w:w="6521" w:type="dxa"/>
            <w:tcMar>
              <w:top w:w="0" w:type="dxa"/>
              <w:left w:w="0" w:type="dxa"/>
              <w:bottom w:w="0" w:type="dxa"/>
              <w:right w:w="0" w:type="dxa"/>
            </w:tcMar>
          </w:tcPr>
          <w:p w:rsidR="00F919A6" w:rsidP="0047591D" w:rsidRDefault="00F919A6" w14:paraId="4E2ECC2C" w14:textId="77777777">
            <w:r>
              <w:t>Welke acties lopen er nu op het financieel beheer uitkeringen Caribisch Nederland? Wat voor tijdspad heeft u voor ogen? Wanneer informeert u de Kamer of de acties zijn uitgevoerd? Kan u toezeggen dit te doen in het eerste kwartaal van 2027?</w:t>
            </w:r>
          </w:p>
        </w:tc>
      </w:tr>
    </w:tbl>
    <w:p w:rsidR="00F919A6" w:rsidP="00F919A6" w:rsidRDefault="00F919A6" w14:paraId="163E6FCD" w14:textId="77777777"/>
    <w:p w:rsidR="00EC711E" w:rsidRDefault="00EC711E" w14:paraId="7453D6C6" w14:textId="77777777"/>
    <w:sectPr w:rsidR="00EC711E" w:rsidSect="00F919A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CD8A" w14:textId="77777777" w:rsidR="00B358C9" w:rsidRDefault="00B358C9" w:rsidP="00F919A6">
      <w:pPr>
        <w:spacing w:after="0" w:line="240" w:lineRule="auto"/>
      </w:pPr>
      <w:r>
        <w:separator/>
      </w:r>
    </w:p>
  </w:endnote>
  <w:endnote w:type="continuationSeparator" w:id="0">
    <w:p w14:paraId="48D2ADF8" w14:textId="77777777" w:rsidR="00B358C9" w:rsidRDefault="00B358C9" w:rsidP="00F9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60E2" w14:textId="77777777" w:rsidR="00F919A6" w:rsidRPr="00F919A6" w:rsidRDefault="00F919A6" w:rsidP="00F919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C81" w14:textId="77777777" w:rsidR="00F919A6" w:rsidRPr="00F919A6" w:rsidRDefault="00F919A6" w:rsidP="00F919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3532" w14:textId="77777777" w:rsidR="00F919A6" w:rsidRPr="00F919A6" w:rsidRDefault="00F919A6" w:rsidP="00F919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4EBB" w14:textId="77777777" w:rsidR="00B358C9" w:rsidRDefault="00B358C9" w:rsidP="00F919A6">
      <w:pPr>
        <w:spacing w:after="0" w:line="240" w:lineRule="auto"/>
      </w:pPr>
      <w:r>
        <w:separator/>
      </w:r>
    </w:p>
  </w:footnote>
  <w:footnote w:type="continuationSeparator" w:id="0">
    <w:p w14:paraId="43EA9B5E" w14:textId="77777777" w:rsidR="00B358C9" w:rsidRDefault="00B358C9" w:rsidP="00F91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E34" w14:textId="77777777" w:rsidR="00F919A6" w:rsidRPr="00F919A6" w:rsidRDefault="00F919A6" w:rsidP="00F919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CD90" w14:textId="77777777" w:rsidR="00F919A6" w:rsidRPr="00F919A6" w:rsidRDefault="00F919A6" w:rsidP="00F919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DEF" w14:textId="77777777" w:rsidR="00F919A6" w:rsidRPr="00F919A6" w:rsidRDefault="00F919A6" w:rsidP="00F919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A6"/>
    <w:rsid w:val="00097B5F"/>
    <w:rsid w:val="00566ABE"/>
    <w:rsid w:val="009F5F36"/>
    <w:rsid w:val="00B358C9"/>
    <w:rsid w:val="00EC711E"/>
    <w:rsid w:val="00F91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D8CE"/>
  <w15:chartTrackingRefBased/>
  <w15:docId w15:val="{46F4E260-8151-4AEF-BE30-0AB82E68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9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9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9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9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9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9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9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9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9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9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9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9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9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9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9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9A6"/>
    <w:rPr>
      <w:rFonts w:eastAsiaTheme="majorEastAsia" w:cstheme="majorBidi"/>
      <w:color w:val="272727" w:themeColor="text1" w:themeTint="D8"/>
    </w:rPr>
  </w:style>
  <w:style w:type="paragraph" w:styleId="Titel">
    <w:name w:val="Title"/>
    <w:basedOn w:val="Standaard"/>
    <w:next w:val="Standaard"/>
    <w:link w:val="TitelChar"/>
    <w:uiPriority w:val="10"/>
    <w:qFormat/>
    <w:rsid w:val="00F91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9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9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9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9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9A6"/>
    <w:rPr>
      <w:i/>
      <w:iCs/>
      <w:color w:val="404040" w:themeColor="text1" w:themeTint="BF"/>
    </w:rPr>
  </w:style>
  <w:style w:type="paragraph" w:styleId="Lijstalinea">
    <w:name w:val="List Paragraph"/>
    <w:basedOn w:val="Standaard"/>
    <w:uiPriority w:val="34"/>
    <w:qFormat/>
    <w:rsid w:val="00F919A6"/>
    <w:pPr>
      <w:ind w:left="720"/>
      <w:contextualSpacing/>
    </w:pPr>
  </w:style>
  <w:style w:type="character" w:styleId="Intensievebenadrukking">
    <w:name w:val="Intense Emphasis"/>
    <w:basedOn w:val="Standaardalinea-lettertype"/>
    <w:uiPriority w:val="21"/>
    <w:qFormat/>
    <w:rsid w:val="00F919A6"/>
    <w:rPr>
      <w:i/>
      <w:iCs/>
      <w:color w:val="0F4761" w:themeColor="accent1" w:themeShade="BF"/>
    </w:rPr>
  </w:style>
  <w:style w:type="paragraph" w:styleId="Duidelijkcitaat">
    <w:name w:val="Intense Quote"/>
    <w:basedOn w:val="Standaard"/>
    <w:next w:val="Standaard"/>
    <w:link w:val="DuidelijkcitaatChar"/>
    <w:uiPriority w:val="30"/>
    <w:qFormat/>
    <w:rsid w:val="00F91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9A6"/>
    <w:rPr>
      <w:i/>
      <w:iCs/>
      <w:color w:val="0F4761" w:themeColor="accent1" w:themeShade="BF"/>
    </w:rPr>
  </w:style>
  <w:style w:type="character" w:styleId="Intensieveverwijzing">
    <w:name w:val="Intense Reference"/>
    <w:basedOn w:val="Standaardalinea-lettertype"/>
    <w:uiPriority w:val="32"/>
    <w:qFormat/>
    <w:rsid w:val="00F919A6"/>
    <w:rPr>
      <w:b/>
      <w:bCs/>
      <w:smallCaps/>
      <w:color w:val="0F4761" w:themeColor="accent1" w:themeShade="BF"/>
      <w:spacing w:val="5"/>
    </w:rPr>
  </w:style>
  <w:style w:type="paragraph" w:styleId="Koptekst">
    <w:name w:val="header"/>
    <w:basedOn w:val="Standaard"/>
    <w:link w:val="KoptekstChar"/>
    <w:rsid w:val="00F919A6"/>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rsid w:val="00F919A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rsid w:val="00F919A6"/>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rsid w:val="00F919A6"/>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581</ap:Words>
  <ap:Characters>3197</ap:Characters>
  <ap:DocSecurity>0</ap:DocSecurity>
  <ap:Lines>26</ap:Lines>
  <ap:Paragraphs>7</ap:Paragraphs>
  <ap:ScaleCrop>false</ap:ScaleCrop>
  <ap:LinksUpToDate>false</ap:LinksUpToDate>
  <ap:CharactersWithSpaces>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2026-06-02T12:37:00.0000000Z</dcterms:created>
  <dcterms:modified xsi:type="dcterms:W3CDTF">2026-06-02T12:37:00.0000000Z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