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2BE" w:rsidP="009332BE" w:rsidRDefault="009332BE" w14:paraId="01C06DF4" w14:textId="77777777">
      <w:pPr>
        <w:rPr>
          <w:b/>
        </w:rPr>
      </w:pPr>
      <w:r>
        <w:rPr>
          <w:b/>
        </w:rPr>
        <w:t>Lijst van vragen</w:t>
      </w:r>
    </w:p>
    <w:p w:rsidR="009332BE" w:rsidP="009332BE" w:rsidRDefault="009332BE" w14:paraId="45208B5D" w14:textId="27135E77">
      <w:r>
        <w:t>De vaste commissie voor Volkshuisvesting en Ruimtelijke Ordening heeft vragen voorgelegd aan de minister van Volkshuisvesting en Ruimtelijke Ordening over het Jaarverslag Ministerie van Volkshuisvesting en Ruimtelijke Ordening 2025 (Kamerstuk 36945-XXII, nr. 1).</w:t>
      </w:r>
    </w:p>
    <w:p w:rsidR="009332BE" w:rsidP="009332BE" w:rsidRDefault="009332BE" w14:paraId="6FD67450" w14:textId="4BAE633C">
      <w:pPr>
        <w:spacing w:after="0"/>
      </w:pPr>
      <w:r>
        <w:t>De v</w:t>
      </w:r>
      <w:r>
        <w:t xml:space="preserve">oorzitter van de commissie, </w:t>
      </w:r>
    </w:p>
    <w:p w:rsidR="009332BE" w:rsidP="009332BE" w:rsidRDefault="009332BE" w14:paraId="11390AF0" w14:textId="3A42DAE5">
      <w:pPr>
        <w:spacing w:after="0"/>
      </w:pPr>
      <w:proofErr w:type="spellStart"/>
      <w:r>
        <w:t>Bromet</w:t>
      </w:r>
      <w:proofErr w:type="spellEnd"/>
    </w:p>
    <w:p w:rsidR="009332BE" w:rsidP="009332BE" w:rsidRDefault="009332BE" w14:paraId="546565FD" w14:textId="77777777">
      <w:pPr>
        <w:spacing w:after="0"/>
      </w:pPr>
      <w:r>
        <w:tab/>
      </w:r>
      <w:r>
        <w:tab/>
      </w:r>
    </w:p>
    <w:p w:rsidR="009332BE" w:rsidP="009332BE" w:rsidRDefault="009332BE" w14:paraId="51067BB7" w14:textId="378C7569">
      <w:pPr>
        <w:spacing w:after="0"/>
      </w:pPr>
      <w:r>
        <w:t>Adjunct-Griffier van de commissie,</w:t>
      </w:r>
    </w:p>
    <w:p w:rsidR="009332BE" w:rsidP="009332BE" w:rsidRDefault="009332BE" w14:paraId="00C50F66" w14:textId="4DC8CE4E">
      <w:pPr>
        <w:spacing w:after="0"/>
      </w:pPr>
      <w:r>
        <w:t>Beekmans</w:t>
      </w:r>
    </w:p>
    <w:p w:rsidR="009332BE" w:rsidP="009332BE" w:rsidRDefault="009332BE" w14:paraId="22EC6F75"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332BE" w:rsidTr="009332BE" w14:paraId="3DE6A76A" w14:textId="77777777">
        <w:trPr>
          <w:cantSplit/>
        </w:trPr>
        <w:tc>
          <w:tcPr>
            <w:tcW w:w="567" w:type="dxa"/>
          </w:tcPr>
          <w:p w:rsidR="009332BE" w:rsidP="003E3FA0" w:rsidRDefault="009332BE" w14:paraId="637CA635" w14:textId="77777777">
            <w:bookmarkStart w:name="bmkStartTabel" w:id="0"/>
            <w:bookmarkEnd w:id="0"/>
            <w:proofErr w:type="spellStart"/>
            <w:r>
              <w:t>Nr</w:t>
            </w:r>
            <w:proofErr w:type="spellEnd"/>
          </w:p>
        </w:tc>
        <w:tc>
          <w:tcPr>
            <w:tcW w:w="6521" w:type="dxa"/>
          </w:tcPr>
          <w:p w:rsidR="009332BE" w:rsidP="003E3FA0" w:rsidRDefault="009332BE" w14:paraId="40012844" w14:textId="77777777">
            <w:r>
              <w:t>Vraag</w:t>
            </w:r>
          </w:p>
        </w:tc>
      </w:tr>
      <w:tr w:rsidR="009332BE" w:rsidTr="009332BE" w14:paraId="66585F2F" w14:textId="77777777">
        <w:tc>
          <w:tcPr>
            <w:tcW w:w="567" w:type="dxa"/>
          </w:tcPr>
          <w:p w:rsidR="009332BE" w:rsidP="003E3FA0" w:rsidRDefault="009332BE" w14:paraId="54B15118" w14:textId="77777777">
            <w:r>
              <w:t>1</w:t>
            </w:r>
          </w:p>
        </w:tc>
        <w:tc>
          <w:tcPr>
            <w:tcW w:w="6521" w:type="dxa"/>
          </w:tcPr>
          <w:p w:rsidR="009332BE" w:rsidP="003E3FA0" w:rsidRDefault="009332BE" w14:paraId="3180D96A" w14:textId="77777777">
            <w:r>
              <w:t>Wat exact heeft u ondernomen en/of wat gaat u ondernemen om Utrecht, Zuid-Holland en Zeeland te bewegen zo snel mogelijk een bruto plancapaciteit van minimaal 130% te behalen?</w:t>
            </w:r>
          </w:p>
        </w:tc>
      </w:tr>
      <w:tr w:rsidR="009332BE" w:rsidTr="009332BE" w14:paraId="662936FC" w14:textId="77777777">
        <w:tc>
          <w:tcPr>
            <w:tcW w:w="567" w:type="dxa"/>
          </w:tcPr>
          <w:p w:rsidR="009332BE" w:rsidP="003E3FA0" w:rsidRDefault="009332BE" w14:paraId="67488210" w14:textId="77777777">
            <w:r>
              <w:t>2</w:t>
            </w:r>
          </w:p>
        </w:tc>
        <w:tc>
          <w:tcPr>
            <w:tcW w:w="6521" w:type="dxa"/>
          </w:tcPr>
          <w:p w:rsidR="009332BE" w:rsidP="003E3FA0" w:rsidRDefault="009332BE" w14:paraId="63B2808B" w14:textId="77777777">
            <w:r>
              <w:t>Wat zijn de exacte afspraken die met provincies gemaakt zijn waar het gaat om de 130% plancapaciteit?</w:t>
            </w:r>
          </w:p>
        </w:tc>
      </w:tr>
      <w:tr w:rsidR="009332BE" w:rsidTr="009332BE" w14:paraId="13995EB3" w14:textId="77777777">
        <w:tc>
          <w:tcPr>
            <w:tcW w:w="567" w:type="dxa"/>
          </w:tcPr>
          <w:p w:rsidR="009332BE" w:rsidP="003E3FA0" w:rsidRDefault="009332BE" w14:paraId="562F4414" w14:textId="77777777">
            <w:r>
              <w:t>3</w:t>
            </w:r>
          </w:p>
        </w:tc>
        <w:tc>
          <w:tcPr>
            <w:tcW w:w="6521" w:type="dxa"/>
          </w:tcPr>
          <w:p w:rsidR="009332BE" w:rsidP="003E3FA0" w:rsidRDefault="009332BE" w14:paraId="6E5387A2" w14:textId="77777777">
            <w:r>
              <w:t>Wat exact heeft u ondernomen en/of gaat u ondernemen om Utrecht, Zuid-Holland en Noord-Holland te bewegen zo snel mogelijk voldoende woningbouwplannen te concretiseren?</w:t>
            </w:r>
          </w:p>
        </w:tc>
      </w:tr>
      <w:tr w:rsidR="009332BE" w:rsidTr="009332BE" w14:paraId="374FED5A" w14:textId="77777777">
        <w:tc>
          <w:tcPr>
            <w:tcW w:w="567" w:type="dxa"/>
          </w:tcPr>
          <w:p w:rsidR="009332BE" w:rsidP="003E3FA0" w:rsidRDefault="009332BE" w14:paraId="7DD2B27E" w14:textId="77777777">
            <w:r>
              <w:t>4</w:t>
            </w:r>
          </w:p>
        </w:tc>
        <w:tc>
          <w:tcPr>
            <w:tcW w:w="6521" w:type="dxa"/>
          </w:tcPr>
          <w:p w:rsidR="009332BE" w:rsidP="003E3FA0" w:rsidRDefault="009332BE" w14:paraId="17169831" w14:textId="77777777">
            <w:r>
              <w:t xml:space="preserve">Welk deel van de 104.000 vergunde woningen worden naar verwachting </w:t>
            </w:r>
            <w:r>
              <w:br/>
              <w:t>daadwerkelijk binnen twee, drie en vijf jaar opgeleverd, en welke aannames worden daarbij gehanteerd over uitval, vertraging en beroepsprocedures?</w:t>
            </w:r>
          </w:p>
        </w:tc>
      </w:tr>
      <w:tr w:rsidR="009332BE" w:rsidTr="009332BE" w14:paraId="4B9A4754" w14:textId="77777777">
        <w:tc>
          <w:tcPr>
            <w:tcW w:w="567" w:type="dxa"/>
          </w:tcPr>
          <w:p w:rsidR="009332BE" w:rsidP="003E3FA0" w:rsidRDefault="009332BE" w14:paraId="10516BF1" w14:textId="77777777">
            <w:r>
              <w:t>5</w:t>
            </w:r>
          </w:p>
        </w:tc>
        <w:tc>
          <w:tcPr>
            <w:tcW w:w="6521" w:type="dxa"/>
          </w:tcPr>
          <w:p w:rsidR="009332BE" w:rsidP="003E3FA0" w:rsidRDefault="009332BE" w14:paraId="1EA6B2A7" w14:textId="77777777">
            <w:r>
              <w:t>Kan per provincie worden aangegeven met hoeveel woningen er wordt achtergelopen ten opzichte van de woondealopgave, welke rol onvoldoende vastgestelde omgevingsplannen daarbij spelen en welke aanvullende maatregelen het kabinet specifiek voor Utrecht, Zuid-Holland en Noord-Holland neemt?</w:t>
            </w:r>
          </w:p>
        </w:tc>
      </w:tr>
      <w:tr w:rsidR="009332BE" w:rsidTr="009332BE" w14:paraId="01F12B2C" w14:textId="77777777">
        <w:tc>
          <w:tcPr>
            <w:tcW w:w="567" w:type="dxa"/>
          </w:tcPr>
          <w:p w:rsidR="009332BE" w:rsidP="003E3FA0" w:rsidRDefault="009332BE" w14:paraId="78AF4C33" w14:textId="77777777">
            <w:r>
              <w:t>6</w:t>
            </w:r>
          </w:p>
        </w:tc>
        <w:tc>
          <w:tcPr>
            <w:tcW w:w="6521" w:type="dxa"/>
          </w:tcPr>
          <w:p w:rsidR="009332BE" w:rsidP="003E3FA0" w:rsidRDefault="009332BE" w14:paraId="780B4A9E" w14:textId="77777777">
            <w:r>
              <w:t>Kan u, gelet op het Jaarverslag Ministerie van Volkshuisvesting en Ruimtelijke Ordening 2025, pagina 13 en 14, waar staat dat in 2025 is gewerkt aan de Publiek Private Monitor en versnellingstafels, dat vier aanvullende nationaal grootschalige woningbouwlocaties zijn aangewezen, dat 127 regionaal grootschalige woningbouwlocaties zijn benoemd en dat 24 doorbraaklocaties zijn aangewezen, feitelijk aangeven hoeveel concrete woningen in 2025 per instrument daadwerkelijk extra zijn gerealiseerd of versneld?</w:t>
            </w:r>
          </w:p>
        </w:tc>
      </w:tr>
      <w:tr w:rsidR="009332BE" w:rsidTr="009332BE" w14:paraId="393A67B5" w14:textId="77777777">
        <w:tc>
          <w:tcPr>
            <w:tcW w:w="567" w:type="dxa"/>
          </w:tcPr>
          <w:p w:rsidR="009332BE" w:rsidP="003E3FA0" w:rsidRDefault="009332BE" w14:paraId="1C11DD5A" w14:textId="77777777">
            <w:r>
              <w:t>7</w:t>
            </w:r>
          </w:p>
        </w:tc>
        <w:tc>
          <w:tcPr>
            <w:tcW w:w="6521" w:type="dxa"/>
          </w:tcPr>
          <w:p w:rsidR="009332BE" w:rsidP="003E3FA0" w:rsidRDefault="009332BE" w14:paraId="7465792C" w14:textId="77777777">
            <w:r>
              <w:t>Kan er nadere invulling worden gegeven aan “in 2026 zullen meer doorbraken volgen”? Wat zijn de verwachtingen voor 2026?</w:t>
            </w:r>
          </w:p>
        </w:tc>
      </w:tr>
      <w:tr w:rsidR="009332BE" w:rsidTr="009332BE" w14:paraId="317E4AB7" w14:textId="77777777">
        <w:tc>
          <w:tcPr>
            <w:tcW w:w="567" w:type="dxa"/>
          </w:tcPr>
          <w:p w:rsidR="009332BE" w:rsidP="003E3FA0" w:rsidRDefault="009332BE" w14:paraId="10A952FD" w14:textId="77777777">
            <w:r>
              <w:t>8</w:t>
            </w:r>
          </w:p>
        </w:tc>
        <w:tc>
          <w:tcPr>
            <w:tcW w:w="6521" w:type="dxa"/>
          </w:tcPr>
          <w:p w:rsidR="009332BE" w:rsidP="003E3FA0" w:rsidRDefault="009332BE" w14:paraId="4AE16B48" w14:textId="77777777">
            <w:r>
              <w:t xml:space="preserve">Kan nader worden toegelicht wat er is gebeurd en/of gaat gebeuren met aanvragen die buiten het subsidieplafond van de SOO vielen? </w:t>
            </w:r>
            <w:r>
              <w:lastRenderedPageBreak/>
              <w:t>Om hoeveel aanvragen gaat het, waarom vielen ze buiten het subsidieplafond en wat is/wordt ondernomen om deze aanvragen toch (deels) tegemoet te komen?</w:t>
            </w:r>
          </w:p>
        </w:tc>
      </w:tr>
      <w:tr w:rsidR="009332BE" w:rsidTr="009332BE" w14:paraId="7911FC09" w14:textId="77777777">
        <w:tc>
          <w:tcPr>
            <w:tcW w:w="567" w:type="dxa"/>
          </w:tcPr>
          <w:p w:rsidR="009332BE" w:rsidP="003E3FA0" w:rsidRDefault="009332BE" w14:paraId="55050DCB" w14:textId="77777777">
            <w:r>
              <w:lastRenderedPageBreak/>
              <w:t>9</w:t>
            </w:r>
          </w:p>
        </w:tc>
        <w:tc>
          <w:tcPr>
            <w:tcW w:w="6521" w:type="dxa"/>
          </w:tcPr>
          <w:p w:rsidR="009332BE" w:rsidP="003E3FA0" w:rsidRDefault="009332BE" w14:paraId="3DEF113E" w14:textId="77777777">
            <w:r>
              <w:t>Hoe beoordeelt u of gemeenten, corporaties en het Rijk gezamenlijk voldoende randvoorwaarden creëren voor de afgesproken doorstroming en passende huisvesting van ouderen, en welke rol spelen financiële ondersteuning, locaties en planvorming daarbij?</w:t>
            </w:r>
          </w:p>
        </w:tc>
      </w:tr>
      <w:tr w:rsidR="009332BE" w:rsidTr="009332BE" w14:paraId="29F49943" w14:textId="77777777">
        <w:tc>
          <w:tcPr>
            <w:tcW w:w="567" w:type="dxa"/>
          </w:tcPr>
          <w:p w:rsidR="009332BE" w:rsidP="003E3FA0" w:rsidRDefault="009332BE" w14:paraId="41FEE193" w14:textId="77777777">
            <w:r>
              <w:t>10</w:t>
            </w:r>
          </w:p>
        </w:tc>
        <w:tc>
          <w:tcPr>
            <w:tcW w:w="6521" w:type="dxa"/>
          </w:tcPr>
          <w:p w:rsidR="009332BE" w:rsidP="003E3FA0" w:rsidRDefault="009332BE" w14:paraId="6A20AB6D" w14:textId="77777777">
            <w:r>
              <w:t>Waarom blijft u goedpraten dat woningcorporaties geen gebruik kunnen maken van de Subsidieregeling Verduurzaming en Onderhoud Huurwoningen (SVOH), terwijl zij wel bestaande huurwoningen moeten verduurzamen en vaak huishoudens met lage inkomens huisvesten?</w:t>
            </w:r>
          </w:p>
        </w:tc>
      </w:tr>
      <w:tr w:rsidR="009332BE" w:rsidTr="009332BE" w14:paraId="3F0532A7" w14:textId="77777777">
        <w:tc>
          <w:tcPr>
            <w:tcW w:w="567" w:type="dxa"/>
          </w:tcPr>
          <w:p w:rsidR="009332BE" w:rsidP="003E3FA0" w:rsidRDefault="009332BE" w14:paraId="27A87463" w14:textId="77777777">
            <w:r>
              <w:t>11</w:t>
            </w:r>
          </w:p>
        </w:tc>
        <w:tc>
          <w:tcPr>
            <w:tcW w:w="6521" w:type="dxa"/>
          </w:tcPr>
          <w:p w:rsidR="009332BE" w:rsidP="003E3FA0" w:rsidRDefault="009332BE" w14:paraId="0485B3AA" w14:textId="77777777">
            <w:r>
              <w:t>Zijn er signalen dat de deadline van eind 2027 nog steeds voor veel gemeenten moeilijk haalbaar is inzake het vaststellen van warmteprogramma’s en zo ja, wat wordt met deze signalen gedaan? Wat gebeurt er met een gemeente, als deze niet voor eind 2027 een warmteprogramma heeft gerealiseerd, ondanks serieuze pogingen?</w:t>
            </w:r>
          </w:p>
        </w:tc>
      </w:tr>
      <w:tr w:rsidR="009332BE" w:rsidTr="009332BE" w14:paraId="0DEC4D00" w14:textId="77777777">
        <w:tc>
          <w:tcPr>
            <w:tcW w:w="567" w:type="dxa"/>
          </w:tcPr>
          <w:p w:rsidR="009332BE" w:rsidP="003E3FA0" w:rsidRDefault="009332BE" w14:paraId="457513B9" w14:textId="77777777">
            <w:r>
              <w:t>12</w:t>
            </w:r>
          </w:p>
        </w:tc>
        <w:tc>
          <w:tcPr>
            <w:tcW w:w="6521" w:type="dxa"/>
          </w:tcPr>
          <w:p w:rsidR="009332BE" w:rsidP="003E3FA0" w:rsidRDefault="009332BE" w14:paraId="37827EFE" w14:textId="77777777">
            <w:r>
              <w:t xml:space="preserve">Wordt er door koplopergemeenten ter realisatie van een gebiedsgerichte aanpak ook gekeken naar ‘best </w:t>
            </w:r>
            <w:proofErr w:type="spellStart"/>
            <w:r>
              <w:t>practices</w:t>
            </w:r>
            <w:proofErr w:type="spellEnd"/>
            <w:r>
              <w:t>’ in andere landen die te maken hebben met funderingsproblematiek?</w:t>
            </w:r>
          </w:p>
        </w:tc>
      </w:tr>
      <w:tr w:rsidR="009332BE" w:rsidTr="009332BE" w14:paraId="178A1059" w14:textId="77777777">
        <w:tc>
          <w:tcPr>
            <w:tcW w:w="567" w:type="dxa"/>
          </w:tcPr>
          <w:p w:rsidR="009332BE" w:rsidP="003E3FA0" w:rsidRDefault="009332BE" w14:paraId="3D52C1AE" w14:textId="77777777">
            <w:r>
              <w:t>13</w:t>
            </w:r>
          </w:p>
        </w:tc>
        <w:tc>
          <w:tcPr>
            <w:tcW w:w="6521" w:type="dxa"/>
          </w:tcPr>
          <w:p w:rsidR="009332BE" w:rsidP="003E3FA0" w:rsidRDefault="009332BE" w14:paraId="2ADD1165" w14:textId="77777777">
            <w:r>
              <w:t xml:space="preserve">Kunt u nader toelichten welke locaties van (tijdelijk) leegstaand </w:t>
            </w:r>
            <w:proofErr w:type="spellStart"/>
            <w:r>
              <w:t>rijksvastgoed</w:t>
            </w:r>
            <w:proofErr w:type="spellEnd"/>
            <w:r>
              <w:t xml:space="preserve"> zijn gebruikt voor de opvang van statushouders, asielzoekers en Oekraïners? Graag ook met info over aantallen, tijdsduur van de opvang en totale kosten per locatie. Kunt u tevens aangeven of er ook (tijdelijk) leegstaand </w:t>
            </w:r>
            <w:proofErr w:type="spellStart"/>
            <w:r>
              <w:t>rijksvastgoed</w:t>
            </w:r>
            <w:proofErr w:type="spellEnd"/>
            <w:r>
              <w:t xml:space="preserve"> is/wordt gebruikt voor de opvang van dakloze Nederlanders en Nederlandse spoedzoekers?</w:t>
            </w:r>
          </w:p>
        </w:tc>
      </w:tr>
      <w:tr w:rsidR="009332BE" w:rsidTr="009332BE" w14:paraId="514C406F" w14:textId="77777777">
        <w:tc>
          <w:tcPr>
            <w:tcW w:w="567" w:type="dxa"/>
          </w:tcPr>
          <w:p w:rsidR="009332BE" w:rsidP="003E3FA0" w:rsidRDefault="009332BE" w14:paraId="26A1D5C3" w14:textId="77777777">
            <w:r>
              <w:t>14</w:t>
            </w:r>
          </w:p>
        </w:tc>
        <w:tc>
          <w:tcPr>
            <w:tcW w:w="6521" w:type="dxa"/>
          </w:tcPr>
          <w:p w:rsidR="009332BE" w:rsidP="003E3FA0" w:rsidRDefault="009332BE" w14:paraId="299272DB" w14:textId="77777777">
            <w:r>
              <w:t xml:space="preserve">Is het formeel/juridisch mogelijk om </w:t>
            </w:r>
            <w:proofErr w:type="spellStart"/>
            <w:r>
              <w:t>onderuitputting</w:t>
            </w:r>
            <w:proofErr w:type="spellEnd"/>
            <w:r>
              <w:t xml:space="preserve"> van de Stimuleringsregel </w:t>
            </w:r>
            <w:proofErr w:type="spellStart"/>
            <w:r>
              <w:t>Flex</w:t>
            </w:r>
            <w:proofErr w:type="spellEnd"/>
            <w:r>
              <w:t>- en Transformatiewoningen door te laten stromen naar andere stimuleringsregelingen die met volkshuisvesting te maken hebben en met tekorten kampen?</w:t>
            </w:r>
          </w:p>
        </w:tc>
      </w:tr>
      <w:tr w:rsidR="009332BE" w:rsidTr="009332BE" w14:paraId="7D229446" w14:textId="77777777">
        <w:tc>
          <w:tcPr>
            <w:tcW w:w="567" w:type="dxa"/>
          </w:tcPr>
          <w:p w:rsidR="009332BE" w:rsidP="003E3FA0" w:rsidRDefault="009332BE" w14:paraId="7550C90C" w14:textId="77777777">
            <w:r>
              <w:t>15</w:t>
            </w:r>
          </w:p>
        </w:tc>
        <w:tc>
          <w:tcPr>
            <w:tcW w:w="6521" w:type="dxa"/>
          </w:tcPr>
          <w:p w:rsidR="009332BE" w:rsidP="003E3FA0" w:rsidRDefault="009332BE" w14:paraId="373DD2B0" w14:textId="77777777">
            <w:r>
              <w:t>Welk van de drie genoemde belangrijke risico’s is op dit moment het meest bepalend voor het achterblijven van betaalbare woningbouw, en welke concrete maatregel heeft in 2026 per risico het grootste verwachte effect?</w:t>
            </w:r>
          </w:p>
        </w:tc>
      </w:tr>
      <w:tr w:rsidR="009332BE" w:rsidTr="009332BE" w14:paraId="1F387F19" w14:textId="77777777">
        <w:tc>
          <w:tcPr>
            <w:tcW w:w="567" w:type="dxa"/>
          </w:tcPr>
          <w:p w:rsidR="009332BE" w:rsidP="003E3FA0" w:rsidRDefault="009332BE" w14:paraId="329F3186" w14:textId="77777777">
            <w:r>
              <w:t>16</w:t>
            </w:r>
          </w:p>
        </w:tc>
        <w:tc>
          <w:tcPr>
            <w:tcW w:w="6521" w:type="dxa"/>
          </w:tcPr>
          <w:p w:rsidR="009332BE" w:rsidP="003E3FA0" w:rsidRDefault="009332BE" w14:paraId="203BB155" w14:textId="77777777">
            <w:r>
              <w:t>Kan per genoemd risico worden aangegeven welke concrete beheersmaatregelen in 2026 worden genomen, welke indicatoren worden gebruikt om voortgang te meten en wanneer de Kamer wordt geïnformeerd over de effectiviteit daarvan?</w:t>
            </w:r>
          </w:p>
        </w:tc>
      </w:tr>
      <w:tr w:rsidR="009332BE" w:rsidTr="009332BE" w14:paraId="5ED32AB3" w14:textId="77777777">
        <w:tc>
          <w:tcPr>
            <w:tcW w:w="567" w:type="dxa"/>
          </w:tcPr>
          <w:p w:rsidR="009332BE" w:rsidP="003E3FA0" w:rsidRDefault="009332BE" w14:paraId="5570AFDB" w14:textId="77777777">
            <w:r>
              <w:t>17</w:t>
            </w:r>
          </w:p>
        </w:tc>
        <w:tc>
          <w:tcPr>
            <w:tcW w:w="6521" w:type="dxa"/>
          </w:tcPr>
          <w:p w:rsidR="009332BE" w:rsidP="003E3FA0" w:rsidRDefault="009332BE" w14:paraId="5F17533A" w14:textId="77777777">
            <w:r>
              <w:t xml:space="preserve">Hoe groot is naar schatting de publieke onrendabele top bij woningbouwprojecten, uitgesplitst naar sociale huur, </w:t>
            </w:r>
            <w:proofErr w:type="spellStart"/>
            <w:r>
              <w:t>middenhuur</w:t>
            </w:r>
            <w:proofErr w:type="spellEnd"/>
            <w:r>
              <w:t>, betaalbare koop en overige woningbouw, en welk deel daarvan wordt met bestaande regelingen afgedekt?</w:t>
            </w:r>
          </w:p>
        </w:tc>
      </w:tr>
      <w:tr w:rsidR="009332BE" w:rsidTr="009332BE" w14:paraId="6BE2DCB0" w14:textId="77777777">
        <w:tc>
          <w:tcPr>
            <w:tcW w:w="567" w:type="dxa"/>
          </w:tcPr>
          <w:p w:rsidR="009332BE" w:rsidP="003E3FA0" w:rsidRDefault="009332BE" w14:paraId="661A092A" w14:textId="77777777">
            <w:r>
              <w:t>18</w:t>
            </w:r>
          </w:p>
        </w:tc>
        <w:tc>
          <w:tcPr>
            <w:tcW w:w="6521" w:type="dxa"/>
          </w:tcPr>
          <w:p w:rsidR="009332BE" w:rsidP="003E3FA0" w:rsidRDefault="009332BE" w14:paraId="0FDE7EEE" w14:textId="77777777">
            <w:r>
              <w:t>Welke wettelijke, procedurele en bestuurlijke stappen in het woningbouwproces veroorzaken de meeste vertraging, en welke concrete vereenvoudigingen gaat het kabinet wanneer doorvoeren om de doorlooptijd te verkorten?</w:t>
            </w:r>
          </w:p>
        </w:tc>
      </w:tr>
      <w:tr w:rsidR="009332BE" w:rsidTr="009332BE" w14:paraId="70798213" w14:textId="77777777">
        <w:tc>
          <w:tcPr>
            <w:tcW w:w="567" w:type="dxa"/>
          </w:tcPr>
          <w:p w:rsidR="009332BE" w:rsidP="003E3FA0" w:rsidRDefault="009332BE" w14:paraId="79393223" w14:textId="77777777">
            <w:r>
              <w:t>19</w:t>
            </w:r>
          </w:p>
        </w:tc>
        <w:tc>
          <w:tcPr>
            <w:tcW w:w="6521" w:type="dxa"/>
          </w:tcPr>
          <w:p w:rsidR="009332BE" w:rsidP="003E3FA0" w:rsidRDefault="009332BE" w14:paraId="22455FA1" w14:textId="77777777">
            <w:r>
              <w:t>Kan worden uitgesplitst uit welke soorten woningen de 79.900 gerealiseerde woningen in 2025 zijn opgebouwd, en aangegeven welke categorieën het meest achterbleven bij de doelstellingen?</w:t>
            </w:r>
          </w:p>
        </w:tc>
      </w:tr>
      <w:tr w:rsidR="009332BE" w:rsidTr="009332BE" w14:paraId="20611D71" w14:textId="77777777">
        <w:tc>
          <w:tcPr>
            <w:tcW w:w="567" w:type="dxa"/>
          </w:tcPr>
          <w:p w:rsidR="009332BE" w:rsidP="003E3FA0" w:rsidRDefault="009332BE" w14:paraId="007FF969" w14:textId="77777777">
            <w:r>
              <w:t>20</w:t>
            </w:r>
          </w:p>
        </w:tc>
        <w:tc>
          <w:tcPr>
            <w:tcW w:w="6521" w:type="dxa"/>
          </w:tcPr>
          <w:p w:rsidR="009332BE" w:rsidP="003E3FA0" w:rsidRDefault="009332BE" w14:paraId="488FD0D7" w14:textId="77777777">
            <w:r>
              <w:t>Kan het netto positieve saldo bij de huurtoeslag van € 381,5 miljoen ook worden gezien als een signaal dat de regeling mogelijk minder huishoudens bereikt dan beoogd? Welke lessen trekt u hieruit voor de raming en uitvoering van inkomensondersteuning bij wonen?</w:t>
            </w:r>
          </w:p>
        </w:tc>
      </w:tr>
      <w:tr w:rsidR="009332BE" w:rsidTr="009332BE" w14:paraId="3AB94AA7" w14:textId="77777777">
        <w:tc>
          <w:tcPr>
            <w:tcW w:w="567" w:type="dxa"/>
          </w:tcPr>
          <w:p w:rsidR="009332BE" w:rsidP="003E3FA0" w:rsidRDefault="009332BE" w14:paraId="48B32FCC" w14:textId="77777777">
            <w:r>
              <w:t>21</w:t>
            </w:r>
          </w:p>
        </w:tc>
        <w:tc>
          <w:tcPr>
            <w:tcW w:w="6521" w:type="dxa"/>
          </w:tcPr>
          <w:p w:rsidR="009332BE" w:rsidP="003E3FA0" w:rsidRDefault="009332BE" w14:paraId="1D3D8458" w14:textId="77777777">
            <w:r>
              <w:t xml:space="preserve">Hoe wordt geborgd dat de landelijke maatlat groene </w:t>
            </w:r>
            <w:proofErr w:type="spellStart"/>
            <w:r>
              <w:t>klimaatadaptieve</w:t>
            </w:r>
            <w:proofErr w:type="spellEnd"/>
            <w:r>
              <w:t xml:space="preserve"> gebouwde omgeving op geen enkele manier hindernissen opwerpt voor de realisatie van broodnodige woningbouwprojecten?</w:t>
            </w:r>
          </w:p>
        </w:tc>
      </w:tr>
      <w:tr w:rsidR="009332BE" w:rsidTr="009332BE" w14:paraId="59625E26" w14:textId="77777777">
        <w:tc>
          <w:tcPr>
            <w:tcW w:w="567" w:type="dxa"/>
          </w:tcPr>
          <w:p w:rsidR="009332BE" w:rsidP="003E3FA0" w:rsidRDefault="009332BE" w14:paraId="7171C13B" w14:textId="77777777">
            <w:r>
              <w:t>22</w:t>
            </w:r>
          </w:p>
        </w:tc>
        <w:tc>
          <w:tcPr>
            <w:tcW w:w="6521" w:type="dxa"/>
          </w:tcPr>
          <w:p w:rsidR="009332BE" w:rsidP="003E3FA0" w:rsidRDefault="009332BE" w14:paraId="340EE919" w14:textId="77777777">
            <w:r>
              <w:t>Hoe ziet u de balans tussen normeren, stimuleren en regisseren bij energiebesparing en CO₂-reductie in de gebouwde omgeving, met name voor woningcorporaties die verduurzamingsopgaven hebben maar bijvoorbeeld niet voor de SVOH in aanmerking komen?</w:t>
            </w:r>
          </w:p>
        </w:tc>
      </w:tr>
      <w:tr w:rsidR="009332BE" w:rsidTr="009332BE" w14:paraId="3DC25BF7" w14:textId="77777777">
        <w:tc>
          <w:tcPr>
            <w:tcW w:w="567" w:type="dxa"/>
          </w:tcPr>
          <w:p w:rsidR="009332BE" w:rsidP="003E3FA0" w:rsidRDefault="009332BE" w14:paraId="2DC2BBAF" w14:textId="77777777">
            <w:r>
              <w:t>23</w:t>
            </w:r>
          </w:p>
        </w:tc>
        <w:tc>
          <w:tcPr>
            <w:tcW w:w="6521" w:type="dxa"/>
          </w:tcPr>
          <w:p w:rsidR="009332BE" w:rsidP="003E3FA0" w:rsidRDefault="009332BE" w14:paraId="22A70749" w14:textId="77777777">
            <w:r>
              <w:t>Kan worden aangegeven hoe de verdubbeling van het aangevraagde SVOH-budget naar € 23,8 miljoen zich verhoudt tot het totale budget van € 152 miljoen en het op 30 april 2026 nog steeds beschikbare bedrag van € 113,7 miljoen?</w:t>
            </w:r>
          </w:p>
        </w:tc>
      </w:tr>
      <w:tr w:rsidR="009332BE" w:rsidTr="009332BE" w14:paraId="5986D98F" w14:textId="77777777">
        <w:tc>
          <w:tcPr>
            <w:tcW w:w="567" w:type="dxa"/>
          </w:tcPr>
          <w:p w:rsidR="009332BE" w:rsidP="003E3FA0" w:rsidRDefault="009332BE" w14:paraId="644ED9D6" w14:textId="77777777">
            <w:r>
              <w:t>24</w:t>
            </w:r>
          </w:p>
        </w:tc>
        <w:tc>
          <w:tcPr>
            <w:tcW w:w="6521" w:type="dxa"/>
          </w:tcPr>
          <w:p w:rsidR="009332BE" w:rsidP="003E3FA0" w:rsidRDefault="009332BE" w14:paraId="4007CF0B" w14:textId="77777777">
            <w:r>
              <w:t>Kan u verklaren waarom op 30 april 2026 nog 75% van het SVOH-budget beschikbaar was, en welke conclusie u hieruit trekt over de doelmatigheid en doeltreffendheid van de regeling?</w:t>
            </w:r>
          </w:p>
        </w:tc>
      </w:tr>
      <w:tr w:rsidR="009332BE" w:rsidTr="009332BE" w14:paraId="64CCD122" w14:textId="77777777">
        <w:tc>
          <w:tcPr>
            <w:tcW w:w="567" w:type="dxa"/>
          </w:tcPr>
          <w:p w:rsidR="009332BE" w:rsidP="003E3FA0" w:rsidRDefault="009332BE" w14:paraId="25551BE4" w14:textId="77777777">
            <w:r>
              <w:t>25</w:t>
            </w:r>
          </w:p>
        </w:tc>
        <w:tc>
          <w:tcPr>
            <w:tcW w:w="6521" w:type="dxa"/>
          </w:tcPr>
          <w:p w:rsidR="009332BE" w:rsidP="003E3FA0" w:rsidRDefault="009332BE" w14:paraId="4D1BC49B" w14:textId="77777777">
            <w:r>
              <w:t>Waarom sluit u woningcorporaties uit van de SVOH, terwijl de regeling bedoeld is voor verduurzaming en onderhoud van huurwoningen en op 30 april 2026 nog 75% van het budget beschikbaar was?</w:t>
            </w:r>
          </w:p>
        </w:tc>
      </w:tr>
      <w:tr w:rsidR="009332BE" w:rsidTr="009332BE" w14:paraId="1AFC108E" w14:textId="77777777">
        <w:tc>
          <w:tcPr>
            <w:tcW w:w="567" w:type="dxa"/>
          </w:tcPr>
          <w:p w:rsidR="009332BE" w:rsidP="003E3FA0" w:rsidRDefault="009332BE" w14:paraId="207FF645" w14:textId="77777777">
            <w:r>
              <w:t>26</w:t>
            </w:r>
          </w:p>
        </w:tc>
        <w:tc>
          <w:tcPr>
            <w:tcW w:w="6521" w:type="dxa"/>
          </w:tcPr>
          <w:p w:rsidR="009332BE" w:rsidP="003E3FA0" w:rsidRDefault="009332BE" w14:paraId="681784A3" w14:textId="77777777">
            <w:r>
              <w:t>Waarom kiest u ervoor de SVOH te richten op private verhuurders, terwijl huurders van corporatiewoningen eveneens belang hebben bij lagere energielasten, beter wooncomfort en verduurzaming?</w:t>
            </w:r>
          </w:p>
        </w:tc>
      </w:tr>
      <w:tr w:rsidR="009332BE" w:rsidTr="009332BE" w14:paraId="22387E28" w14:textId="77777777">
        <w:tc>
          <w:tcPr>
            <w:tcW w:w="567" w:type="dxa"/>
          </w:tcPr>
          <w:p w:rsidR="009332BE" w:rsidP="003E3FA0" w:rsidRDefault="009332BE" w14:paraId="5313D39A" w14:textId="77777777">
            <w:r>
              <w:t>27</w:t>
            </w:r>
          </w:p>
        </w:tc>
        <w:tc>
          <w:tcPr>
            <w:tcW w:w="6521" w:type="dxa"/>
          </w:tcPr>
          <w:p w:rsidR="009332BE" w:rsidP="003E3FA0" w:rsidRDefault="009332BE" w14:paraId="3AA9A7BE" w14:textId="77777777">
            <w:r>
              <w:t xml:space="preserve">Waarom is bij de SVOH in 2025 € 5,895 miljoen minder gerealiseerd dan begroot, en wijst dit op onvoldoende belangstelling, ontoereikende </w:t>
            </w:r>
            <w:proofErr w:type="spellStart"/>
            <w:r>
              <w:t>regelingvoorwaarden</w:t>
            </w:r>
            <w:proofErr w:type="spellEnd"/>
            <w:r>
              <w:t>, uitvoeringsproblemen of een andere oorzaak?</w:t>
            </w:r>
          </w:p>
        </w:tc>
      </w:tr>
      <w:tr w:rsidR="009332BE" w:rsidTr="009332BE" w14:paraId="7E71AACF" w14:textId="77777777">
        <w:tc>
          <w:tcPr>
            <w:tcW w:w="567" w:type="dxa"/>
          </w:tcPr>
          <w:p w:rsidR="009332BE" w:rsidP="003E3FA0" w:rsidRDefault="009332BE" w14:paraId="6C4C856B" w14:textId="77777777">
            <w:r>
              <w:t>28</w:t>
            </w:r>
          </w:p>
        </w:tc>
        <w:tc>
          <w:tcPr>
            <w:tcW w:w="6521" w:type="dxa"/>
          </w:tcPr>
          <w:p w:rsidR="009332BE" w:rsidP="003E3FA0" w:rsidRDefault="009332BE" w14:paraId="4EA73F40" w14:textId="77777777">
            <w:r>
              <w:t>Waarom is in 2025 € 5,895 miljoen minder gerealiseerd dan begroot voor de subsidie verduurzaming en onderhoud huurwoningen, en bent u bereid dit bedrag en/of resterende SVOH-middelen beschikbaar te stellen voor verduurzaming door woningcorporaties?</w:t>
            </w:r>
          </w:p>
        </w:tc>
      </w:tr>
      <w:tr w:rsidR="009332BE" w:rsidTr="009332BE" w14:paraId="59BC0105" w14:textId="77777777">
        <w:tc>
          <w:tcPr>
            <w:tcW w:w="567" w:type="dxa"/>
          </w:tcPr>
          <w:p w:rsidR="009332BE" w:rsidP="003E3FA0" w:rsidRDefault="009332BE" w14:paraId="69B2B89A" w14:textId="77777777">
            <w:r>
              <w:t>29</w:t>
            </w:r>
          </w:p>
        </w:tc>
        <w:tc>
          <w:tcPr>
            <w:tcW w:w="6521" w:type="dxa"/>
          </w:tcPr>
          <w:p w:rsidR="009332BE" w:rsidP="003E3FA0" w:rsidRDefault="009332BE" w14:paraId="0860D5AC" w14:textId="77777777">
            <w:r>
              <w:t>Wat is tot op heden de meerwaarde geweest van de onafhankelijke hoogleraar Omgevingsrecht in gebiedsontwikkeling?</w:t>
            </w:r>
          </w:p>
        </w:tc>
      </w:tr>
      <w:tr w:rsidR="009332BE" w:rsidTr="009332BE" w14:paraId="3CEFEA95" w14:textId="77777777">
        <w:tc>
          <w:tcPr>
            <w:tcW w:w="567" w:type="dxa"/>
          </w:tcPr>
          <w:p w:rsidR="009332BE" w:rsidP="003E3FA0" w:rsidRDefault="009332BE" w14:paraId="1C801441" w14:textId="77777777">
            <w:r>
              <w:t>30</w:t>
            </w:r>
          </w:p>
        </w:tc>
        <w:tc>
          <w:tcPr>
            <w:tcW w:w="6521" w:type="dxa"/>
          </w:tcPr>
          <w:p w:rsidR="009332BE" w:rsidP="003E3FA0" w:rsidRDefault="009332BE" w14:paraId="7895C99E" w14:textId="77777777">
            <w:r>
              <w:t>Wordt het Atelier Rijksbouwmeester ook ingezet om gemeenten met capaciteitsproblemen inzake volkshuisvesting en ruimtelijke ordening bij te staan? Zo nee, liggen daar misschien mogelijkheden?</w:t>
            </w:r>
          </w:p>
        </w:tc>
      </w:tr>
      <w:tr w:rsidR="009332BE" w:rsidTr="009332BE" w14:paraId="588CC0F4" w14:textId="77777777">
        <w:tc>
          <w:tcPr>
            <w:tcW w:w="567" w:type="dxa"/>
          </w:tcPr>
          <w:p w:rsidR="009332BE" w:rsidP="003E3FA0" w:rsidRDefault="009332BE" w14:paraId="5B071BA9" w14:textId="77777777">
            <w:r>
              <w:t>31</w:t>
            </w:r>
          </w:p>
        </w:tc>
        <w:tc>
          <w:tcPr>
            <w:tcW w:w="6521" w:type="dxa"/>
          </w:tcPr>
          <w:p w:rsidR="009332BE" w:rsidP="003E3FA0" w:rsidRDefault="009332BE" w14:paraId="3ABD11D0" w14:textId="77777777">
            <w:r>
              <w:t>Kan zo exact mogelijk worden toegelicht voor de jaren 2023 t/m 2025 hoeveel agrarische compensatiegronden zijn gebruikt voor alle relevante beleidsdoelen waarvoor ze zijn ingezet?</w:t>
            </w:r>
          </w:p>
        </w:tc>
      </w:tr>
    </w:tbl>
    <w:p w:rsidR="009332BE" w:rsidP="009332BE" w:rsidRDefault="009332BE" w14:paraId="2AD345E8" w14:textId="77777777"/>
    <w:p w:rsidR="00EC711E" w:rsidRDefault="00EC711E" w14:paraId="062D9307" w14:textId="77777777"/>
    <w:sectPr w:rsidR="00EC711E" w:rsidSect="009332B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3E40F" w14:textId="77777777" w:rsidR="00354D9D" w:rsidRDefault="00354D9D" w:rsidP="009332BE">
      <w:pPr>
        <w:spacing w:after="0" w:line="240" w:lineRule="auto"/>
      </w:pPr>
      <w:r>
        <w:separator/>
      </w:r>
    </w:p>
  </w:endnote>
  <w:endnote w:type="continuationSeparator" w:id="0">
    <w:p w14:paraId="4D14504C" w14:textId="77777777" w:rsidR="00354D9D" w:rsidRDefault="00354D9D" w:rsidP="0093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DD28" w14:textId="77777777" w:rsidR="009332BE" w:rsidRPr="009332BE" w:rsidRDefault="009332BE" w:rsidP="009332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07F7" w14:textId="77777777" w:rsidR="009332BE" w:rsidRPr="009332BE" w:rsidRDefault="009332BE" w:rsidP="009332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C7EE" w14:textId="77777777" w:rsidR="009332BE" w:rsidRPr="009332BE" w:rsidRDefault="009332BE" w:rsidP="009332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1AE8" w14:textId="77777777" w:rsidR="00354D9D" w:rsidRDefault="00354D9D" w:rsidP="009332BE">
      <w:pPr>
        <w:spacing w:after="0" w:line="240" w:lineRule="auto"/>
      </w:pPr>
      <w:r>
        <w:separator/>
      </w:r>
    </w:p>
  </w:footnote>
  <w:footnote w:type="continuationSeparator" w:id="0">
    <w:p w14:paraId="34273127" w14:textId="77777777" w:rsidR="00354D9D" w:rsidRDefault="00354D9D" w:rsidP="0093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F0B3" w14:textId="77777777" w:rsidR="009332BE" w:rsidRPr="009332BE" w:rsidRDefault="009332BE" w:rsidP="009332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418B" w14:textId="77777777" w:rsidR="009332BE" w:rsidRPr="009332BE" w:rsidRDefault="009332BE" w:rsidP="009332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DB28" w14:textId="77777777" w:rsidR="009332BE" w:rsidRPr="009332BE" w:rsidRDefault="009332BE" w:rsidP="009332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BE"/>
    <w:rsid w:val="00354D9D"/>
    <w:rsid w:val="00566ABE"/>
    <w:rsid w:val="008A09BE"/>
    <w:rsid w:val="009332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0269"/>
  <w15:chartTrackingRefBased/>
  <w15:docId w15:val="{7F473C23-2711-4194-BB21-527A27A6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2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2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2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2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2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2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2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2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2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2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2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2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2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2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2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2BE"/>
    <w:rPr>
      <w:rFonts w:eastAsiaTheme="majorEastAsia" w:cstheme="majorBidi"/>
      <w:color w:val="272727" w:themeColor="text1" w:themeTint="D8"/>
    </w:rPr>
  </w:style>
  <w:style w:type="paragraph" w:styleId="Titel">
    <w:name w:val="Title"/>
    <w:basedOn w:val="Standaard"/>
    <w:next w:val="Standaard"/>
    <w:link w:val="TitelChar"/>
    <w:uiPriority w:val="10"/>
    <w:qFormat/>
    <w:rsid w:val="00933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2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2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2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2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2BE"/>
    <w:rPr>
      <w:i/>
      <w:iCs/>
      <w:color w:val="404040" w:themeColor="text1" w:themeTint="BF"/>
    </w:rPr>
  </w:style>
  <w:style w:type="paragraph" w:styleId="Lijstalinea">
    <w:name w:val="List Paragraph"/>
    <w:basedOn w:val="Standaard"/>
    <w:uiPriority w:val="34"/>
    <w:qFormat/>
    <w:rsid w:val="009332BE"/>
    <w:pPr>
      <w:ind w:left="720"/>
      <w:contextualSpacing/>
    </w:pPr>
  </w:style>
  <w:style w:type="character" w:styleId="Intensievebenadrukking">
    <w:name w:val="Intense Emphasis"/>
    <w:basedOn w:val="Standaardalinea-lettertype"/>
    <w:uiPriority w:val="21"/>
    <w:qFormat/>
    <w:rsid w:val="009332BE"/>
    <w:rPr>
      <w:i/>
      <w:iCs/>
      <w:color w:val="0F4761" w:themeColor="accent1" w:themeShade="BF"/>
    </w:rPr>
  </w:style>
  <w:style w:type="paragraph" w:styleId="Duidelijkcitaat">
    <w:name w:val="Intense Quote"/>
    <w:basedOn w:val="Standaard"/>
    <w:next w:val="Standaard"/>
    <w:link w:val="DuidelijkcitaatChar"/>
    <w:uiPriority w:val="30"/>
    <w:qFormat/>
    <w:rsid w:val="00933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2BE"/>
    <w:rPr>
      <w:i/>
      <w:iCs/>
      <w:color w:val="0F4761" w:themeColor="accent1" w:themeShade="BF"/>
    </w:rPr>
  </w:style>
  <w:style w:type="character" w:styleId="Intensieveverwijzing">
    <w:name w:val="Intense Reference"/>
    <w:basedOn w:val="Standaardalinea-lettertype"/>
    <w:uiPriority w:val="32"/>
    <w:qFormat/>
    <w:rsid w:val="009332BE"/>
    <w:rPr>
      <w:b/>
      <w:bCs/>
      <w:smallCaps/>
      <w:color w:val="0F4761" w:themeColor="accent1" w:themeShade="BF"/>
      <w:spacing w:val="5"/>
    </w:rPr>
  </w:style>
  <w:style w:type="paragraph" w:styleId="Koptekst">
    <w:name w:val="header"/>
    <w:basedOn w:val="Standaard"/>
    <w:link w:val="KoptekstChar"/>
    <w:uiPriority w:val="99"/>
    <w:unhideWhenUsed/>
    <w:rsid w:val="009332B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332B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332B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332B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1150</ap:Words>
  <ap:Characters>6327</ap:Characters>
  <ap:DocSecurity>0</ap:DocSecurity>
  <ap:Lines>52</ap:Lines>
  <ap:Paragraphs>14</ap:Paragraphs>
  <ap:ScaleCrop>false</ap:ScaleCrop>
  <ap:LinksUpToDate>false</ap:LinksUpToDate>
  <ap:CharactersWithSpaces>7463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2026-06-02T12:34:00.0000000Z</dcterms:created>
  <dcterms:modified xsi:type="dcterms:W3CDTF">2026-06-02T12:35:00.0000000Z</dcterms:modified>
  <version/>
  <category/>
</coreProperties>
</file>