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16C3" w:rsidRDefault="001856D0" w14:paraId="009EE898" w14:textId="77777777">
      <w:pPr>
        <w:autoSpaceDE w:val="0"/>
        <w:autoSpaceDN w:val="0"/>
        <w:adjustRightInd w:val="0"/>
        <w:spacing w:before="0" w:after="0"/>
        <w:ind w:left="1416" w:hanging="1371"/>
        <w:rPr>
          <w:b/>
          <w:bCs/>
          <w:sz w:val="23"/>
          <w:szCs w:val="23"/>
        </w:rPr>
      </w:pPr>
      <w:r>
        <w:rPr>
          <w:b/>
          <w:bCs/>
          <w:sz w:val="23"/>
          <w:szCs w:val="23"/>
        </w:rPr>
        <w:t>36945-VI</w:t>
      </w:r>
      <w:r>
        <w:rPr>
          <w:b/>
          <w:bCs/>
          <w:sz w:val="23"/>
          <w:szCs w:val="23"/>
        </w:rPr>
        <w:tab/>
      </w:r>
      <w:r>
        <w:rPr>
          <w:b/>
          <w:bCs/>
          <w:sz w:val="23"/>
          <w:szCs w:val="23"/>
        </w:rPr>
        <w:t>Jaarverslag en slotwet Ministerie van Justitie en Veiligheid 2025</w:t>
      </w:r>
    </w:p>
    <w:p w:rsidR="003816C3" w:rsidRDefault="003816C3" w14:paraId="6B4DBA4D" w14:textId="77777777">
      <w:pPr>
        <w:autoSpaceDE w:val="0"/>
        <w:autoSpaceDN w:val="0"/>
        <w:adjustRightInd w:val="0"/>
        <w:spacing w:before="0" w:after="0"/>
        <w:ind w:left="1416" w:hanging="1371"/>
        <w:rPr>
          <w:b/>
        </w:rPr>
      </w:pPr>
    </w:p>
    <w:p w:rsidR="003816C3" w:rsidRDefault="001856D0" w14:paraId="1FF106D3" w14:textId="68E84D7C">
      <w:pPr>
        <w:rPr>
          <w:b/>
        </w:rPr>
      </w:pPr>
      <w:r>
        <w:rPr>
          <w:b/>
        </w:rPr>
        <w:t xml:space="preserve">nr. </w:t>
      </w:r>
      <w:r>
        <w:rPr>
          <w:b/>
        </w:rPr>
        <w:tab/>
      </w:r>
      <w:r>
        <w:rPr>
          <w:b/>
        </w:rPr>
        <w:tab/>
      </w:r>
      <w:r w:rsidR="00D41471">
        <w:rPr>
          <w:b/>
        </w:rPr>
        <w:t>Verslag houdende een lijst van vragen</w:t>
      </w:r>
    </w:p>
    <w:p w:rsidR="003816C3" w:rsidRDefault="001856D0" w14:paraId="7C9F8C6A" w14:textId="77777777">
      <w:r>
        <w:tab/>
      </w:r>
      <w:r>
        <w:tab/>
      </w:r>
    </w:p>
    <w:p w:rsidR="003816C3" w:rsidRDefault="001856D0" w14:paraId="53635A00" w14:textId="3E75E14D">
      <w:pPr>
        <w:ind w:left="1410"/>
      </w:pPr>
      <w:r w:rsidR="001856D0">
        <w:rPr/>
        <w:t xml:space="preserve">De vaste commissie voor </w:t>
      </w:r>
      <w:r w:rsidR="00D41471">
        <w:rPr/>
        <w:t>Justitie en Veiligheid</w:t>
      </w:r>
      <w:r w:rsidR="001856D0">
        <w:rPr/>
        <w:t xml:space="preserve"> heeft een aantal vragen voorgelegd aan de </w:t>
      </w:r>
      <w:r w:rsidR="00D41471">
        <w:rPr/>
        <w:t>regering</w:t>
      </w:r>
      <w:r w:rsidR="001856D0">
        <w:rPr/>
        <w:t xml:space="preserve"> over de </w:t>
      </w:r>
      <w:r w:rsidR="001856D0">
        <w:rPr/>
        <w:t>Slotwet Ministerie van Justitie en Veiligheid 2025 (</w:t>
      </w:r>
      <w:r w:rsidR="2CB2CF86">
        <w:rPr/>
        <w:t xml:space="preserve">Kamerstuk </w:t>
      </w:r>
      <w:r w:rsidR="001856D0">
        <w:rPr/>
        <w:t>36945-VI).</w:t>
      </w:r>
      <w:r w:rsidR="006E1126">
        <w:rPr/>
        <w:t xml:space="preserve"> De vragen zijn op 27 mei 2026 aan de regering voorgelegd. </w:t>
      </w:r>
    </w:p>
    <w:p w:rsidR="003816C3" w:rsidRDefault="003816C3" w14:paraId="534FFCEF" w14:textId="77777777">
      <w:pPr>
        <w:spacing w:before="0" w:after="0"/>
      </w:pPr>
    </w:p>
    <w:p w:rsidR="003816C3" w:rsidRDefault="001856D0" w14:paraId="3EA74C9E" w14:textId="77777777">
      <w:pPr>
        <w:spacing w:before="0" w:after="0"/>
        <w:ind w:left="703" w:firstLine="709"/>
      </w:pPr>
      <w:r>
        <w:t xml:space="preserve">Voorzitter van de commissie, </w:t>
      </w:r>
    </w:p>
    <w:p w:rsidR="003816C3" w:rsidRDefault="001856D0" w14:paraId="3333238A" w14:textId="291086E3">
      <w:pPr>
        <w:spacing w:before="0" w:after="0"/>
      </w:pPr>
      <w:r>
        <w:tab/>
      </w:r>
      <w:r>
        <w:tab/>
      </w:r>
      <w:r w:rsidR="006E1126">
        <w:t>Eerdmans</w:t>
      </w:r>
    </w:p>
    <w:p w:rsidR="003816C3" w:rsidRDefault="001856D0" w14:paraId="4BE72C50" w14:textId="77777777">
      <w:pPr>
        <w:spacing w:before="0" w:after="0"/>
      </w:pPr>
      <w:r>
        <w:tab/>
      </w:r>
      <w:r>
        <w:tab/>
      </w:r>
    </w:p>
    <w:p w:rsidR="003816C3" w:rsidRDefault="001856D0" w14:paraId="7E9BE854" w14:textId="77777777">
      <w:pPr>
        <w:spacing w:before="0" w:after="0"/>
      </w:pPr>
      <w:r>
        <w:tab/>
      </w:r>
      <w:r>
        <w:tab/>
      </w:r>
      <w:r>
        <w:t>Griffier van de commissie,</w:t>
      </w:r>
    </w:p>
    <w:p w:rsidR="003816C3" w:rsidRDefault="001856D0" w14:paraId="3E2CD49A" w14:textId="5E8DEE6F">
      <w:pPr>
        <w:spacing w:before="0" w:after="0"/>
      </w:pPr>
      <w:r>
        <w:tab/>
      </w:r>
      <w:r>
        <w:tab/>
      </w:r>
      <w:r w:rsidR="006E1126">
        <w:t>Van Tilburg</w:t>
      </w:r>
    </w:p>
    <w:p w:rsidR="003816C3" w:rsidRDefault="003816C3" w14:paraId="58E4FBF9"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3816C3" w:rsidTr="00E7153D" w14:paraId="0B1509E2" w14:textId="77777777">
        <w:trPr>
          <w:cantSplit/>
        </w:trPr>
        <w:tc>
          <w:tcPr>
            <w:tcW w:w="567" w:type="dxa"/>
          </w:tcPr>
          <w:p w:rsidR="003816C3" w:rsidRDefault="001856D0" w14:paraId="63A36C1A" w14:textId="77777777">
            <w:bookmarkStart w:name="bmkStartTabel" w:id="0"/>
            <w:bookmarkEnd w:id="0"/>
            <w:r>
              <w:t>Nr</w:t>
            </w:r>
          </w:p>
        </w:tc>
        <w:tc>
          <w:tcPr>
            <w:tcW w:w="6521" w:type="dxa"/>
          </w:tcPr>
          <w:p w:rsidR="003816C3" w:rsidRDefault="001856D0" w14:paraId="0F7709D3" w14:textId="77777777">
            <w:r>
              <w:t>Vraag</w:t>
            </w:r>
          </w:p>
        </w:tc>
        <w:tc>
          <w:tcPr>
            <w:tcW w:w="850" w:type="dxa"/>
          </w:tcPr>
          <w:p w:rsidR="003816C3" w:rsidRDefault="001856D0" w14:paraId="64C0981A" w14:textId="77777777">
            <w:pPr>
              <w:jc w:val="right"/>
            </w:pPr>
            <w:r>
              <w:t>Bijlage</w:t>
            </w:r>
          </w:p>
        </w:tc>
        <w:tc>
          <w:tcPr>
            <w:tcW w:w="992" w:type="dxa"/>
          </w:tcPr>
          <w:p w:rsidR="003816C3" w:rsidP="00E7153D" w:rsidRDefault="001856D0" w14:paraId="4B97FCFA" w14:textId="77777777">
            <w:pPr>
              <w:jc w:val="right"/>
            </w:pPr>
            <w:r>
              <w:t>Blz. (van)</w:t>
            </w:r>
          </w:p>
        </w:tc>
        <w:tc>
          <w:tcPr>
            <w:tcW w:w="567" w:type="dxa"/>
          </w:tcPr>
          <w:p w:rsidR="003816C3" w:rsidP="00E7153D" w:rsidRDefault="001856D0" w14:paraId="20D0F35D" w14:textId="77777777">
            <w:pPr>
              <w:jc w:val="center"/>
            </w:pPr>
            <w:r>
              <w:t>t/m</w:t>
            </w:r>
          </w:p>
        </w:tc>
      </w:tr>
      <w:tr w:rsidR="003816C3" w:rsidTr="00E7153D" w14:paraId="3C3819F8" w14:textId="77777777">
        <w:tc>
          <w:tcPr>
            <w:tcW w:w="567" w:type="dxa"/>
          </w:tcPr>
          <w:p w:rsidR="003816C3" w:rsidRDefault="001856D0" w14:paraId="4128E770" w14:textId="77777777">
            <w:r>
              <w:t>1</w:t>
            </w:r>
          </w:p>
        </w:tc>
        <w:tc>
          <w:tcPr>
            <w:tcW w:w="6521" w:type="dxa"/>
          </w:tcPr>
          <w:p w:rsidR="003816C3" w:rsidRDefault="001856D0" w14:paraId="59438057" w14:textId="36848EF4">
            <w:r>
              <w:t xml:space="preserve">Kan worden uitgelegd wat er is veranderd aan het jaarverslag van de nationale politie </w:t>
            </w:r>
            <w:r w:rsidR="00B040F4">
              <w:t>naar aanleiding van</w:t>
            </w:r>
            <w:r>
              <w:t xml:space="preserve"> de door de Kamer gevraagde doorlichting van de politiebegroting?</w:t>
            </w:r>
          </w:p>
        </w:tc>
        <w:tc>
          <w:tcPr>
            <w:tcW w:w="850" w:type="dxa"/>
          </w:tcPr>
          <w:p w:rsidR="003816C3" w:rsidRDefault="003816C3" w14:paraId="0D9F5C7B" w14:textId="77777777">
            <w:pPr>
              <w:jc w:val="right"/>
            </w:pPr>
          </w:p>
        </w:tc>
        <w:tc>
          <w:tcPr>
            <w:tcW w:w="992" w:type="dxa"/>
          </w:tcPr>
          <w:p w:rsidR="003816C3" w:rsidRDefault="003816C3" w14:paraId="35AB8A1D" w14:textId="06010EA4">
            <w:pPr>
              <w:jc w:val="right"/>
            </w:pPr>
          </w:p>
        </w:tc>
        <w:tc>
          <w:tcPr>
            <w:tcW w:w="567" w:type="dxa"/>
            <w:tcBorders>
              <w:left w:val="nil"/>
            </w:tcBorders>
          </w:tcPr>
          <w:p w:rsidR="003816C3" w:rsidRDefault="001856D0" w14:paraId="10DE538E" w14:textId="77777777">
            <w:pPr>
              <w:jc w:val="right"/>
            </w:pPr>
            <w:r>
              <w:t xml:space="preserve"> </w:t>
            </w:r>
          </w:p>
        </w:tc>
      </w:tr>
      <w:tr w:rsidR="003816C3" w:rsidTr="00E7153D" w14:paraId="2E8A4B21" w14:textId="77777777">
        <w:tc>
          <w:tcPr>
            <w:tcW w:w="567" w:type="dxa"/>
          </w:tcPr>
          <w:p w:rsidR="003816C3" w:rsidRDefault="001856D0" w14:paraId="4F491F73" w14:textId="77777777">
            <w:r>
              <w:t>2</w:t>
            </w:r>
          </w:p>
        </w:tc>
        <w:tc>
          <w:tcPr>
            <w:tcW w:w="6521" w:type="dxa"/>
          </w:tcPr>
          <w:p w:rsidR="003816C3" w:rsidRDefault="001856D0" w14:paraId="43486F3F" w14:textId="5A190978">
            <w:r>
              <w:t xml:space="preserve">Kan worden toegelicht wat het uiteindelijke totale budget in 2025 was voor het Openbaar Ministerie </w:t>
            </w:r>
            <w:r w:rsidR="00C87D2B">
              <w:t xml:space="preserve">(OM) </w:t>
            </w:r>
            <w:r>
              <w:t>voor noodzakelijke versterking van de bedrijfsvoering en de informatievoorziening en hoeveel is hiervoor beschikbaar in 2026, 2027 en 2028?</w:t>
            </w:r>
          </w:p>
        </w:tc>
        <w:tc>
          <w:tcPr>
            <w:tcW w:w="850" w:type="dxa"/>
          </w:tcPr>
          <w:p w:rsidR="003816C3" w:rsidRDefault="003816C3" w14:paraId="4CE09003" w14:textId="77777777">
            <w:pPr>
              <w:jc w:val="right"/>
            </w:pPr>
          </w:p>
        </w:tc>
        <w:tc>
          <w:tcPr>
            <w:tcW w:w="992" w:type="dxa"/>
          </w:tcPr>
          <w:p w:rsidR="003816C3" w:rsidRDefault="001856D0" w14:paraId="5E01B1E8" w14:textId="77777777">
            <w:pPr>
              <w:jc w:val="right"/>
            </w:pPr>
            <w:r>
              <w:t>6</w:t>
            </w:r>
          </w:p>
        </w:tc>
        <w:tc>
          <w:tcPr>
            <w:tcW w:w="567" w:type="dxa"/>
            <w:tcBorders>
              <w:left w:val="nil"/>
            </w:tcBorders>
          </w:tcPr>
          <w:p w:rsidR="003816C3" w:rsidRDefault="001856D0" w14:paraId="021303ED" w14:textId="77777777">
            <w:pPr>
              <w:jc w:val="right"/>
            </w:pPr>
            <w:r>
              <w:t xml:space="preserve"> </w:t>
            </w:r>
          </w:p>
        </w:tc>
      </w:tr>
      <w:tr w:rsidR="003816C3" w:rsidTr="00E7153D" w14:paraId="62B2E3C7" w14:textId="77777777">
        <w:tc>
          <w:tcPr>
            <w:tcW w:w="567" w:type="dxa"/>
          </w:tcPr>
          <w:p w:rsidR="003816C3" w:rsidRDefault="001856D0" w14:paraId="0A70F507" w14:textId="77777777">
            <w:r>
              <w:t>3</w:t>
            </w:r>
          </w:p>
        </w:tc>
        <w:tc>
          <w:tcPr>
            <w:tcW w:w="6521" w:type="dxa"/>
          </w:tcPr>
          <w:p w:rsidR="003816C3" w:rsidRDefault="001856D0" w14:paraId="2A74D553" w14:textId="77777777">
            <w:r>
              <w:t>Hoe vaak worden er zulke grote buitengerechtelijke schikkingen van in dit geval 81 miljoen euro getroffen en kan nader worden toegelicht waarom deze specifieke schikking is getroffen</w:t>
            </w:r>
          </w:p>
        </w:tc>
        <w:tc>
          <w:tcPr>
            <w:tcW w:w="850" w:type="dxa"/>
          </w:tcPr>
          <w:p w:rsidR="003816C3" w:rsidRDefault="003816C3" w14:paraId="5F28AB70" w14:textId="77777777">
            <w:pPr>
              <w:jc w:val="right"/>
            </w:pPr>
          </w:p>
        </w:tc>
        <w:tc>
          <w:tcPr>
            <w:tcW w:w="992" w:type="dxa"/>
          </w:tcPr>
          <w:p w:rsidR="003816C3" w:rsidRDefault="001856D0" w14:paraId="3645E32C" w14:textId="77777777">
            <w:pPr>
              <w:jc w:val="right"/>
            </w:pPr>
            <w:r>
              <w:t>6</w:t>
            </w:r>
          </w:p>
        </w:tc>
        <w:tc>
          <w:tcPr>
            <w:tcW w:w="567" w:type="dxa"/>
            <w:tcBorders>
              <w:left w:val="nil"/>
            </w:tcBorders>
          </w:tcPr>
          <w:p w:rsidR="003816C3" w:rsidRDefault="001856D0" w14:paraId="3228CFA6" w14:textId="77777777">
            <w:pPr>
              <w:jc w:val="right"/>
            </w:pPr>
            <w:r>
              <w:t xml:space="preserve"> </w:t>
            </w:r>
          </w:p>
        </w:tc>
      </w:tr>
      <w:tr w:rsidR="003816C3" w:rsidTr="00E7153D" w14:paraId="47116D8D" w14:textId="77777777">
        <w:tc>
          <w:tcPr>
            <w:tcW w:w="567" w:type="dxa"/>
          </w:tcPr>
          <w:p w:rsidR="003816C3" w:rsidRDefault="001856D0" w14:paraId="03D92648" w14:textId="77777777">
            <w:r>
              <w:t>4</w:t>
            </w:r>
          </w:p>
        </w:tc>
        <w:tc>
          <w:tcPr>
            <w:tcW w:w="6521" w:type="dxa"/>
          </w:tcPr>
          <w:p w:rsidR="003816C3" w:rsidRDefault="001856D0" w14:paraId="3C9E5B98" w14:textId="77777777">
            <w:r>
              <w:t>Waarom was er onderbesteding op het programma criminele geldstromen en hoe vaak is dat de afgelopen jaren voorgekomen?</w:t>
            </w:r>
          </w:p>
        </w:tc>
        <w:tc>
          <w:tcPr>
            <w:tcW w:w="850" w:type="dxa"/>
          </w:tcPr>
          <w:p w:rsidR="003816C3" w:rsidRDefault="003816C3" w14:paraId="222C9BFB" w14:textId="77777777">
            <w:pPr>
              <w:jc w:val="right"/>
            </w:pPr>
          </w:p>
        </w:tc>
        <w:tc>
          <w:tcPr>
            <w:tcW w:w="992" w:type="dxa"/>
          </w:tcPr>
          <w:p w:rsidR="003816C3" w:rsidRDefault="001856D0" w14:paraId="2468A3C8" w14:textId="77777777">
            <w:pPr>
              <w:jc w:val="right"/>
            </w:pPr>
            <w:r>
              <w:t>6</w:t>
            </w:r>
          </w:p>
        </w:tc>
        <w:tc>
          <w:tcPr>
            <w:tcW w:w="567" w:type="dxa"/>
            <w:tcBorders>
              <w:left w:val="nil"/>
            </w:tcBorders>
          </w:tcPr>
          <w:p w:rsidR="003816C3" w:rsidRDefault="001856D0" w14:paraId="5D6000F4" w14:textId="77777777">
            <w:pPr>
              <w:jc w:val="right"/>
            </w:pPr>
            <w:r>
              <w:t xml:space="preserve"> </w:t>
            </w:r>
          </w:p>
        </w:tc>
      </w:tr>
      <w:tr w:rsidR="003816C3" w:rsidTr="00E7153D" w14:paraId="05859F4E" w14:textId="77777777">
        <w:tc>
          <w:tcPr>
            <w:tcW w:w="567" w:type="dxa"/>
          </w:tcPr>
          <w:p w:rsidR="003816C3" w:rsidRDefault="001856D0" w14:paraId="02A49D0F" w14:textId="77777777">
            <w:r>
              <w:t>5</w:t>
            </w:r>
          </w:p>
        </w:tc>
        <w:tc>
          <w:tcPr>
            <w:tcW w:w="6521" w:type="dxa"/>
          </w:tcPr>
          <w:p w:rsidR="003816C3" w:rsidRDefault="001856D0" w14:paraId="0029EBF8" w14:textId="027FF534">
            <w:r>
              <w:t xml:space="preserve">Waarom streeft </w:t>
            </w:r>
            <w:r w:rsidR="00B040F4">
              <w:t>u</w:t>
            </w:r>
            <w:r>
              <w:t xml:space="preserve"> niet naar een percentage van 100% van tijdig ingestroomde ondernemingszaken en neemt </w:t>
            </w:r>
            <w:r w:rsidR="00C87D2B">
              <w:t>u</w:t>
            </w:r>
            <w:r>
              <w:t xml:space="preserve"> genoegen met een streefpercentage van 75%?</w:t>
            </w:r>
          </w:p>
        </w:tc>
        <w:tc>
          <w:tcPr>
            <w:tcW w:w="850" w:type="dxa"/>
          </w:tcPr>
          <w:p w:rsidR="003816C3" w:rsidRDefault="003816C3" w14:paraId="634E4051" w14:textId="77777777">
            <w:pPr>
              <w:jc w:val="right"/>
            </w:pPr>
          </w:p>
        </w:tc>
        <w:tc>
          <w:tcPr>
            <w:tcW w:w="992" w:type="dxa"/>
          </w:tcPr>
          <w:p w:rsidR="003816C3" w:rsidRDefault="001856D0" w14:paraId="4C064F3E" w14:textId="77777777">
            <w:pPr>
              <w:jc w:val="right"/>
            </w:pPr>
            <w:r>
              <w:t>102</w:t>
            </w:r>
          </w:p>
        </w:tc>
        <w:tc>
          <w:tcPr>
            <w:tcW w:w="567" w:type="dxa"/>
            <w:tcBorders>
              <w:left w:val="nil"/>
            </w:tcBorders>
          </w:tcPr>
          <w:p w:rsidR="003816C3" w:rsidRDefault="001856D0" w14:paraId="291AD5B7" w14:textId="77777777">
            <w:pPr>
              <w:jc w:val="right"/>
            </w:pPr>
            <w:r>
              <w:t xml:space="preserve"> </w:t>
            </w:r>
          </w:p>
        </w:tc>
      </w:tr>
      <w:tr w:rsidR="003816C3" w:rsidTr="00E7153D" w14:paraId="28594F22" w14:textId="77777777">
        <w:tc>
          <w:tcPr>
            <w:tcW w:w="567" w:type="dxa"/>
          </w:tcPr>
          <w:p w:rsidR="003816C3" w:rsidRDefault="001856D0" w14:paraId="723D344C" w14:textId="77777777">
            <w:r>
              <w:t>6</w:t>
            </w:r>
          </w:p>
        </w:tc>
        <w:tc>
          <w:tcPr>
            <w:tcW w:w="6521" w:type="dxa"/>
          </w:tcPr>
          <w:p w:rsidR="003816C3" w:rsidRDefault="001856D0" w14:paraId="310C33F5" w14:textId="77777777">
            <w:r>
              <w:t>Kan concreet worden uitgelegd hoe in 2025 en 2026 de strafrechtketen het is gelukt om een eerste positieve trend in te zetten voor de verbetering van de prestaties, waar blijkt dat uit?</w:t>
            </w:r>
          </w:p>
        </w:tc>
        <w:tc>
          <w:tcPr>
            <w:tcW w:w="850" w:type="dxa"/>
          </w:tcPr>
          <w:p w:rsidR="003816C3" w:rsidRDefault="003816C3" w14:paraId="3C320AA8" w14:textId="77777777">
            <w:pPr>
              <w:jc w:val="right"/>
            </w:pPr>
          </w:p>
        </w:tc>
        <w:tc>
          <w:tcPr>
            <w:tcW w:w="992" w:type="dxa"/>
          </w:tcPr>
          <w:p w:rsidR="003816C3" w:rsidRDefault="001856D0" w14:paraId="66CFA1E6" w14:textId="77777777">
            <w:pPr>
              <w:jc w:val="right"/>
            </w:pPr>
            <w:r>
              <w:t>103</w:t>
            </w:r>
          </w:p>
        </w:tc>
        <w:tc>
          <w:tcPr>
            <w:tcW w:w="567" w:type="dxa"/>
            <w:tcBorders>
              <w:left w:val="nil"/>
            </w:tcBorders>
          </w:tcPr>
          <w:p w:rsidR="003816C3" w:rsidRDefault="001856D0" w14:paraId="4682F0B6" w14:textId="77777777">
            <w:pPr>
              <w:jc w:val="right"/>
            </w:pPr>
            <w:r>
              <w:t xml:space="preserve"> </w:t>
            </w:r>
          </w:p>
        </w:tc>
      </w:tr>
      <w:tr w:rsidR="003816C3" w:rsidTr="00E7153D" w14:paraId="29E7A579" w14:textId="77777777">
        <w:tc>
          <w:tcPr>
            <w:tcW w:w="567" w:type="dxa"/>
          </w:tcPr>
          <w:p w:rsidR="003816C3" w:rsidRDefault="001856D0" w14:paraId="053D9D1A" w14:textId="77777777">
            <w:r>
              <w:t>7</w:t>
            </w:r>
          </w:p>
        </w:tc>
        <w:tc>
          <w:tcPr>
            <w:tcW w:w="6521" w:type="dxa"/>
          </w:tcPr>
          <w:p w:rsidR="003816C3" w:rsidRDefault="001856D0" w14:paraId="27C0A871" w14:textId="77777777">
            <w:r>
              <w:t>Is inmiddels in 2026 uit de systemen af te leiden of en hoe het OM heeft gereageerd op een verzoek om inzage in processtukken en zo nee, wanneer is dat wel geregeld?</w:t>
            </w:r>
          </w:p>
        </w:tc>
        <w:tc>
          <w:tcPr>
            <w:tcW w:w="850" w:type="dxa"/>
          </w:tcPr>
          <w:p w:rsidR="003816C3" w:rsidRDefault="003816C3" w14:paraId="250AC128" w14:textId="77777777">
            <w:pPr>
              <w:jc w:val="right"/>
            </w:pPr>
          </w:p>
        </w:tc>
        <w:tc>
          <w:tcPr>
            <w:tcW w:w="992" w:type="dxa"/>
          </w:tcPr>
          <w:p w:rsidR="003816C3" w:rsidRDefault="001856D0" w14:paraId="28A0E7A9" w14:textId="77777777">
            <w:pPr>
              <w:jc w:val="right"/>
            </w:pPr>
            <w:r>
              <w:t>103</w:t>
            </w:r>
          </w:p>
        </w:tc>
        <w:tc>
          <w:tcPr>
            <w:tcW w:w="567" w:type="dxa"/>
            <w:tcBorders>
              <w:left w:val="nil"/>
            </w:tcBorders>
          </w:tcPr>
          <w:p w:rsidR="003816C3" w:rsidRDefault="001856D0" w14:paraId="3FE406DA" w14:textId="77777777">
            <w:pPr>
              <w:jc w:val="right"/>
            </w:pPr>
            <w:r>
              <w:t xml:space="preserve"> </w:t>
            </w:r>
          </w:p>
        </w:tc>
      </w:tr>
      <w:tr w:rsidR="003816C3" w:rsidTr="00E7153D" w14:paraId="2EEBF82B" w14:textId="77777777">
        <w:tc>
          <w:tcPr>
            <w:tcW w:w="567" w:type="dxa"/>
          </w:tcPr>
          <w:p w:rsidR="003816C3" w:rsidRDefault="001856D0" w14:paraId="36C3E95A" w14:textId="77777777">
            <w:r>
              <w:t>8</w:t>
            </w:r>
          </w:p>
        </w:tc>
        <w:tc>
          <w:tcPr>
            <w:tcW w:w="6521" w:type="dxa"/>
          </w:tcPr>
          <w:p w:rsidR="003816C3" w:rsidRDefault="001856D0" w14:paraId="14DBE5BC" w14:textId="4110F7AA">
            <w:r>
              <w:t xml:space="preserve">Welke acties heeft </w:t>
            </w:r>
            <w:r w:rsidR="008401A8">
              <w:t xml:space="preserve">de </w:t>
            </w:r>
            <w:r w:rsidRPr="008401A8" w:rsidR="008401A8">
              <w:t>Justitiële ICT Organisatie</w:t>
            </w:r>
            <w:r w:rsidR="008401A8">
              <w:t xml:space="preserve"> (</w:t>
            </w:r>
            <w:r>
              <w:t>JIO</w:t>
            </w:r>
            <w:r w:rsidR="008401A8">
              <w:t>)</w:t>
            </w:r>
            <w:r>
              <w:t xml:space="preserve"> ondernomen om de kwaliteit van de prestatieverklaringen te verbeteren in 2025 en tot welke concrete verbeteringen en resultaten hebben deze acties tot nu toe geleid?</w:t>
            </w:r>
          </w:p>
        </w:tc>
        <w:tc>
          <w:tcPr>
            <w:tcW w:w="850" w:type="dxa"/>
          </w:tcPr>
          <w:p w:rsidR="003816C3" w:rsidRDefault="003816C3" w14:paraId="53090E13" w14:textId="77777777">
            <w:pPr>
              <w:jc w:val="right"/>
            </w:pPr>
          </w:p>
        </w:tc>
        <w:tc>
          <w:tcPr>
            <w:tcW w:w="992" w:type="dxa"/>
          </w:tcPr>
          <w:p w:rsidR="003816C3" w:rsidRDefault="001856D0" w14:paraId="1D6DD242" w14:textId="77777777">
            <w:pPr>
              <w:jc w:val="right"/>
            </w:pPr>
            <w:r>
              <w:t>105</w:t>
            </w:r>
          </w:p>
        </w:tc>
        <w:tc>
          <w:tcPr>
            <w:tcW w:w="567" w:type="dxa"/>
            <w:tcBorders>
              <w:left w:val="nil"/>
            </w:tcBorders>
          </w:tcPr>
          <w:p w:rsidR="003816C3" w:rsidRDefault="001856D0" w14:paraId="19280246" w14:textId="77777777">
            <w:pPr>
              <w:jc w:val="right"/>
            </w:pPr>
            <w:r>
              <w:t xml:space="preserve"> </w:t>
            </w:r>
          </w:p>
        </w:tc>
      </w:tr>
      <w:tr w:rsidR="003816C3" w:rsidTr="00E7153D" w14:paraId="739A543D" w14:textId="77777777">
        <w:tc>
          <w:tcPr>
            <w:tcW w:w="567" w:type="dxa"/>
          </w:tcPr>
          <w:p w:rsidR="003816C3" w:rsidRDefault="001856D0" w14:paraId="2D9C6110" w14:textId="77777777">
            <w:r>
              <w:t>9</w:t>
            </w:r>
          </w:p>
        </w:tc>
        <w:tc>
          <w:tcPr>
            <w:tcW w:w="6521" w:type="dxa"/>
          </w:tcPr>
          <w:p w:rsidR="003816C3" w:rsidRDefault="001856D0" w14:paraId="63447BAD" w14:textId="77777777">
            <w:r>
              <w:t>Tot welke concrete verbeteringen hebben de maatregelen die zijn getroffen voor de naleving van het interdepartementale accreditatiebeleid inmiddels geleid?</w:t>
            </w:r>
          </w:p>
        </w:tc>
        <w:tc>
          <w:tcPr>
            <w:tcW w:w="850" w:type="dxa"/>
          </w:tcPr>
          <w:p w:rsidR="003816C3" w:rsidRDefault="003816C3" w14:paraId="55498605" w14:textId="77777777">
            <w:pPr>
              <w:jc w:val="right"/>
            </w:pPr>
          </w:p>
        </w:tc>
        <w:tc>
          <w:tcPr>
            <w:tcW w:w="992" w:type="dxa"/>
          </w:tcPr>
          <w:p w:rsidR="003816C3" w:rsidRDefault="001856D0" w14:paraId="00A7566C" w14:textId="77777777">
            <w:pPr>
              <w:jc w:val="right"/>
            </w:pPr>
            <w:r>
              <w:t>107</w:t>
            </w:r>
          </w:p>
        </w:tc>
        <w:tc>
          <w:tcPr>
            <w:tcW w:w="567" w:type="dxa"/>
            <w:tcBorders>
              <w:left w:val="nil"/>
            </w:tcBorders>
          </w:tcPr>
          <w:p w:rsidR="003816C3" w:rsidRDefault="001856D0" w14:paraId="2EAB103A" w14:textId="77777777">
            <w:pPr>
              <w:jc w:val="right"/>
            </w:pPr>
            <w:r>
              <w:t xml:space="preserve"> </w:t>
            </w:r>
          </w:p>
        </w:tc>
      </w:tr>
      <w:tr w:rsidR="003816C3" w:rsidTr="00E7153D" w14:paraId="2E4CDFE2" w14:textId="77777777">
        <w:tc>
          <w:tcPr>
            <w:tcW w:w="567" w:type="dxa"/>
          </w:tcPr>
          <w:p w:rsidR="003816C3" w:rsidRDefault="001856D0" w14:paraId="029EA555" w14:textId="77777777">
            <w:r>
              <w:t>10</w:t>
            </w:r>
          </w:p>
        </w:tc>
        <w:tc>
          <w:tcPr>
            <w:tcW w:w="6521" w:type="dxa"/>
          </w:tcPr>
          <w:p w:rsidR="003816C3" w:rsidRDefault="001856D0" w14:paraId="1B395ECF" w14:textId="6A1D9822">
            <w:r>
              <w:t>Klopt het dat het aantal gerealiseerde zaken bij de Centrale Raad van Beroep</w:t>
            </w:r>
            <w:r w:rsidR="00233A5E">
              <w:t xml:space="preserve"> (CRvB)</w:t>
            </w:r>
            <w:r>
              <w:t xml:space="preserve"> in 2025 met ruim 42% is gedaald ten opzichte van 2021, en zo ja, wat zijn daar de oorzaken en de gevolgen van en zijn de doorlooptijden bij de CRvB sterk verbeterd, en zo nee, waarom niet?</w:t>
            </w:r>
          </w:p>
        </w:tc>
        <w:tc>
          <w:tcPr>
            <w:tcW w:w="850" w:type="dxa"/>
          </w:tcPr>
          <w:p w:rsidR="003816C3" w:rsidRDefault="003816C3" w14:paraId="02F6F622" w14:textId="77777777">
            <w:pPr>
              <w:jc w:val="right"/>
            </w:pPr>
          </w:p>
        </w:tc>
        <w:tc>
          <w:tcPr>
            <w:tcW w:w="992" w:type="dxa"/>
          </w:tcPr>
          <w:p w:rsidR="003816C3" w:rsidRDefault="001856D0" w14:paraId="574D330B" w14:textId="77777777">
            <w:pPr>
              <w:jc w:val="right"/>
            </w:pPr>
            <w:r>
              <w:t>122</w:t>
            </w:r>
          </w:p>
        </w:tc>
        <w:tc>
          <w:tcPr>
            <w:tcW w:w="567" w:type="dxa"/>
            <w:tcBorders>
              <w:left w:val="nil"/>
            </w:tcBorders>
          </w:tcPr>
          <w:p w:rsidR="003816C3" w:rsidRDefault="001856D0" w14:paraId="47AC0BC8" w14:textId="77777777">
            <w:pPr>
              <w:jc w:val="right"/>
            </w:pPr>
            <w:r>
              <w:t xml:space="preserve"> </w:t>
            </w:r>
          </w:p>
        </w:tc>
      </w:tr>
    </w:tbl>
    <w:p w:rsidR="003816C3" w:rsidRDefault="003816C3" w14:paraId="5635ADFA" w14:textId="77777777"/>
    <w:sectPr w:rsidR="003816C3" w:rsidSect="00B915EC">
      <w:headerReference w:type="even" r:id="rId6"/>
      <w:headerReference w:type="default" r:id="rId7"/>
      <w:footerReference w:type="even" r:id="rId8"/>
      <w:footerReference w:type="default" r:id="rId9"/>
      <w:headerReference w:type="first" r:id="rId10"/>
      <w:footerReference w:type="first" r:id="rId11"/>
      <w:pgSz w:w="11900" w:h="16840" w:orient="portrait"/>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68B4" w:rsidRDefault="00C368B4" w14:paraId="3676195F" w14:textId="77777777">
      <w:pPr>
        <w:spacing w:before="0" w:after="0"/>
      </w:pPr>
      <w:r>
        <w:separator/>
      </w:r>
    </w:p>
  </w:endnote>
  <w:endnote w:type="continuationSeparator" w:id="0">
    <w:p w:rsidR="00C368B4" w:rsidRDefault="00C368B4" w14:paraId="1310A820"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6C3" w:rsidRDefault="003816C3" w14:paraId="649B5F3B"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6C3" w:rsidRDefault="001856D0" w14:paraId="3FA4047D" w14:textId="77777777">
    <w:pPr>
      <w:pStyle w:val="Voettekst"/>
    </w:pPr>
    <w:r>
      <w:t xml:space="preserve">Totaallijst feitelijke vragen Slotwet Ministerie van Justitie en Veiligheid 2025 (36945-VI-0) </w:t>
    </w: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r>
      <w:fldChar w:fldCharType="begin"/>
    </w:r>
    <w:r>
      <w:instrText> NUMPAGES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6C3" w:rsidRDefault="003816C3" w14:paraId="02B44A3E"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68B4" w:rsidRDefault="00C368B4" w14:paraId="19FD18C7" w14:textId="77777777">
      <w:pPr>
        <w:spacing w:before="0" w:after="0"/>
      </w:pPr>
      <w:r>
        <w:separator/>
      </w:r>
    </w:p>
  </w:footnote>
  <w:footnote w:type="continuationSeparator" w:id="0">
    <w:p w:rsidR="00C368B4" w:rsidRDefault="00C368B4" w14:paraId="759C2B49"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6C3" w:rsidRDefault="003816C3" w14:paraId="018494A0"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6C3" w:rsidRDefault="003816C3" w14:paraId="685B68CA" w14:textId="7777777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6C3" w:rsidRDefault="003816C3" w14:paraId="2F8B57E2" w14:textId="77777777">
    <w:pPr>
      <w:pStyle w:val="Koptekst"/>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A47AF"/>
    <w:rsid w:val="001A56AB"/>
    <w:rsid w:val="00233A5E"/>
    <w:rsid w:val="003816C3"/>
    <w:rsid w:val="003D44DD"/>
    <w:rsid w:val="005543A7"/>
    <w:rsid w:val="00624BF8"/>
    <w:rsid w:val="006E1126"/>
    <w:rsid w:val="008401A8"/>
    <w:rsid w:val="00894624"/>
    <w:rsid w:val="00A77C3E"/>
    <w:rsid w:val="00B040F4"/>
    <w:rsid w:val="00B915EC"/>
    <w:rsid w:val="00C368B4"/>
    <w:rsid w:val="00C87D2B"/>
    <w:rsid w:val="00D41471"/>
    <w:rsid w:val="00E54777"/>
    <w:rsid w:val="00E7153D"/>
    <w:rsid w:val="1F393C25"/>
    <w:rsid w:val="2CB2C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D824DF"/>
  <w15:docId w15:val="{9B069FC7-0C20-4203-9AEF-F8C430F62FB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B915EC"/>
    <w:pPr>
      <w:spacing w:before="60" w:after="60"/>
    </w:pPr>
    <w:rPr>
      <w:rFonts w:ascii="Times New Roman" w:hAnsi="Times New Roman" w:eastAsia="Times New Roman" w:cs="Times New Roman"/>
      <w:sz w:val="20"/>
      <w:szCs w:val="20"/>
      <w:lang w:val="nl-NL" w:eastAsia="nl-NL"/>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styleId="KoptekstChar" w:customStyle="1">
    <w:name w:val="Koptekst Char"/>
    <w:basedOn w:val="Standaardalinea-lettertype"/>
    <w:link w:val="Koptekst"/>
    <w:uiPriority w:val="99"/>
    <w:rsid w:val="00B915EC"/>
    <w:rPr>
      <w:rFonts w:ascii="Times New Roman" w:hAnsi="Times New Roman" w:eastAsia="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styleId="VoettekstChar" w:customStyle="1">
    <w:name w:val="Voettekst Char"/>
    <w:basedOn w:val="Standaardalinea-lettertype"/>
    <w:link w:val="Voettekst"/>
    <w:uiPriority w:val="99"/>
    <w:rsid w:val="00B915EC"/>
    <w:rPr>
      <w:rFonts w:ascii="Times New Roman" w:hAnsi="Times New Roman" w:eastAsia="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2026-05-27T15:04:00.0000000Z</dcterms:created>
  <dcterms:modified xsi:type="dcterms:W3CDTF">2026-05-27T15:18:12.1806514Z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0x010100BEBD5C8E3F07D5458DC769036832DE30</vt:lpwstr>
  </property>
  <property fmtid="{D5CDD505-2E9C-101B-9397-08002B2CF9AE}" pid="4" name="docLang">
    <vt:lpwstr>nl</vt:lpwstr>
  </property>
  <property fmtid="{D5CDD505-2E9C-101B-9397-08002B2CF9AE}" pid="5" name="MediaServiceImageTags">
    <vt:lpwstr/>
  </property>
</Properties>
</file>