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E8B" w:rsidRDefault="001856D0" w14:paraId="2A03E611" w14:textId="4DA56783">
      <w:pPr>
        <w:autoSpaceDE w:val="0"/>
        <w:autoSpaceDN w:val="0"/>
        <w:adjustRightInd w:val="0"/>
        <w:spacing w:before="0" w:after="0"/>
        <w:ind w:left="1416" w:hanging="1371"/>
        <w:rPr>
          <w:b/>
          <w:bCs/>
          <w:sz w:val="23"/>
          <w:szCs w:val="23"/>
        </w:rPr>
      </w:pPr>
      <w:r>
        <w:rPr>
          <w:b/>
          <w:bCs/>
          <w:sz w:val="23"/>
          <w:szCs w:val="23"/>
        </w:rPr>
        <w:t>36945-VII</w:t>
      </w:r>
      <w:r>
        <w:rPr>
          <w:b/>
          <w:bCs/>
          <w:sz w:val="23"/>
          <w:szCs w:val="23"/>
        </w:rPr>
        <w:tab/>
      </w:r>
      <w:r w:rsidR="00486C60">
        <w:rPr>
          <w:b/>
          <w:bCs/>
          <w:sz w:val="23"/>
          <w:szCs w:val="23"/>
        </w:rPr>
        <w:t xml:space="preserve">Jaarverslag en </w:t>
      </w:r>
      <w:proofErr w:type="spellStart"/>
      <w:r w:rsidR="00486C60">
        <w:rPr>
          <w:b/>
          <w:bCs/>
          <w:sz w:val="23"/>
          <w:szCs w:val="23"/>
        </w:rPr>
        <w:t>slotwet</w:t>
      </w:r>
      <w:proofErr w:type="spellEnd"/>
      <w:r w:rsidR="00486C60">
        <w:rPr>
          <w:b/>
          <w:bCs/>
          <w:sz w:val="23"/>
          <w:szCs w:val="23"/>
        </w:rPr>
        <w:t xml:space="preserve"> van </w:t>
      </w:r>
      <w:r>
        <w:rPr>
          <w:b/>
          <w:bCs/>
          <w:sz w:val="23"/>
          <w:szCs w:val="23"/>
        </w:rPr>
        <w:t xml:space="preserve">het </w:t>
      </w:r>
      <w:r w:rsidR="00486C60">
        <w:rPr>
          <w:b/>
          <w:bCs/>
          <w:sz w:val="23"/>
          <w:szCs w:val="23"/>
        </w:rPr>
        <w:t>m</w:t>
      </w:r>
      <w:r>
        <w:rPr>
          <w:b/>
          <w:bCs/>
          <w:sz w:val="23"/>
          <w:szCs w:val="23"/>
        </w:rPr>
        <w:t>inisterie van Binnenlandse Zaken en Koninkrijksrelaties</w:t>
      </w:r>
    </w:p>
    <w:p w:rsidR="008C6E8B" w:rsidRDefault="008C6E8B" w14:paraId="729DE972" w14:textId="77777777">
      <w:pPr>
        <w:autoSpaceDE w:val="0"/>
        <w:autoSpaceDN w:val="0"/>
        <w:adjustRightInd w:val="0"/>
        <w:spacing w:before="0" w:after="0"/>
        <w:ind w:left="1416" w:hanging="1371"/>
        <w:rPr>
          <w:b/>
        </w:rPr>
      </w:pPr>
    </w:p>
    <w:p w:rsidR="008C6E8B" w:rsidRDefault="001856D0" w14:paraId="2F11C15C" w14:textId="5CC3B50A">
      <w:pPr>
        <w:rPr>
          <w:b/>
        </w:rPr>
      </w:pPr>
      <w:r>
        <w:rPr>
          <w:b/>
        </w:rPr>
        <w:t xml:space="preserve">nr. </w:t>
      </w:r>
      <w:r>
        <w:rPr>
          <w:b/>
        </w:rPr>
        <w:tab/>
      </w:r>
      <w:r>
        <w:rPr>
          <w:b/>
        </w:rPr>
        <w:tab/>
        <w:t xml:space="preserve">Lijst van vragen </w:t>
      </w:r>
    </w:p>
    <w:p w:rsidR="008C6E8B" w:rsidRDefault="001856D0" w14:paraId="5733C581" w14:textId="77777777">
      <w:r>
        <w:tab/>
      </w:r>
      <w:r>
        <w:tab/>
      </w:r>
    </w:p>
    <w:p w:rsidR="008C6E8B" w:rsidRDefault="001856D0" w14:paraId="782CD2F5" w14:textId="77777777">
      <w:pPr>
        <w:ind w:left="702" w:firstLine="708"/>
        <w:rPr>
          <w:i/>
        </w:rPr>
      </w:pPr>
      <w:r>
        <w:t xml:space="preserve">Vastgesteld </w:t>
      </w:r>
      <w:r>
        <w:rPr>
          <w:i/>
        </w:rPr>
        <w:t>(wordt door griffie ingevuld als antwoorden er zijn)</w:t>
      </w:r>
    </w:p>
    <w:p w:rsidRPr="0049224F" w:rsidR="008C6E8B" w:rsidRDefault="0049224F" w14:paraId="6AA5ECD3" w14:textId="2DD7B199">
      <w:pPr>
        <w:ind w:left="1410"/>
        <w:rPr>
          <w:bCs/>
        </w:rPr>
      </w:pPr>
      <w:r w:rsidRPr="0049224F">
        <w:t>De vaste commissie voor Binnenlandse Zaken heeft vra</w:t>
      </w:r>
      <w:r>
        <w:t>gen</w:t>
      </w:r>
      <w:r w:rsidRPr="0049224F">
        <w:t xml:space="preserve"> voorgelegd aan de </w:t>
      </w:r>
      <w:r w:rsidR="00D405E5">
        <w:t>Algemene Rekenkamer</w:t>
      </w:r>
      <w:r w:rsidRPr="0049224F">
        <w:t xml:space="preserve"> over </w:t>
      </w:r>
      <w:r w:rsidRPr="0049224F" w:rsidR="001856D0">
        <w:rPr>
          <w:bCs/>
        </w:rPr>
        <w:t>Rapport Resultaten verantwoordingsonderzoek 2025 bij het Ministerie van Binnenlandse Zaken en Koninkrijksrelaties (</w:t>
      </w:r>
      <w:r>
        <w:rPr>
          <w:bCs/>
        </w:rPr>
        <w:t xml:space="preserve">Kamerstuk </w:t>
      </w:r>
      <w:r w:rsidRPr="0049224F" w:rsidR="001856D0">
        <w:rPr>
          <w:bCs/>
        </w:rPr>
        <w:t>36945-VI</w:t>
      </w:r>
      <w:r>
        <w:rPr>
          <w:bCs/>
        </w:rPr>
        <w:t>I</w:t>
      </w:r>
      <w:r w:rsidRPr="0049224F" w:rsidR="001856D0">
        <w:rPr>
          <w:bCs/>
        </w:rPr>
        <w:t>, nr. 2).</w:t>
      </w:r>
    </w:p>
    <w:p w:rsidR="008C6E8B" w:rsidRDefault="008C6E8B" w14:paraId="65CCFE18" w14:textId="77777777">
      <w:pPr>
        <w:spacing w:before="0" w:after="0"/>
      </w:pPr>
    </w:p>
    <w:p w:rsidR="008C6E8B" w:rsidRDefault="001856D0" w14:paraId="043CDC87" w14:textId="77777777">
      <w:pPr>
        <w:spacing w:before="0" w:after="0"/>
        <w:ind w:left="703" w:firstLine="709"/>
      </w:pPr>
      <w:r>
        <w:t xml:space="preserve">Voorzitter van de commissie, </w:t>
      </w:r>
    </w:p>
    <w:p w:rsidR="008C6E8B" w:rsidRDefault="001856D0" w14:paraId="2DE4D98C" w14:textId="44764F9A">
      <w:pPr>
        <w:spacing w:before="0" w:after="0"/>
      </w:pPr>
      <w:r>
        <w:tab/>
      </w:r>
      <w:r>
        <w:tab/>
      </w:r>
      <w:r w:rsidR="0049224F">
        <w:t>Kisteman</w:t>
      </w:r>
    </w:p>
    <w:p w:rsidR="008C6E8B" w:rsidRDefault="001856D0" w14:paraId="3F7A93AB" w14:textId="77777777">
      <w:pPr>
        <w:spacing w:before="0" w:after="0"/>
      </w:pPr>
      <w:r>
        <w:tab/>
      </w:r>
      <w:r>
        <w:tab/>
      </w:r>
    </w:p>
    <w:p w:rsidR="008C6E8B" w:rsidRDefault="001856D0" w14:paraId="5C7FEFB8" w14:textId="77777777">
      <w:pPr>
        <w:spacing w:before="0" w:after="0"/>
      </w:pPr>
      <w:r>
        <w:tab/>
      </w:r>
      <w:r>
        <w:tab/>
        <w:t>Griffier van de commissie,</w:t>
      </w:r>
    </w:p>
    <w:p w:rsidR="008C6E8B" w:rsidRDefault="001856D0" w14:paraId="331C5590" w14:textId="538ED2D9">
      <w:pPr>
        <w:spacing w:before="0" w:after="0"/>
      </w:pPr>
      <w:r>
        <w:tab/>
      </w:r>
      <w:r>
        <w:tab/>
      </w:r>
      <w:r w:rsidR="0049224F">
        <w:t>Honsbeek</w:t>
      </w:r>
    </w:p>
    <w:p w:rsidR="008C6E8B" w:rsidRDefault="008C6E8B" w14:paraId="610B487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C6E8B" w:rsidTr="00E7153D" w14:paraId="3F4F650D" w14:textId="77777777">
        <w:trPr>
          <w:cantSplit/>
        </w:trPr>
        <w:tc>
          <w:tcPr>
            <w:tcW w:w="567" w:type="dxa"/>
          </w:tcPr>
          <w:p w:rsidR="008C6E8B" w:rsidRDefault="001856D0" w14:paraId="08E8885A" w14:textId="77777777">
            <w:bookmarkStart w:name="bmkStartTabel" w:id="0"/>
            <w:bookmarkEnd w:id="0"/>
            <w:r>
              <w:t>Nr</w:t>
            </w:r>
          </w:p>
        </w:tc>
        <w:tc>
          <w:tcPr>
            <w:tcW w:w="6521" w:type="dxa"/>
          </w:tcPr>
          <w:p w:rsidR="008C6E8B" w:rsidRDefault="001856D0" w14:paraId="5BC3AD39" w14:textId="77777777">
            <w:r>
              <w:t>Vraag</w:t>
            </w:r>
          </w:p>
        </w:tc>
        <w:tc>
          <w:tcPr>
            <w:tcW w:w="850" w:type="dxa"/>
          </w:tcPr>
          <w:p w:rsidR="008C6E8B" w:rsidRDefault="001856D0" w14:paraId="7CD95D50" w14:textId="77777777">
            <w:pPr>
              <w:jc w:val="right"/>
            </w:pPr>
            <w:r>
              <w:t>Bijlage</w:t>
            </w:r>
          </w:p>
        </w:tc>
        <w:tc>
          <w:tcPr>
            <w:tcW w:w="992" w:type="dxa"/>
          </w:tcPr>
          <w:p w:rsidR="008C6E8B" w:rsidP="00E7153D" w:rsidRDefault="001856D0" w14:paraId="39DDBEB3" w14:textId="77777777">
            <w:pPr>
              <w:jc w:val="right"/>
            </w:pPr>
            <w:r>
              <w:t>Blz. (van)</w:t>
            </w:r>
          </w:p>
        </w:tc>
        <w:tc>
          <w:tcPr>
            <w:tcW w:w="567" w:type="dxa"/>
          </w:tcPr>
          <w:p w:rsidR="008C6E8B" w:rsidP="00E7153D" w:rsidRDefault="001856D0" w14:paraId="0AE99D97" w14:textId="77777777">
            <w:pPr>
              <w:jc w:val="center"/>
            </w:pPr>
            <w:r>
              <w:t>t/m</w:t>
            </w:r>
          </w:p>
        </w:tc>
      </w:tr>
      <w:tr w:rsidR="008C6E8B" w:rsidTr="00E7153D" w14:paraId="14EA8575" w14:textId="77777777">
        <w:tc>
          <w:tcPr>
            <w:tcW w:w="567" w:type="dxa"/>
          </w:tcPr>
          <w:p w:rsidR="008C6E8B" w:rsidRDefault="001856D0" w14:paraId="63E46A3A" w14:textId="77777777">
            <w:r>
              <w:t>1</w:t>
            </w:r>
          </w:p>
        </w:tc>
        <w:tc>
          <w:tcPr>
            <w:tcW w:w="6521" w:type="dxa"/>
          </w:tcPr>
          <w:p w:rsidR="008C6E8B" w:rsidRDefault="001856D0" w14:paraId="4CCC305A" w14:textId="77777777">
            <w:r>
              <w:t>Hoe beoordeelt u de onderbesteding van 168 miljoen euro op de post duurzaam herstel en welke oorzaken identificeert u hiervoor?</w:t>
            </w:r>
          </w:p>
        </w:tc>
        <w:tc>
          <w:tcPr>
            <w:tcW w:w="850" w:type="dxa"/>
          </w:tcPr>
          <w:p w:rsidR="008C6E8B" w:rsidRDefault="008C6E8B" w14:paraId="5067BB25" w14:textId="77777777">
            <w:pPr>
              <w:jc w:val="right"/>
            </w:pPr>
          </w:p>
        </w:tc>
        <w:tc>
          <w:tcPr>
            <w:tcW w:w="992" w:type="dxa"/>
          </w:tcPr>
          <w:p w:rsidR="008C6E8B" w:rsidRDefault="001856D0" w14:paraId="36835B1A" w14:textId="77777777">
            <w:pPr>
              <w:jc w:val="right"/>
            </w:pPr>
            <w:r>
              <w:t>15</w:t>
            </w:r>
          </w:p>
        </w:tc>
        <w:tc>
          <w:tcPr>
            <w:tcW w:w="567" w:type="dxa"/>
            <w:tcBorders>
              <w:left w:val="nil"/>
            </w:tcBorders>
          </w:tcPr>
          <w:p w:rsidR="008C6E8B" w:rsidRDefault="001856D0" w14:paraId="684AB40F" w14:textId="77777777">
            <w:pPr>
              <w:jc w:val="right"/>
            </w:pPr>
            <w:r>
              <w:t xml:space="preserve"> </w:t>
            </w:r>
          </w:p>
        </w:tc>
      </w:tr>
      <w:tr w:rsidR="008C6E8B" w:rsidTr="00E7153D" w14:paraId="33CD354F" w14:textId="77777777">
        <w:tc>
          <w:tcPr>
            <w:tcW w:w="567" w:type="dxa"/>
          </w:tcPr>
          <w:p w:rsidR="008C6E8B" w:rsidRDefault="001856D0" w14:paraId="040EA376" w14:textId="77777777">
            <w:r>
              <w:t>2</w:t>
            </w:r>
          </w:p>
        </w:tc>
        <w:tc>
          <w:tcPr>
            <w:tcW w:w="6521" w:type="dxa"/>
          </w:tcPr>
          <w:p w:rsidR="008C6E8B" w:rsidRDefault="001856D0" w14:paraId="40A1A40F" w14:textId="77777777">
            <w:r>
              <w:t>Hoe beoordeelt u de onderbesteding van 221 miljoen euro op de geraamde 1,165 miljard euro voor schades in 2025 en welke oorzaken identificeert u hiervoor?</w:t>
            </w:r>
          </w:p>
        </w:tc>
        <w:tc>
          <w:tcPr>
            <w:tcW w:w="850" w:type="dxa"/>
          </w:tcPr>
          <w:p w:rsidR="008C6E8B" w:rsidRDefault="008C6E8B" w14:paraId="141FA426" w14:textId="77777777">
            <w:pPr>
              <w:jc w:val="right"/>
            </w:pPr>
          </w:p>
        </w:tc>
        <w:tc>
          <w:tcPr>
            <w:tcW w:w="992" w:type="dxa"/>
          </w:tcPr>
          <w:p w:rsidR="008C6E8B" w:rsidRDefault="001856D0" w14:paraId="1CE91156" w14:textId="77777777">
            <w:pPr>
              <w:jc w:val="right"/>
            </w:pPr>
            <w:r>
              <w:t>17</w:t>
            </w:r>
          </w:p>
        </w:tc>
        <w:tc>
          <w:tcPr>
            <w:tcW w:w="567" w:type="dxa"/>
            <w:tcBorders>
              <w:left w:val="nil"/>
            </w:tcBorders>
          </w:tcPr>
          <w:p w:rsidR="008C6E8B" w:rsidRDefault="001856D0" w14:paraId="344AC751" w14:textId="77777777">
            <w:pPr>
              <w:jc w:val="right"/>
            </w:pPr>
            <w:r>
              <w:t xml:space="preserve"> </w:t>
            </w:r>
          </w:p>
        </w:tc>
      </w:tr>
      <w:tr w:rsidR="008C6E8B" w:rsidTr="00E7153D" w14:paraId="1D686FD0" w14:textId="77777777">
        <w:tc>
          <w:tcPr>
            <w:tcW w:w="567" w:type="dxa"/>
          </w:tcPr>
          <w:p w:rsidR="008C6E8B" w:rsidRDefault="001856D0" w14:paraId="6282EB18" w14:textId="77777777">
            <w:r>
              <w:t>3</w:t>
            </w:r>
          </w:p>
        </w:tc>
        <w:tc>
          <w:tcPr>
            <w:tcW w:w="6521" w:type="dxa"/>
          </w:tcPr>
          <w:p w:rsidR="008C6E8B" w:rsidRDefault="001856D0" w14:paraId="5381D7ED" w14:textId="77777777">
            <w:r>
              <w:t>Hoe beoordeelt u de onderbesteding van 644 miljoen euro op de geraamde 1,6 miljard euro voor versterking en perspectief in 2025 en wat zijn volgens de u de oorzaken hiervan?</w:t>
            </w:r>
          </w:p>
        </w:tc>
        <w:tc>
          <w:tcPr>
            <w:tcW w:w="850" w:type="dxa"/>
          </w:tcPr>
          <w:p w:rsidR="008C6E8B" w:rsidRDefault="008C6E8B" w14:paraId="374581A1" w14:textId="77777777">
            <w:pPr>
              <w:jc w:val="right"/>
            </w:pPr>
          </w:p>
        </w:tc>
        <w:tc>
          <w:tcPr>
            <w:tcW w:w="992" w:type="dxa"/>
          </w:tcPr>
          <w:p w:rsidR="008C6E8B" w:rsidRDefault="001856D0" w14:paraId="008AD1DD" w14:textId="77777777">
            <w:pPr>
              <w:jc w:val="right"/>
            </w:pPr>
            <w:r>
              <w:t>21</w:t>
            </w:r>
          </w:p>
        </w:tc>
        <w:tc>
          <w:tcPr>
            <w:tcW w:w="567" w:type="dxa"/>
            <w:tcBorders>
              <w:left w:val="nil"/>
            </w:tcBorders>
          </w:tcPr>
          <w:p w:rsidR="008C6E8B" w:rsidRDefault="001856D0" w14:paraId="68A1ACA0" w14:textId="77777777">
            <w:pPr>
              <w:jc w:val="right"/>
            </w:pPr>
            <w:r>
              <w:t xml:space="preserve">24 </w:t>
            </w:r>
          </w:p>
        </w:tc>
      </w:tr>
      <w:tr w:rsidR="008C6E8B" w:rsidTr="00E7153D" w14:paraId="479751E9" w14:textId="77777777">
        <w:tc>
          <w:tcPr>
            <w:tcW w:w="567" w:type="dxa"/>
          </w:tcPr>
          <w:p w:rsidR="008C6E8B" w:rsidRDefault="001856D0" w14:paraId="4A963CE7" w14:textId="77777777">
            <w:r>
              <w:t>4</w:t>
            </w:r>
          </w:p>
        </w:tc>
        <w:tc>
          <w:tcPr>
            <w:tcW w:w="6521" w:type="dxa"/>
          </w:tcPr>
          <w:p w:rsidR="008C6E8B" w:rsidRDefault="001856D0" w14:paraId="00AB488E" w14:textId="77777777">
            <w:r>
              <w:t>Hoe beoordeelt u de onderbesteding van 78 miljoen euro op de geraamde 112 miljoen euro voor versterking in eigen beheer en welke oorzaken identificeert u hiervoor?</w:t>
            </w:r>
          </w:p>
        </w:tc>
        <w:tc>
          <w:tcPr>
            <w:tcW w:w="850" w:type="dxa"/>
          </w:tcPr>
          <w:p w:rsidR="008C6E8B" w:rsidRDefault="008C6E8B" w14:paraId="460B32DF" w14:textId="77777777">
            <w:pPr>
              <w:jc w:val="right"/>
            </w:pPr>
          </w:p>
        </w:tc>
        <w:tc>
          <w:tcPr>
            <w:tcW w:w="992" w:type="dxa"/>
          </w:tcPr>
          <w:p w:rsidR="008C6E8B" w:rsidRDefault="001856D0" w14:paraId="36AB7333" w14:textId="77777777">
            <w:pPr>
              <w:jc w:val="right"/>
            </w:pPr>
            <w:r>
              <w:t>45</w:t>
            </w:r>
          </w:p>
        </w:tc>
        <w:tc>
          <w:tcPr>
            <w:tcW w:w="567" w:type="dxa"/>
            <w:tcBorders>
              <w:left w:val="nil"/>
            </w:tcBorders>
          </w:tcPr>
          <w:p w:rsidR="008C6E8B" w:rsidRDefault="001856D0" w14:paraId="6A6F36D4" w14:textId="77777777">
            <w:pPr>
              <w:jc w:val="right"/>
            </w:pPr>
            <w:r>
              <w:t xml:space="preserve"> </w:t>
            </w:r>
          </w:p>
        </w:tc>
      </w:tr>
      <w:tr w:rsidR="008C6E8B" w:rsidTr="00E7153D" w14:paraId="34E11ECC" w14:textId="77777777">
        <w:tc>
          <w:tcPr>
            <w:tcW w:w="567" w:type="dxa"/>
          </w:tcPr>
          <w:p w:rsidR="008C6E8B" w:rsidRDefault="001856D0" w14:paraId="132E2AE5" w14:textId="77777777">
            <w:r>
              <w:t>5</w:t>
            </w:r>
          </w:p>
        </w:tc>
        <w:tc>
          <w:tcPr>
            <w:tcW w:w="6521" w:type="dxa"/>
          </w:tcPr>
          <w:p w:rsidR="008C6E8B" w:rsidRDefault="001856D0" w14:paraId="6D303F19" w14:textId="77777777">
            <w:r>
              <w:t>Hoe verklaart u dat juist bij regelingen die specifiek bedoeld zijn voor het oplossen van knelpunten, zoals vastgelopen situaties, de commissie bijzondere situaties en knelpunten IMG, sprake is van significante onderbesteding?</w:t>
            </w:r>
          </w:p>
        </w:tc>
        <w:tc>
          <w:tcPr>
            <w:tcW w:w="850" w:type="dxa"/>
          </w:tcPr>
          <w:p w:rsidR="008C6E8B" w:rsidRDefault="008C6E8B" w14:paraId="6EF18CDA" w14:textId="77777777">
            <w:pPr>
              <w:jc w:val="right"/>
            </w:pPr>
          </w:p>
        </w:tc>
        <w:tc>
          <w:tcPr>
            <w:tcW w:w="992" w:type="dxa"/>
          </w:tcPr>
          <w:p w:rsidR="008C6E8B" w:rsidRDefault="001856D0" w14:paraId="43B58141" w14:textId="77777777">
            <w:pPr>
              <w:jc w:val="right"/>
            </w:pPr>
            <w:r>
              <w:t>57</w:t>
            </w:r>
          </w:p>
        </w:tc>
        <w:tc>
          <w:tcPr>
            <w:tcW w:w="567" w:type="dxa"/>
            <w:tcBorders>
              <w:left w:val="nil"/>
            </w:tcBorders>
          </w:tcPr>
          <w:p w:rsidR="008C6E8B" w:rsidRDefault="001856D0" w14:paraId="252C7068" w14:textId="77777777">
            <w:pPr>
              <w:jc w:val="right"/>
            </w:pPr>
            <w:r>
              <w:t xml:space="preserve"> </w:t>
            </w:r>
          </w:p>
        </w:tc>
      </w:tr>
      <w:tr w:rsidR="008C6E8B" w:rsidTr="00E7153D" w14:paraId="17370D14" w14:textId="77777777">
        <w:tc>
          <w:tcPr>
            <w:tcW w:w="567" w:type="dxa"/>
          </w:tcPr>
          <w:p w:rsidR="008C6E8B" w:rsidRDefault="001856D0" w14:paraId="3B6749DB" w14:textId="77777777">
            <w:r>
              <w:t>6</w:t>
            </w:r>
          </w:p>
        </w:tc>
        <w:tc>
          <w:tcPr>
            <w:tcW w:w="6521" w:type="dxa"/>
          </w:tcPr>
          <w:p w:rsidR="008C6E8B" w:rsidRDefault="001856D0" w14:paraId="048936EC" w14:textId="77777777">
            <w:r>
              <w:t>Hoe beoordeelt u de voortgang van de versterkingsoperatie, waarbij ruim tien jaar na de start slechts 5.147 woningen zijn opgeleverd terwijl nog circa 8.700 woningen versterkt of herbouwd moeten worden?</w:t>
            </w:r>
          </w:p>
        </w:tc>
        <w:tc>
          <w:tcPr>
            <w:tcW w:w="850" w:type="dxa"/>
          </w:tcPr>
          <w:p w:rsidR="008C6E8B" w:rsidRDefault="008C6E8B" w14:paraId="1F0C9F7A" w14:textId="77777777">
            <w:pPr>
              <w:jc w:val="right"/>
            </w:pPr>
          </w:p>
        </w:tc>
        <w:tc>
          <w:tcPr>
            <w:tcW w:w="992" w:type="dxa"/>
          </w:tcPr>
          <w:p w:rsidR="008C6E8B" w:rsidRDefault="001856D0" w14:paraId="424ED773" w14:textId="77777777">
            <w:pPr>
              <w:jc w:val="right"/>
            </w:pPr>
            <w:r>
              <w:t>57</w:t>
            </w:r>
          </w:p>
        </w:tc>
        <w:tc>
          <w:tcPr>
            <w:tcW w:w="567" w:type="dxa"/>
            <w:tcBorders>
              <w:left w:val="nil"/>
            </w:tcBorders>
          </w:tcPr>
          <w:p w:rsidR="008C6E8B" w:rsidRDefault="001856D0" w14:paraId="65AC1F3B" w14:textId="77777777">
            <w:pPr>
              <w:jc w:val="right"/>
            </w:pPr>
            <w:r>
              <w:t xml:space="preserve"> </w:t>
            </w:r>
          </w:p>
        </w:tc>
      </w:tr>
      <w:tr w:rsidR="008C6E8B" w:rsidTr="00E7153D" w14:paraId="6ADC3648" w14:textId="77777777">
        <w:tc>
          <w:tcPr>
            <w:tcW w:w="567" w:type="dxa"/>
          </w:tcPr>
          <w:p w:rsidR="008C6E8B" w:rsidRDefault="001856D0" w14:paraId="35FD684C" w14:textId="77777777">
            <w:r>
              <w:t>7</w:t>
            </w:r>
          </w:p>
        </w:tc>
        <w:tc>
          <w:tcPr>
            <w:tcW w:w="6521" w:type="dxa"/>
          </w:tcPr>
          <w:p w:rsidR="008C6E8B" w:rsidRDefault="001856D0" w14:paraId="5596EFA5" w14:textId="77777777">
            <w:r>
              <w:t>Heeft u onderzocht in hoeverre de onderbesteding op de verschillende posten samenhangt met structurele uitvoeringsproblemen bij de NCG en het IMG en welke bevindingen heeft u hierover?</w:t>
            </w:r>
          </w:p>
        </w:tc>
        <w:tc>
          <w:tcPr>
            <w:tcW w:w="850" w:type="dxa"/>
          </w:tcPr>
          <w:p w:rsidR="008C6E8B" w:rsidRDefault="008C6E8B" w14:paraId="1A746416" w14:textId="77777777">
            <w:pPr>
              <w:jc w:val="right"/>
            </w:pPr>
          </w:p>
        </w:tc>
        <w:tc>
          <w:tcPr>
            <w:tcW w:w="992" w:type="dxa"/>
          </w:tcPr>
          <w:p w:rsidR="008C6E8B" w:rsidRDefault="001856D0" w14:paraId="7E305CFB" w14:textId="77777777">
            <w:pPr>
              <w:jc w:val="right"/>
            </w:pPr>
            <w:r>
              <w:t>57</w:t>
            </w:r>
          </w:p>
        </w:tc>
        <w:tc>
          <w:tcPr>
            <w:tcW w:w="567" w:type="dxa"/>
            <w:tcBorders>
              <w:left w:val="nil"/>
            </w:tcBorders>
          </w:tcPr>
          <w:p w:rsidR="008C6E8B" w:rsidRDefault="001856D0" w14:paraId="206C03D8" w14:textId="77777777">
            <w:pPr>
              <w:jc w:val="right"/>
            </w:pPr>
            <w:r>
              <w:t xml:space="preserve"> </w:t>
            </w:r>
          </w:p>
        </w:tc>
      </w:tr>
      <w:tr w:rsidR="008C6E8B" w:rsidTr="00E7153D" w14:paraId="2EBF4360" w14:textId="77777777">
        <w:tc>
          <w:tcPr>
            <w:tcW w:w="567" w:type="dxa"/>
          </w:tcPr>
          <w:p w:rsidR="008C6E8B" w:rsidRDefault="001856D0" w14:paraId="1D1B4691" w14:textId="77777777">
            <w:r>
              <w:t>8</w:t>
            </w:r>
          </w:p>
        </w:tc>
        <w:tc>
          <w:tcPr>
            <w:tcW w:w="6521" w:type="dxa"/>
          </w:tcPr>
          <w:p w:rsidR="008C6E8B" w:rsidRDefault="001856D0" w14:paraId="3A6EFD6C" w14:textId="77777777">
            <w:r>
              <w:t>Heeft u inzichtelijk gemaakt hoeveel gedupeerden gebruikmaken van de regelingen voor vastgelopen situaties en bijzondere situaties en hoe verhoudt dit zich tot het geraamde gebruik?</w:t>
            </w:r>
          </w:p>
        </w:tc>
        <w:tc>
          <w:tcPr>
            <w:tcW w:w="850" w:type="dxa"/>
          </w:tcPr>
          <w:p w:rsidR="008C6E8B" w:rsidRDefault="008C6E8B" w14:paraId="4EFCDC6B" w14:textId="77777777">
            <w:pPr>
              <w:jc w:val="right"/>
            </w:pPr>
          </w:p>
        </w:tc>
        <w:tc>
          <w:tcPr>
            <w:tcW w:w="992" w:type="dxa"/>
          </w:tcPr>
          <w:p w:rsidR="008C6E8B" w:rsidRDefault="001856D0" w14:paraId="55A0D9F3" w14:textId="77777777">
            <w:pPr>
              <w:jc w:val="right"/>
            </w:pPr>
            <w:r>
              <w:t>57</w:t>
            </w:r>
          </w:p>
        </w:tc>
        <w:tc>
          <w:tcPr>
            <w:tcW w:w="567" w:type="dxa"/>
            <w:tcBorders>
              <w:left w:val="nil"/>
            </w:tcBorders>
          </w:tcPr>
          <w:p w:rsidR="008C6E8B" w:rsidRDefault="001856D0" w14:paraId="16D61A65" w14:textId="77777777">
            <w:pPr>
              <w:jc w:val="right"/>
            </w:pPr>
            <w:r>
              <w:t xml:space="preserve"> </w:t>
            </w:r>
          </w:p>
        </w:tc>
      </w:tr>
      <w:tr w:rsidR="008C6E8B" w:rsidTr="00E7153D" w14:paraId="27974AC4" w14:textId="77777777">
        <w:tc>
          <w:tcPr>
            <w:tcW w:w="567" w:type="dxa"/>
          </w:tcPr>
          <w:p w:rsidR="008C6E8B" w:rsidRDefault="001856D0" w14:paraId="7A887391" w14:textId="77777777">
            <w:r>
              <w:t>9</w:t>
            </w:r>
          </w:p>
        </w:tc>
        <w:tc>
          <w:tcPr>
            <w:tcW w:w="6521" w:type="dxa"/>
          </w:tcPr>
          <w:p w:rsidR="008C6E8B" w:rsidRDefault="001856D0" w14:paraId="5FC67CA2" w14:textId="77777777">
            <w:r>
              <w:t>Heeft u onderzocht wat de gevolgen zijn van de geconstateerde onderbesteding voor gedupeerden die al jarenlang in onzekerheid verkeren over versterking of schadevergoeding?</w:t>
            </w:r>
          </w:p>
        </w:tc>
        <w:tc>
          <w:tcPr>
            <w:tcW w:w="850" w:type="dxa"/>
          </w:tcPr>
          <w:p w:rsidR="008C6E8B" w:rsidRDefault="008C6E8B" w14:paraId="5CA82F89" w14:textId="77777777">
            <w:pPr>
              <w:jc w:val="right"/>
            </w:pPr>
          </w:p>
        </w:tc>
        <w:tc>
          <w:tcPr>
            <w:tcW w:w="992" w:type="dxa"/>
          </w:tcPr>
          <w:p w:rsidR="008C6E8B" w:rsidRDefault="001856D0" w14:paraId="3B348F0F" w14:textId="77777777">
            <w:pPr>
              <w:jc w:val="right"/>
            </w:pPr>
            <w:r>
              <w:t>57</w:t>
            </w:r>
          </w:p>
        </w:tc>
        <w:tc>
          <w:tcPr>
            <w:tcW w:w="567" w:type="dxa"/>
            <w:tcBorders>
              <w:left w:val="nil"/>
            </w:tcBorders>
          </w:tcPr>
          <w:p w:rsidR="008C6E8B" w:rsidRDefault="001856D0" w14:paraId="6A6108B0" w14:textId="77777777">
            <w:pPr>
              <w:jc w:val="right"/>
            </w:pPr>
            <w:r>
              <w:t xml:space="preserve"> </w:t>
            </w:r>
          </w:p>
        </w:tc>
      </w:tr>
      <w:tr w:rsidR="008C6E8B" w:rsidTr="00E7153D" w14:paraId="72C0992A" w14:textId="77777777">
        <w:tc>
          <w:tcPr>
            <w:tcW w:w="567" w:type="dxa"/>
          </w:tcPr>
          <w:p w:rsidR="008C6E8B" w:rsidRDefault="001856D0" w14:paraId="721BFA39" w14:textId="77777777">
            <w:r>
              <w:t>10</w:t>
            </w:r>
          </w:p>
        </w:tc>
        <w:tc>
          <w:tcPr>
            <w:tcW w:w="6521" w:type="dxa"/>
          </w:tcPr>
          <w:p w:rsidR="008C6E8B" w:rsidRDefault="001856D0" w14:paraId="365B3F50" w14:textId="77777777">
            <w:r>
              <w:t>Herkent u, op basis van uw onderzoek naar de uitvoering van het Groningse dossier in 2025, het beeld van de Nationale ombudsman dat de overheid de behoefte van de burger te weinig centraal stelt in hersteltrajecten en welke aanbevelingen doet u hierover?</w:t>
            </w:r>
          </w:p>
        </w:tc>
        <w:tc>
          <w:tcPr>
            <w:tcW w:w="850" w:type="dxa"/>
          </w:tcPr>
          <w:p w:rsidR="008C6E8B" w:rsidRDefault="008C6E8B" w14:paraId="6598BB66" w14:textId="77777777">
            <w:pPr>
              <w:jc w:val="right"/>
            </w:pPr>
          </w:p>
        </w:tc>
        <w:tc>
          <w:tcPr>
            <w:tcW w:w="992" w:type="dxa"/>
          </w:tcPr>
          <w:p w:rsidR="008C6E8B" w:rsidRDefault="001856D0" w14:paraId="2F5A2201" w14:textId="77777777">
            <w:pPr>
              <w:jc w:val="right"/>
            </w:pPr>
            <w:r>
              <w:t>57</w:t>
            </w:r>
          </w:p>
        </w:tc>
        <w:tc>
          <w:tcPr>
            <w:tcW w:w="567" w:type="dxa"/>
            <w:tcBorders>
              <w:left w:val="nil"/>
            </w:tcBorders>
          </w:tcPr>
          <w:p w:rsidR="008C6E8B" w:rsidRDefault="001856D0" w14:paraId="2FD7540F" w14:textId="77777777">
            <w:pPr>
              <w:jc w:val="right"/>
            </w:pPr>
            <w:r>
              <w:t xml:space="preserve"> </w:t>
            </w:r>
          </w:p>
        </w:tc>
      </w:tr>
    </w:tbl>
    <w:p w:rsidR="008C6E8B" w:rsidRDefault="008C6E8B" w14:paraId="61C0D8AA" w14:textId="77777777"/>
    <w:sectPr w:rsidR="008C6E8B"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242B" w14:textId="77777777" w:rsidR="00C74C37" w:rsidRDefault="00C74C37">
      <w:pPr>
        <w:spacing w:before="0" w:after="0"/>
      </w:pPr>
      <w:r>
        <w:separator/>
      </w:r>
    </w:p>
  </w:endnote>
  <w:endnote w:type="continuationSeparator" w:id="0">
    <w:p w14:paraId="0AD8C867" w14:textId="77777777" w:rsidR="00C74C37" w:rsidRDefault="00C74C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49F3" w14:textId="514C0BF6" w:rsidR="008C6E8B" w:rsidRDefault="001856D0">
    <w:pPr>
      <w:pStyle w:val="Voettekst"/>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2E1D" w14:textId="77777777" w:rsidR="00C74C37" w:rsidRDefault="00C74C37">
      <w:pPr>
        <w:spacing w:before="0" w:after="0"/>
      </w:pPr>
      <w:r>
        <w:separator/>
      </w:r>
    </w:p>
  </w:footnote>
  <w:footnote w:type="continuationSeparator" w:id="0">
    <w:p w14:paraId="4CECD068" w14:textId="77777777" w:rsidR="00C74C37" w:rsidRDefault="00C74C3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7463F"/>
    <w:rsid w:val="00351CCB"/>
    <w:rsid w:val="003D44DD"/>
    <w:rsid w:val="00486C60"/>
    <w:rsid w:val="0049224F"/>
    <w:rsid w:val="005543A7"/>
    <w:rsid w:val="0063784F"/>
    <w:rsid w:val="007E2EFF"/>
    <w:rsid w:val="00894624"/>
    <w:rsid w:val="008C6E8B"/>
    <w:rsid w:val="00A77C3E"/>
    <w:rsid w:val="00B915EC"/>
    <w:rsid w:val="00BD615F"/>
    <w:rsid w:val="00C74C37"/>
    <w:rsid w:val="00D33B8A"/>
    <w:rsid w:val="00D405E5"/>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4F096C"/>
  <w15:docId w15:val="{24AA93F7-525F-4162-9234-3DB2EA3B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383</ap:Words>
  <ap:Characters>2110</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2026-05-27T13:08:00.0000000Z</dcterms:created>
  <dcterms:modified xsi:type="dcterms:W3CDTF">2026-05-27T14:28:00.0000000Z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39ce39af-f843-45fc-a1ff-4469a987836e</vt:lpwstr>
  </property>
</Properties>
</file>