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08F3" w:rsidP="000E08F3" w:rsidRDefault="000E08F3" w14:paraId="703153DC" w14:textId="77777777">
      <w:pPr>
        <w:rPr>
          <w:b/>
        </w:rPr>
      </w:pPr>
      <w:r>
        <w:rPr>
          <w:b/>
        </w:rPr>
        <w:t xml:space="preserve">Lijst van vragen </w:t>
      </w:r>
    </w:p>
    <w:p w:rsidRPr="00175621" w:rsidR="000E08F3" w:rsidP="000E08F3" w:rsidRDefault="000E08F3" w14:paraId="19FC6EFC" w14:textId="30FF0D70">
      <w:r w:rsidRPr="00175621">
        <w:t>De vaste commissie voor Landbouw, Visserij, Voedselzekerheid en Natuur heeft een aantal vragen voorgelegd aan de Algemene Rekenkamer over</w:t>
      </w:r>
      <w:r w:rsidR="005A40BA">
        <w:t xml:space="preserve"> </w:t>
      </w:r>
      <w:r w:rsidRPr="00175621">
        <w:t>het rapport ‘</w:t>
      </w:r>
      <w:r w:rsidRPr="00175621">
        <w:rPr>
          <w:b/>
          <w:bCs/>
        </w:rPr>
        <w:t>Resultaten verantwoordingsonderzoek 2025 bij het Ministerie van Landbouw, Visserij, Voedselzekerheid en Natuur en het Diergezondheidsfonds’ (</w:t>
      </w:r>
      <w:r>
        <w:rPr>
          <w:b/>
          <w:bCs/>
        </w:rPr>
        <w:t xml:space="preserve">Kamerstuk </w:t>
      </w:r>
      <w:r w:rsidRPr="00175621">
        <w:rPr>
          <w:b/>
          <w:bCs/>
        </w:rPr>
        <w:t>36945 XIV, nr. 2)</w:t>
      </w:r>
      <w:r w:rsidRPr="00175621">
        <w:t>.</w:t>
      </w:r>
    </w:p>
    <w:p w:rsidR="000E08F3" w:rsidP="000E08F3" w:rsidRDefault="000E08F3" w14:paraId="00229231" w14:textId="77777777">
      <w:pPr>
        <w:spacing w:after="0"/>
      </w:pPr>
    </w:p>
    <w:p w:rsidR="000E08F3" w:rsidP="000E08F3" w:rsidRDefault="000E08F3" w14:paraId="494F2516" w14:textId="77777777">
      <w:pPr>
        <w:spacing w:after="0"/>
      </w:pPr>
      <w:r>
        <w:t xml:space="preserve">De voorzitter van de commissie, </w:t>
      </w:r>
    </w:p>
    <w:p w:rsidR="000E08F3" w:rsidP="000E08F3" w:rsidRDefault="000E08F3" w14:paraId="7C4E9B2D" w14:textId="116A56E9">
      <w:pPr>
        <w:spacing w:after="0"/>
      </w:pPr>
      <w:r>
        <w:t>Steen</w:t>
      </w:r>
    </w:p>
    <w:p w:rsidR="000E08F3" w:rsidP="000E08F3" w:rsidRDefault="000E08F3" w14:paraId="6EA401EF" w14:textId="3794F2E6">
      <w:pPr>
        <w:spacing w:after="0"/>
      </w:pPr>
      <w:r>
        <w:tab/>
      </w:r>
    </w:p>
    <w:p w:rsidR="000E08F3" w:rsidP="000E08F3" w:rsidRDefault="000E08F3" w14:paraId="24EB1FF1" w14:textId="29F702FA">
      <w:pPr>
        <w:spacing w:after="0"/>
      </w:pPr>
      <w:r>
        <w:t>De griffier van de commissie,</w:t>
      </w:r>
    </w:p>
    <w:p w:rsidR="000E08F3" w:rsidP="000E08F3" w:rsidRDefault="000E08F3" w14:paraId="6B352C9A" w14:textId="3FCC3D2E">
      <w:pPr>
        <w:spacing w:after="0"/>
      </w:pPr>
      <w:r>
        <w:t>Jansma</w:t>
      </w:r>
    </w:p>
    <w:p w:rsidR="000E08F3" w:rsidP="000E08F3" w:rsidRDefault="000E08F3" w14:paraId="71FCF7CB" w14:textId="77777777"/>
    <w:tbl>
      <w:tblPr>
        <w:tblW w:w="7088" w:type="dxa"/>
        <w:tblLayout w:type="fixed"/>
        <w:tblCellMar>
          <w:left w:w="0" w:type="dxa"/>
          <w:right w:w="0" w:type="dxa"/>
        </w:tblCellMar>
        <w:tblLook w:val="0000" w:firstRow="0" w:lastRow="0" w:firstColumn="0" w:lastColumn="0" w:noHBand="0" w:noVBand="0"/>
      </w:tblPr>
      <w:tblGrid>
        <w:gridCol w:w="567"/>
        <w:gridCol w:w="6521"/>
      </w:tblGrid>
      <w:tr w:rsidR="000E08F3" w:rsidTr="000E08F3" w14:paraId="4908BAB9" w14:textId="77777777">
        <w:trPr>
          <w:cantSplit/>
        </w:trPr>
        <w:tc>
          <w:tcPr>
            <w:tcW w:w="567" w:type="dxa"/>
          </w:tcPr>
          <w:p w:rsidR="000E08F3" w:rsidP="000A523D" w:rsidRDefault="000E08F3" w14:paraId="10BB1DA9" w14:textId="77777777">
            <w:bookmarkStart w:name="bmkStartTabel" w:id="0"/>
            <w:bookmarkEnd w:id="0"/>
            <w:r>
              <w:t>Nr</w:t>
            </w:r>
          </w:p>
        </w:tc>
        <w:tc>
          <w:tcPr>
            <w:tcW w:w="6521" w:type="dxa"/>
          </w:tcPr>
          <w:p w:rsidR="000E08F3" w:rsidP="000A523D" w:rsidRDefault="000E08F3" w14:paraId="756D9A0F" w14:textId="77777777">
            <w:r>
              <w:t>Vraag</w:t>
            </w:r>
          </w:p>
        </w:tc>
      </w:tr>
      <w:tr w:rsidR="000E08F3" w:rsidTr="000E08F3" w14:paraId="5907F56B" w14:textId="77777777">
        <w:tc>
          <w:tcPr>
            <w:tcW w:w="567" w:type="dxa"/>
          </w:tcPr>
          <w:p w:rsidR="000E08F3" w:rsidP="000A523D" w:rsidRDefault="000E08F3" w14:paraId="6EF01623" w14:textId="77777777">
            <w:r>
              <w:t>1</w:t>
            </w:r>
          </w:p>
        </w:tc>
        <w:tc>
          <w:tcPr>
            <w:tcW w:w="6521" w:type="dxa"/>
          </w:tcPr>
          <w:p w:rsidR="000E08F3" w:rsidP="000A523D" w:rsidRDefault="000E08F3" w14:paraId="0B8E1FC6" w14:textId="77777777">
            <w:r>
              <w:t>In hoeverre zijn eerder door de Algemene Rekenkamer (ARK) geconstateerde tekortkomingen bij het ministerie van Landbouw, Visserij, Voedselzekerheid en Natuur (LVVN) inmiddels aantoonbaar opgelost?</w:t>
            </w:r>
          </w:p>
        </w:tc>
      </w:tr>
      <w:tr w:rsidR="000E08F3" w:rsidTr="000E08F3" w14:paraId="7D06B1C8" w14:textId="77777777">
        <w:tc>
          <w:tcPr>
            <w:tcW w:w="567" w:type="dxa"/>
          </w:tcPr>
          <w:p w:rsidR="000E08F3" w:rsidP="000A523D" w:rsidRDefault="000E08F3" w14:paraId="215EF2B3" w14:textId="77777777">
            <w:r>
              <w:t>2</w:t>
            </w:r>
          </w:p>
        </w:tc>
        <w:tc>
          <w:tcPr>
            <w:tcW w:w="6521" w:type="dxa"/>
          </w:tcPr>
          <w:p w:rsidR="000E08F3" w:rsidP="000A523D" w:rsidRDefault="000E08F3" w14:paraId="529174EC" w14:textId="77777777">
            <w:r>
              <w:t>Zijn onderdelen van het ministerie van LVVN opgenomen op de Rijksbrede hoogrisicolijst? Zo ja, welke?</w:t>
            </w:r>
          </w:p>
        </w:tc>
      </w:tr>
      <w:tr w:rsidR="000E08F3" w:rsidTr="000E08F3" w14:paraId="5B233D7A" w14:textId="77777777">
        <w:tc>
          <w:tcPr>
            <w:tcW w:w="567" w:type="dxa"/>
          </w:tcPr>
          <w:p w:rsidR="000E08F3" w:rsidP="000A523D" w:rsidRDefault="000E08F3" w14:paraId="04DF43EA" w14:textId="77777777">
            <w:r>
              <w:t>3</w:t>
            </w:r>
          </w:p>
        </w:tc>
        <w:tc>
          <w:tcPr>
            <w:tcW w:w="6521" w:type="dxa"/>
          </w:tcPr>
          <w:p w:rsidR="000E08F3" w:rsidP="000A523D" w:rsidRDefault="000E08F3" w14:paraId="043D1E09" w14:textId="77777777">
            <w:r>
              <w:t>Hoe verhouden de bevindingen uit het verantwoordingsonderzoek 2025 zich tot de uitkomsten van eerdere verantwoordingsonderzoeken bij het ministerie van LVVN?</w:t>
            </w:r>
          </w:p>
        </w:tc>
      </w:tr>
      <w:tr w:rsidR="000E08F3" w:rsidTr="000E08F3" w14:paraId="4888672F" w14:textId="77777777">
        <w:tc>
          <w:tcPr>
            <w:tcW w:w="567" w:type="dxa"/>
          </w:tcPr>
          <w:p w:rsidR="000E08F3" w:rsidP="000A523D" w:rsidRDefault="000E08F3" w14:paraId="71FA599E" w14:textId="77777777">
            <w:r>
              <w:t>4</w:t>
            </w:r>
          </w:p>
        </w:tc>
        <w:tc>
          <w:tcPr>
            <w:tcW w:w="6521" w:type="dxa"/>
          </w:tcPr>
          <w:p w:rsidR="000E08F3" w:rsidP="000A523D" w:rsidRDefault="000E08F3" w14:paraId="2C4CFC9C" w14:textId="77777777">
            <w:r>
              <w:t>Kunt u toelichten welke concrete gevolgen het heeft dat de regels voor het gebruik van gewasbeschermingsmiddelen “niet op orde” zijn, voor waterkwaliteit, biodiversiteit en volksgezondheid?</w:t>
            </w:r>
          </w:p>
        </w:tc>
      </w:tr>
      <w:tr w:rsidR="000E08F3" w:rsidTr="000E08F3" w14:paraId="22064624" w14:textId="77777777">
        <w:tc>
          <w:tcPr>
            <w:tcW w:w="567" w:type="dxa"/>
          </w:tcPr>
          <w:p w:rsidR="000E08F3" w:rsidP="000A523D" w:rsidRDefault="000E08F3" w14:paraId="33EB444D" w14:textId="77777777">
            <w:r>
              <w:t>5</w:t>
            </w:r>
          </w:p>
        </w:tc>
        <w:tc>
          <w:tcPr>
            <w:tcW w:w="6521" w:type="dxa"/>
          </w:tcPr>
          <w:p w:rsidR="000E08F3" w:rsidP="000A523D" w:rsidRDefault="000E08F3" w14:paraId="63A809B9" w14:textId="77777777">
            <w:r>
              <w:t>Heeft u zicht op de mate waarin stoppende bedrijven daadwerkelijk bijdragen aan structurele natuurverbetering rond Natura 2000-gebieden?</w:t>
            </w:r>
          </w:p>
        </w:tc>
      </w:tr>
      <w:tr w:rsidR="000E08F3" w:rsidTr="000E08F3" w14:paraId="54FD01DE" w14:textId="77777777">
        <w:tc>
          <w:tcPr>
            <w:tcW w:w="567" w:type="dxa"/>
          </w:tcPr>
          <w:p w:rsidR="000E08F3" w:rsidP="000A523D" w:rsidRDefault="000E08F3" w14:paraId="65BD9E28" w14:textId="77777777">
            <w:r>
              <w:t>6</w:t>
            </w:r>
          </w:p>
        </w:tc>
        <w:tc>
          <w:tcPr>
            <w:tcW w:w="6521" w:type="dxa"/>
          </w:tcPr>
          <w:p w:rsidR="000E08F3" w:rsidP="000A523D" w:rsidRDefault="000E08F3" w14:paraId="36693E85" w14:textId="77777777">
            <w:r>
              <w:t>Kunt u toelichten waarom eind 2025 slechts 1,03 procent en dus 14 van de 1.364 Programma Aanpak Stikstof (PAS)-melders die aan de criteria voor een oplossing voldoen daadwerkelijk een onherroepelijke vergunning hebben gekregen?</w:t>
            </w:r>
          </w:p>
        </w:tc>
      </w:tr>
      <w:tr w:rsidR="000E08F3" w:rsidTr="000E08F3" w14:paraId="0BBE1B74" w14:textId="77777777">
        <w:tc>
          <w:tcPr>
            <w:tcW w:w="567" w:type="dxa"/>
          </w:tcPr>
          <w:p w:rsidR="000E08F3" w:rsidP="000A523D" w:rsidRDefault="000E08F3" w14:paraId="093D7DA9" w14:textId="77777777">
            <w:r>
              <w:t>7</w:t>
            </w:r>
          </w:p>
        </w:tc>
        <w:tc>
          <w:tcPr>
            <w:tcW w:w="6521" w:type="dxa"/>
          </w:tcPr>
          <w:p w:rsidR="000E08F3" w:rsidP="000A523D" w:rsidRDefault="000E08F3" w14:paraId="170A6A54" w14:textId="77777777">
            <w:r>
              <w:t>Hoeveel bouw- en infrastructuurprojecten zijn concreet vertraagd of stilgelegd als gevolg van het stikstofslot en wat is de geschatte economische schade hiervan?</w:t>
            </w:r>
          </w:p>
        </w:tc>
      </w:tr>
      <w:tr w:rsidR="000E08F3" w:rsidTr="000E08F3" w14:paraId="38AC1FD9" w14:textId="77777777">
        <w:tc>
          <w:tcPr>
            <w:tcW w:w="567" w:type="dxa"/>
          </w:tcPr>
          <w:p w:rsidR="000E08F3" w:rsidP="000A523D" w:rsidRDefault="000E08F3" w14:paraId="172FF361" w14:textId="77777777">
            <w:r>
              <w:t>8</w:t>
            </w:r>
          </w:p>
        </w:tc>
        <w:tc>
          <w:tcPr>
            <w:tcW w:w="6521" w:type="dxa"/>
          </w:tcPr>
          <w:p w:rsidR="000E08F3" w:rsidP="000A523D" w:rsidRDefault="000E08F3" w14:paraId="25989998" w14:textId="77777777">
            <w:r>
              <w:t>Hoe onderbouwt u de maatschappelijke schade van 12 tot 15 miljard euro per jaar door de stikstofproblematiek?</w:t>
            </w:r>
          </w:p>
        </w:tc>
      </w:tr>
      <w:tr w:rsidR="000E08F3" w:rsidTr="000E08F3" w14:paraId="49718BD7" w14:textId="77777777">
        <w:tc>
          <w:tcPr>
            <w:tcW w:w="567" w:type="dxa"/>
          </w:tcPr>
          <w:p w:rsidR="000E08F3" w:rsidP="000A523D" w:rsidRDefault="000E08F3" w14:paraId="3E4E9A1B" w14:textId="77777777">
            <w:r>
              <w:t>9</w:t>
            </w:r>
          </w:p>
        </w:tc>
        <w:tc>
          <w:tcPr>
            <w:tcW w:w="6521" w:type="dxa"/>
          </w:tcPr>
          <w:p w:rsidR="000E08F3" w:rsidP="000A523D" w:rsidRDefault="000E08F3" w14:paraId="687AC237" w14:textId="77777777">
            <w:r>
              <w:t xml:space="preserve">Kunt u toelichten voor welke specifieke nieuwe taken de resterende groei van circa 175 fulltime-equivalent (fte) bij de Nederlandse Voedsel- en Warenautoriteit (NVWA), bovenop de 300 fte die </w:t>
            </w:r>
            <w:r>
              <w:lastRenderedPageBreak/>
              <w:t>voortkomen uit de aansluiting van de Kwaliteitskeuring Dierlijke Sector (KDS), in 2025 is aangewend?</w:t>
            </w:r>
          </w:p>
        </w:tc>
      </w:tr>
      <w:tr w:rsidR="000E08F3" w:rsidTr="000E08F3" w14:paraId="3114607A" w14:textId="77777777">
        <w:tc>
          <w:tcPr>
            <w:tcW w:w="567" w:type="dxa"/>
          </w:tcPr>
          <w:p w:rsidR="000E08F3" w:rsidP="000A523D" w:rsidRDefault="000E08F3" w14:paraId="240E8230" w14:textId="77777777">
            <w:r>
              <w:lastRenderedPageBreak/>
              <w:t>10</w:t>
            </w:r>
          </w:p>
        </w:tc>
        <w:tc>
          <w:tcPr>
            <w:tcW w:w="6521" w:type="dxa"/>
          </w:tcPr>
          <w:p w:rsidR="000E08F3" w:rsidP="000A523D" w:rsidRDefault="000E08F3" w14:paraId="5BA51F10" w14:textId="77777777">
            <w:r>
              <w:t>Kunt u toelichten welke specifieke factoren de grootste rol hebben gespeeld in de factor 2,2 stijging van de uitgaven van het ministerie van LVVN tussen de Miljoenennota 2023 en de uiteindelijke realisatie over 2025?</w:t>
            </w:r>
          </w:p>
        </w:tc>
      </w:tr>
      <w:tr w:rsidR="000E08F3" w:rsidTr="000E08F3" w14:paraId="22581908" w14:textId="77777777">
        <w:tc>
          <w:tcPr>
            <w:tcW w:w="567" w:type="dxa"/>
          </w:tcPr>
          <w:p w:rsidR="000E08F3" w:rsidP="000A523D" w:rsidRDefault="000E08F3" w14:paraId="75C5F173" w14:textId="77777777">
            <w:r>
              <w:t>11</w:t>
            </w:r>
          </w:p>
        </w:tc>
        <w:tc>
          <w:tcPr>
            <w:tcW w:w="6521" w:type="dxa"/>
          </w:tcPr>
          <w:p w:rsidR="000E08F3" w:rsidP="000A523D" w:rsidRDefault="000E08F3" w14:paraId="45CCAD68" w14:textId="77777777">
            <w:r>
              <w:t>Waarom bestaan er volgens u nog steeds geen duidelijke Rijksregels voor spuitvrije zones rond kwetsbare gebieden?</w:t>
            </w:r>
          </w:p>
        </w:tc>
      </w:tr>
      <w:tr w:rsidR="000E08F3" w:rsidTr="000E08F3" w14:paraId="6C7BD500" w14:textId="77777777">
        <w:tc>
          <w:tcPr>
            <w:tcW w:w="567" w:type="dxa"/>
          </w:tcPr>
          <w:p w:rsidR="000E08F3" w:rsidP="000A523D" w:rsidRDefault="000E08F3" w14:paraId="28C5032D" w14:textId="77777777">
            <w:r>
              <w:t>12</w:t>
            </w:r>
          </w:p>
        </w:tc>
        <w:tc>
          <w:tcPr>
            <w:tcW w:w="6521" w:type="dxa"/>
          </w:tcPr>
          <w:p w:rsidR="000E08F3" w:rsidP="000A523D" w:rsidRDefault="000E08F3" w14:paraId="2917A2D3" w14:textId="77777777">
            <w:r>
              <w:t>Kunt u toelichten waarom de helft van de 14 door de ARK onderzochte belangrijke regels voor het gebruik van gewasbeschermingsmiddelen door inspecteurs als niet of moeilijk handhaafbaar wordt ervaren?</w:t>
            </w:r>
          </w:p>
        </w:tc>
      </w:tr>
      <w:tr w:rsidR="000E08F3" w:rsidTr="000E08F3" w14:paraId="49B00EC0" w14:textId="77777777">
        <w:tc>
          <w:tcPr>
            <w:tcW w:w="567" w:type="dxa"/>
          </w:tcPr>
          <w:p w:rsidR="000E08F3" w:rsidP="000A523D" w:rsidRDefault="000E08F3" w14:paraId="65A744E1" w14:textId="77777777">
            <w:r>
              <w:t>13</w:t>
            </w:r>
          </w:p>
        </w:tc>
        <w:tc>
          <w:tcPr>
            <w:tcW w:w="6521" w:type="dxa"/>
          </w:tcPr>
          <w:p w:rsidR="000E08F3" w:rsidP="000A523D" w:rsidRDefault="000E08F3" w14:paraId="5D0A4A85" w14:textId="77777777">
            <w:r>
              <w:t>Hoe beoordeelt u de risico's van normen zoals “voldoende afstand tot water” voor effectieve handhaving?</w:t>
            </w:r>
          </w:p>
        </w:tc>
      </w:tr>
      <w:tr w:rsidR="000E08F3" w:rsidTr="000E08F3" w14:paraId="0682EC4E" w14:textId="77777777">
        <w:tc>
          <w:tcPr>
            <w:tcW w:w="567" w:type="dxa"/>
          </w:tcPr>
          <w:p w:rsidR="000E08F3" w:rsidP="000A523D" w:rsidRDefault="000E08F3" w14:paraId="0232B8BD" w14:textId="77777777">
            <w:r>
              <w:t>14</w:t>
            </w:r>
          </w:p>
        </w:tc>
        <w:tc>
          <w:tcPr>
            <w:tcW w:w="6521" w:type="dxa"/>
          </w:tcPr>
          <w:p w:rsidR="000E08F3" w:rsidP="000A523D" w:rsidRDefault="000E08F3" w14:paraId="6EE5EE18" w14:textId="77777777">
            <w:r>
              <w:t>Hoe verschilt de naleving van de gewasbeschermingsregels per sector en wat is de verklaring daarvoor?</w:t>
            </w:r>
          </w:p>
        </w:tc>
      </w:tr>
      <w:tr w:rsidR="000E08F3" w:rsidTr="000E08F3" w14:paraId="49AF4295" w14:textId="77777777">
        <w:tc>
          <w:tcPr>
            <w:tcW w:w="567" w:type="dxa"/>
          </w:tcPr>
          <w:p w:rsidR="000E08F3" w:rsidP="000A523D" w:rsidRDefault="000E08F3" w14:paraId="67B028BA" w14:textId="77777777">
            <w:r>
              <w:t>15</w:t>
            </w:r>
          </w:p>
        </w:tc>
        <w:tc>
          <w:tcPr>
            <w:tcW w:w="6521" w:type="dxa"/>
          </w:tcPr>
          <w:p w:rsidR="000E08F3" w:rsidP="000A523D" w:rsidRDefault="000E08F3" w14:paraId="6C1750D8" w14:textId="77777777">
            <w:r>
              <w:t>Kunt u toelichten op basis van welke gegevens is geconcludeerd dat het aandeel natuur onder de kritische depositiewaarde (KDW) in 2035 naar schatting op ongeveer 40 tot 45 procent blijft steken, zelfs als de emissiereductiedoelen voor de landbouw, industrie en mobiliteit volledig worden behaald?</w:t>
            </w:r>
          </w:p>
        </w:tc>
      </w:tr>
      <w:tr w:rsidR="000E08F3" w:rsidTr="000E08F3" w14:paraId="2C16E97B" w14:textId="77777777">
        <w:tc>
          <w:tcPr>
            <w:tcW w:w="567" w:type="dxa"/>
          </w:tcPr>
          <w:p w:rsidR="000E08F3" w:rsidP="000A523D" w:rsidRDefault="000E08F3" w14:paraId="639A35AE" w14:textId="77777777">
            <w:r>
              <w:t>16</w:t>
            </w:r>
          </w:p>
        </w:tc>
        <w:tc>
          <w:tcPr>
            <w:tcW w:w="6521" w:type="dxa"/>
          </w:tcPr>
          <w:p w:rsidR="000E08F3" w:rsidP="000A523D" w:rsidRDefault="000E08F3" w14:paraId="2E0A2F1A" w14:textId="77777777">
            <w:r>
              <w:t>In welke mate is zonering meegenomen in de beoordeling van de stikstofaanpak?</w:t>
            </w:r>
          </w:p>
        </w:tc>
      </w:tr>
      <w:tr w:rsidR="000E08F3" w:rsidTr="000E08F3" w14:paraId="66BA100D" w14:textId="77777777">
        <w:tc>
          <w:tcPr>
            <w:tcW w:w="567" w:type="dxa"/>
          </w:tcPr>
          <w:p w:rsidR="000E08F3" w:rsidP="000A523D" w:rsidRDefault="000E08F3" w14:paraId="0607CBCF" w14:textId="77777777">
            <w:r>
              <w:t>17</w:t>
            </w:r>
          </w:p>
        </w:tc>
        <w:tc>
          <w:tcPr>
            <w:tcW w:w="6521" w:type="dxa"/>
          </w:tcPr>
          <w:p w:rsidR="000E08F3" w:rsidP="000A523D" w:rsidRDefault="000E08F3" w14:paraId="7422798C" w14:textId="77777777">
            <w:r>
              <w:t>Hoe wordt de effectiviteit van de verplichte spuitlicentie (bewijs van vakbekwaamheid) gemeten en in hoeverre draagt deze aantoonbaar bij aan betere naleving van de regels?</w:t>
            </w:r>
          </w:p>
        </w:tc>
      </w:tr>
    </w:tbl>
    <w:p w:rsidR="000E08F3" w:rsidP="000E08F3" w:rsidRDefault="000E08F3" w14:paraId="0B06A508" w14:textId="77777777"/>
    <w:p w:rsidR="00EC711E" w:rsidRDefault="00EC711E" w14:paraId="18F5E360" w14:textId="77777777"/>
    <w:sectPr w:rsidR="00EC711E" w:rsidSect="000E08F3">
      <w:headerReference w:type="even" r:id="rId10"/>
      <w:headerReference w:type="default" r:id="rId11"/>
      <w:footerReference w:type="even" r:id="rId12"/>
      <w:footerReference w:type="default" r:id="rId13"/>
      <w:headerReference w:type="first" r:id="rId14"/>
      <w:footerReference w:type="first" r:id="rId15"/>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CE140" w14:textId="77777777" w:rsidR="004657A8" w:rsidRDefault="004657A8" w:rsidP="000E08F3">
      <w:pPr>
        <w:spacing w:after="0" w:line="240" w:lineRule="auto"/>
      </w:pPr>
      <w:r>
        <w:separator/>
      </w:r>
    </w:p>
  </w:endnote>
  <w:endnote w:type="continuationSeparator" w:id="0">
    <w:p w14:paraId="68FE79B2" w14:textId="77777777" w:rsidR="004657A8" w:rsidRDefault="004657A8" w:rsidP="000E08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72F5B" w14:textId="77777777" w:rsidR="000E08F3" w:rsidRPr="000E08F3" w:rsidRDefault="000E08F3" w:rsidP="000E08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70C69" w14:textId="77777777" w:rsidR="000E08F3" w:rsidRPr="000E08F3" w:rsidRDefault="000E08F3" w:rsidP="000E08F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80AF2" w14:textId="77777777" w:rsidR="000E08F3" w:rsidRPr="000E08F3" w:rsidRDefault="000E08F3" w:rsidP="000E08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396CC" w14:textId="77777777" w:rsidR="004657A8" w:rsidRDefault="004657A8" w:rsidP="000E08F3">
      <w:pPr>
        <w:spacing w:after="0" w:line="240" w:lineRule="auto"/>
      </w:pPr>
      <w:r>
        <w:separator/>
      </w:r>
    </w:p>
  </w:footnote>
  <w:footnote w:type="continuationSeparator" w:id="0">
    <w:p w14:paraId="644837F8" w14:textId="77777777" w:rsidR="004657A8" w:rsidRDefault="004657A8" w:rsidP="000E08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DD6AD" w14:textId="77777777" w:rsidR="000E08F3" w:rsidRPr="000E08F3" w:rsidRDefault="000E08F3" w:rsidP="000E08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23C60" w14:textId="77777777" w:rsidR="000E08F3" w:rsidRPr="000E08F3" w:rsidRDefault="000E08F3" w:rsidP="000E08F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B7D60" w14:textId="77777777" w:rsidR="000E08F3" w:rsidRPr="000E08F3" w:rsidRDefault="000E08F3" w:rsidP="000E08F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8F3"/>
    <w:rsid w:val="000E08F3"/>
    <w:rsid w:val="004657A8"/>
    <w:rsid w:val="00566ABE"/>
    <w:rsid w:val="005A40BA"/>
    <w:rsid w:val="006204D8"/>
    <w:rsid w:val="009F5F36"/>
    <w:rsid w:val="00D05459"/>
    <w:rsid w:val="00D72536"/>
    <w:rsid w:val="00EB7517"/>
    <w:rsid w:val="00EC711E"/>
    <w:rsid w:val="00ED3D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38F22"/>
  <w15:chartTrackingRefBased/>
  <w15:docId w15:val="{EB8B2501-A196-4FAF-8656-52E9F5FF5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08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E08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E08F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E08F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E08F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E08F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E08F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E08F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E08F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E08F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E08F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E08F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E08F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E08F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E08F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E08F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E08F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E08F3"/>
    <w:rPr>
      <w:rFonts w:eastAsiaTheme="majorEastAsia" w:cstheme="majorBidi"/>
      <w:color w:val="272727" w:themeColor="text1" w:themeTint="D8"/>
    </w:rPr>
  </w:style>
  <w:style w:type="paragraph" w:styleId="Titel">
    <w:name w:val="Title"/>
    <w:basedOn w:val="Standaard"/>
    <w:next w:val="Standaard"/>
    <w:link w:val="TitelChar"/>
    <w:uiPriority w:val="10"/>
    <w:qFormat/>
    <w:rsid w:val="000E08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E08F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E08F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E08F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E08F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E08F3"/>
    <w:rPr>
      <w:i/>
      <w:iCs/>
      <w:color w:val="404040" w:themeColor="text1" w:themeTint="BF"/>
    </w:rPr>
  </w:style>
  <w:style w:type="paragraph" w:styleId="Lijstalinea">
    <w:name w:val="List Paragraph"/>
    <w:basedOn w:val="Standaard"/>
    <w:uiPriority w:val="34"/>
    <w:qFormat/>
    <w:rsid w:val="000E08F3"/>
    <w:pPr>
      <w:ind w:left="720"/>
      <w:contextualSpacing/>
    </w:pPr>
  </w:style>
  <w:style w:type="character" w:styleId="Intensievebenadrukking">
    <w:name w:val="Intense Emphasis"/>
    <w:basedOn w:val="Standaardalinea-lettertype"/>
    <w:uiPriority w:val="21"/>
    <w:qFormat/>
    <w:rsid w:val="000E08F3"/>
    <w:rPr>
      <w:i/>
      <w:iCs/>
      <w:color w:val="0F4761" w:themeColor="accent1" w:themeShade="BF"/>
    </w:rPr>
  </w:style>
  <w:style w:type="paragraph" w:styleId="Duidelijkcitaat">
    <w:name w:val="Intense Quote"/>
    <w:basedOn w:val="Standaard"/>
    <w:next w:val="Standaard"/>
    <w:link w:val="DuidelijkcitaatChar"/>
    <w:uiPriority w:val="30"/>
    <w:qFormat/>
    <w:rsid w:val="000E08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E08F3"/>
    <w:rPr>
      <w:i/>
      <w:iCs/>
      <w:color w:val="0F4761" w:themeColor="accent1" w:themeShade="BF"/>
    </w:rPr>
  </w:style>
  <w:style w:type="character" w:styleId="Intensieveverwijzing">
    <w:name w:val="Intense Reference"/>
    <w:basedOn w:val="Standaardalinea-lettertype"/>
    <w:uiPriority w:val="32"/>
    <w:qFormat/>
    <w:rsid w:val="000E08F3"/>
    <w:rPr>
      <w:b/>
      <w:bCs/>
      <w:smallCaps/>
      <w:color w:val="0F4761" w:themeColor="accent1" w:themeShade="BF"/>
      <w:spacing w:val="5"/>
    </w:rPr>
  </w:style>
  <w:style w:type="paragraph" w:styleId="Koptekst">
    <w:name w:val="header"/>
    <w:basedOn w:val="Standaard"/>
    <w:link w:val="KoptekstChar"/>
    <w:uiPriority w:val="99"/>
    <w:unhideWhenUsed/>
    <w:rsid w:val="000E08F3"/>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KoptekstChar">
    <w:name w:val="Koptekst Char"/>
    <w:basedOn w:val="Standaardalinea-lettertype"/>
    <w:link w:val="Koptekst"/>
    <w:uiPriority w:val="99"/>
    <w:rsid w:val="000E08F3"/>
    <w:rPr>
      <w:rFonts w:ascii="Times New Roman" w:eastAsia="Times New Roman" w:hAnsi="Times New Roman" w:cs="Times New Roman"/>
      <w:kern w:val="0"/>
      <w:sz w:val="20"/>
      <w:szCs w:val="20"/>
      <w:lang w:eastAsia="nl-NL"/>
      <w14:ligatures w14:val="none"/>
    </w:rPr>
  </w:style>
  <w:style w:type="paragraph" w:styleId="Voettekst">
    <w:name w:val="footer"/>
    <w:basedOn w:val="Standaard"/>
    <w:link w:val="VoettekstChar"/>
    <w:uiPriority w:val="99"/>
    <w:unhideWhenUsed/>
    <w:rsid w:val="000E08F3"/>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tekstChar">
    <w:name w:val="Voettekst Char"/>
    <w:basedOn w:val="Standaardalinea-lettertype"/>
    <w:link w:val="Voettekst"/>
    <w:uiPriority w:val="99"/>
    <w:rsid w:val="000E08F3"/>
    <w:rPr>
      <w:rFonts w:ascii="Times New Roman" w:eastAsia="Times New Roman" w:hAnsi="Times New Roman"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515</ap:Words>
  <ap:Characters>2836</ap:Characters>
  <ap:DocSecurity>0</ap:DocSecurity>
  <ap:Lines>23</ap:Lines>
  <ap:Paragraphs>6</ap:Paragraphs>
  <ap:ScaleCrop>false</ap:ScaleCrop>
  <ap:LinksUpToDate>false</ap:LinksUpToDate>
  <ap:CharactersWithSpaces>3345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2026-06-02T11:10:00.0000000Z</dcterms:created>
  <dcterms:modified xsi:type="dcterms:W3CDTF">2026-06-02T11:11:00.0000000Z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