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57C" w:rsidRDefault="001856D0" w14:paraId="4B049194" w14:textId="434FAD64">
      <w:pPr>
        <w:autoSpaceDE w:val="0"/>
        <w:autoSpaceDN w:val="0"/>
        <w:adjustRightInd w:val="0"/>
        <w:spacing w:before="0" w:after="0"/>
        <w:ind w:left="1416" w:hanging="1371"/>
        <w:rPr>
          <w:b/>
          <w:bCs/>
          <w:sz w:val="23"/>
          <w:szCs w:val="23"/>
        </w:rPr>
      </w:pPr>
      <w:r>
        <w:rPr>
          <w:b/>
          <w:bCs/>
          <w:sz w:val="23"/>
          <w:szCs w:val="23"/>
        </w:rPr>
        <w:t>36945-XIV</w:t>
      </w:r>
      <w:r>
        <w:rPr>
          <w:b/>
          <w:bCs/>
          <w:sz w:val="23"/>
          <w:szCs w:val="23"/>
        </w:rPr>
        <w:tab/>
        <w:t xml:space="preserve">Jaarverslag en slotwet Ministerie van Landbouw, Visserij, Voedselzekerheid en Natuur </w:t>
      </w:r>
      <w:r w:rsidR="00AD5016">
        <w:rPr>
          <w:b/>
          <w:bCs/>
          <w:sz w:val="23"/>
          <w:szCs w:val="23"/>
        </w:rPr>
        <w:t xml:space="preserve">(XIV) </w:t>
      </w:r>
      <w:r>
        <w:rPr>
          <w:b/>
          <w:bCs/>
          <w:sz w:val="23"/>
          <w:szCs w:val="23"/>
        </w:rPr>
        <w:t>en het Diergezondheidsfonds</w:t>
      </w:r>
      <w:r w:rsidR="00AD5016">
        <w:rPr>
          <w:b/>
          <w:bCs/>
          <w:sz w:val="23"/>
          <w:szCs w:val="23"/>
        </w:rPr>
        <w:t xml:space="preserve"> (F)</w:t>
      </w:r>
      <w:r>
        <w:rPr>
          <w:b/>
          <w:bCs/>
          <w:sz w:val="23"/>
          <w:szCs w:val="23"/>
        </w:rPr>
        <w:t xml:space="preserve"> 2025</w:t>
      </w:r>
    </w:p>
    <w:p w:rsidR="0086757C" w:rsidRDefault="0086757C" w14:paraId="0951A8B2" w14:textId="77777777">
      <w:pPr>
        <w:autoSpaceDE w:val="0"/>
        <w:autoSpaceDN w:val="0"/>
        <w:adjustRightInd w:val="0"/>
        <w:spacing w:before="0" w:after="0"/>
        <w:ind w:left="1416" w:hanging="1371"/>
        <w:rPr>
          <w:b/>
        </w:rPr>
      </w:pPr>
    </w:p>
    <w:p w:rsidR="0086757C" w:rsidRDefault="001856D0" w14:paraId="1CC1648C" w14:textId="77777777">
      <w:pPr>
        <w:rPr>
          <w:b/>
        </w:rPr>
      </w:pPr>
      <w:r>
        <w:rPr>
          <w:b/>
        </w:rPr>
        <w:t xml:space="preserve">nr. </w:t>
      </w:r>
      <w:r>
        <w:rPr>
          <w:b/>
        </w:rPr>
        <w:tab/>
      </w:r>
      <w:r>
        <w:rPr>
          <w:b/>
        </w:rPr>
        <w:tab/>
        <w:t>Lijst van vragen en antwoorden</w:t>
      </w:r>
    </w:p>
    <w:p w:rsidR="0086757C" w:rsidRDefault="001856D0" w14:paraId="423B04F5" w14:textId="77777777">
      <w:r>
        <w:tab/>
      </w:r>
      <w:r>
        <w:tab/>
      </w:r>
    </w:p>
    <w:p w:rsidR="0086757C" w:rsidRDefault="001856D0" w14:paraId="6D3A0A63" w14:textId="77777777">
      <w:pPr>
        <w:ind w:left="702" w:firstLine="708"/>
        <w:rPr>
          <w:i/>
        </w:rPr>
      </w:pPr>
      <w:r>
        <w:t xml:space="preserve">Vastgesteld </w:t>
      </w:r>
      <w:r>
        <w:rPr>
          <w:i/>
        </w:rPr>
        <w:t>(wordt door griffie ingevuld als antwoorden er zijn)</w:t>
      </w:r>
    </w:p>
    <w:p w:rsidRPr="00AD5016" w:rsidR="00AD5016" w:rsidP="00AD5016" w:rsidRDefault="00AD5016" w14:paraId="2FF7EA96" w14:textId="77777777">
      <w:pPr>
        <w:spacing w:before="0" w:after="0"/>
        <w:ind w:left="1410" w:firstLine="12"/>
      </w:pPr>
      <w:r w:rsidRPr="00AD5016">
        <w:t>De vaste commissie voor Landbouw, Visserij, Voedselzekerheid en Natuur heeft een aantal vragen voorgelegd aan de minister en staatssecretaris</w:t>
      </w:r>
      <w:r w:rsidRPr="005A2FA2">
        <w:t xml:space="preserve"> van</w:t>
      </w:r>
      <w:r w:rsidRPr="00AD5016">
        <w:t xml:space="preserve"> Landbouw, Visserij, Voedselzekerheid en Natuur over het rapport ‘</w:t>
      </w:r>
      <w:r w:rsidRPr="00AD5016">
        <w:rPr>
          <w:b/>
          <w:bCs/>
        </w:rPr>
        <w:t>Resultaten verantwoordingsonderzoek 2025 bij het Ministerie van Landbouw, Visserij, Voedselzekerheid en Natuur en het Diergezondheidsfonds’ (36945 XIV, nr. 2)</w:t>
      </w:r>
      <w:r w:rsidRPr="00AD5016">
        <w:t>.   </w:t>
      </w:r>
    </w:p>
    <w:p w:rsidRPr="00AD5016" w:rsidR="00AD5016" w:rsidP="00AD5016" w:rsidRDefault="00AD5016" w14:paraId="54EF465F" w14:textId="77777777">
      <w:pPr>
        <w:spacing w:before="0" w:after="0"/>
        <w:ind w:left="1410"/>
      </w:pPr>
      <w:r w:rsidRPr="00AD5016">
        <w:t> </w:t>
      </w:r>
      <w:r w:rsidRPr="00AD5016">
        <w:br/>
        <w:t>De daarop door de minister en staatssecretaris gegeven antwoorden zijn hierbij afgedrukt. </w:t>
      </w:r>
    </w:p>
    <w:p w:rsidR="0086757C" w:rsidRDefault="0086757C" w14:paraId="5E2F42D2" w14:textId="77777777">
      <w:pPr>
        <w:spacing w:before="0" w:after="0"/>
      </w:pPr>
    </w:p>
    <w:p w:rsidR="0086757C" w:rsidRDefault="001856D0" w14:paraId="56236C59" w14:textId="77777777">
      <w:pPr>
        <w:spacing w:before="0" w:after="0"/>
        <w:ind w:left="703" w:firstLine="709"/>
      </w:pPr>
      <w:r>
        <w:t xml:space="preserve">Voorzitter van de commissie, </w:t>
      </w:r>
    </w:p>
    <w:p w:rsidR="0086757C" w:rsidRDefault="001856D0" w14:paraId="2800680D" w14:textId="425E58DA">
      <w:pPr>
        <w:spacing w:before="0" w:after="0"/>
      </w:pPr>
      <w:r>
        <w:tab/>
      </w:r>
      <w:r>
        <w:tab/>
      </w:r>
      <w:r w:rsidR="00AD5016">
        <w:t>Steen</w:t>
      </w:r>
    </w:p>
    <w:p w:rsidR="0086757C" w:rsidRDefault="001856D0" w14:paraId="32A48CC5" w14:textId="77777777">
      <w:pPr>
        <w:spacing w:before="0" w:after="0"/>
      </w:pPr>
      <w:r>
        <w:tab/>
      </w:r>
      <w:r>
        <w:tab/>
      </w:r>
    </w:p>
    <w:p w:rsidR="0086757C" w:rsidRDefault="001856D0" w14:paraId="6DB9376F" w14:textId="77777777">
      <w:pPr>
        <w:spacing w:before="0" w:after="0"/>
      </w:pPr>
      <w:r>
        <w:tab/>
      </w:r>
      <w:r>
        <w:tab/>
        <w:t>Griffier van de commissie,</w:t>
      </w:r>
    </w:p>
    <w:p w:rsidR="0086757C" w:rsidRDefault="001856D0" w14:paraId="75907D4E" w14:textId="07023D09">
      <w:pPr>
        <w:spacing w:before="0" w:after="0"/>
      </w:pPr>
      <w:r>
        <w:tab/>
      </w:r>
      <w:r>
        <w:tab/>
      </w:r>
      <w:r w:rsidR="00AD5016">
        <w:t>Jansma</w:t>
      </w:r>
    </w:p>
    <w:p w:rsidR="0086757C" w:rsidRDefault="0086757C" w14:paraId="43240D6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6757C" w:rsidTr="00E7153D" w14:paraId="3110509C" w14:textId="77777777">
        <w:trPr>
          <w:cantSplit/>
        </w:trPr>
        <w:tc>
          <w:tcPr>
            <w:tcW w:w="567" w:type="dxa"/>
          </w:tcPr>
          <w:p w:rsidR="0086757C" w:rsidRDefault="001856D0" w14:paraId="5922E9D4" w14:textId="77777777">
            <w:bookmarkStart w:name="bmkStartTabel" w:id="0"/>
            <w:bookmarkEnd w:id="0"/>
            <w:r>
              <w:t>Nr</w:t>
            </w:r>
          </w:p>
        </w:tc>
        <w:tc>
          <w:tcPr>
            <w:tcW w:w="6521" w:type="dxa"/>
          </w:tcPr>
          <w:p w:rsidR="0086757C" w:rsidRDefault="001856D0" w14:paraId="2B7159CF" w14:textId="77777777">
            <w:r>
              <w:t>Vraag</w:t>
            </w:r>
          </w:p>
        </w:tc>
        <w:tc>
          <w:tcPr>
            <w:tcW w:w="850" w:type="dxa"/>
          </w:tcPr>
          <w:p w:rsidR="0086757C" w:rsidRDefault="001856D0" w14:paraId="368F3457" w14:textId="77777777">
            <w:pPr>
              <w:jc w:val="right"/>
            </w:pPr>
            <w:r>
              <w:t>Bijlage</w:t>
            </w:r>
          </w:p>
        </w:tc>
        <w:tc>
          <w:tcPr>
            <w:tcW w:w="992" w:type="dxa"/>
          </w:tcPr>
          <w:p w:rsidR="0086757C" w:rsidP="00E7153D" w:rsidRDefault="001856D0" w14:paraId="2ED7B4CA" w14:textId="77777777">
            <w:pPr>
              <w:jc w:val="right"/>
            </w:pPr>
            <w:r>
              <w:t>Blz. (van)</w:t>
            </w:r>
          </w:p>
        </w:tc>
        <w:tc>
          <w:tcPr>
            <w:tcW w:w="567" w:type="dxa"/>
          </w:tcPr>
          <w:p w:rsidR="0086757C" w:rsidP="00E7153D" w:rsidRDefault="001856D0" w14:paraId="243F724A" w14:textId="77777777">
            <w:pPr>
              <w:jc w:val="center"/>
            </w:pPr>
            <w:r>
              <w:t>t/m</w:t>
            </w:r>
          </w:p>
        </w:tc>
      </w:tr>
      <w:tr w:rsidR="0086757C" w:rsidTr="00E7153D" w14:paraId="664DDF75" w14:textId="77777777">
        <w:tc>
          <w:tcPr>
            <w:tcW w:w="567" w:type="dxa"/>
          </w:tcPr>
          <w:p w:rsidR="0086757C" w:rsidRDefault="001856D0" w14:paraId="59F12E56" w14:textId="77777777">
            <w:r>
              <w:t>1</w:t>
            </w:r>
          </w:p>
        </w:tc>
        <w:tc>
          <w:tcPr>
            <w:tcW w:w="6521" w:type="dxa"/>
          </w:tcPr>
          <w:p w:rsidR="0086757C" w:rsidRDefault="001856D0" w14:paraId="148B85E4" w14:textId="77777777">
            <w:r>
              <w:t>Kunt u toelichten welke middelen voor natuur, landschap en gebiedsgericht werken in 2025 niet tot besteding zijn gekomen en wat daarvan de oorzaak was?</w:t>
            </w:r>
          </w:p>
        </w:tc>
        <w:tc>
          <w:tcPr>
            <w:tcW w:w="850" w:type="dxa"/>
          </w:tcPr>
          <w:p w:rsidR="0086757C" w:rsidRDefault="0086757C" w14:paraId="479C3DD7" w14:textId="77777777">
            <w:pPr>
              <w:jc w:val="right"/>
            </w:pPr>
          </w:p>
        </w:tc>
        <w:tc>
          <w:tcPr>
            <w:tcW w:w="992" w:type="dxa"/>
          </w:tcPr>
          <w:p w:rsidR="0086757C" w:rsidRDefault="0086757C" w14:paraId="4FFD3BEB" w14:textId="77777777">
            <w:pPr>
              <w:jc w:val="right"/>
            </w:pPr>
          </w:p>
        </w:tc>
        <w:tc>
          <w:tcPr>
            <w:tcW w:w="567" w:type="dxa"/>
            <w:tcBorders>
              <w:left w:val="nil"/>
            </w:tcBorders>
          </w:tcPr>
          <w:p w:rsidR="0086757C" w:rsidRDefault="001856D0" w14:paraId="40F085E8" w14:textId="77777777">
            <w:pPr>
              <w:jc w:val="right"/>
            </w:pPr>
            <w:r>
              <w:t xml:space="preserve"> </w:t>
            </w:r>
          </w:p>
        </w:tc>
      </w:tr>
      <w:tr w:rsidR="0086757C" w:rsidTr="00E7153D" w14:paraId="6EE2B210" w14:textId="77777777">
        <w:tc>
          <w:tcPr>
            <w:tcW w:w="567" w:type="dxa"/>
          </w:tcPr>
          <w:p w:rsidR="0086757C" w:rsidRDefault="001856D0" w14:paraId="548284F6" w14:textId="77777777">
            <w:r>
              <w:t>2</w:t>
            </w:r>
          </w:p>
        </w:tc>
        <w:tc>
          <w:tcPr>
            <w:tcW w:w="6521" w:type="dxa"/>
          </w:tcPr>
          <w:p w:rsidR="0086757C" w:rsidRDefault="001856D0" w14:paraId="2E33BC11" w14:textId="77777777">
            <w:r>
              <w:t>Kunt u aangeven welke concrete resultaten in 2025 zijn geboekt op het gebied van biodiversiteitsherstel, landschapselementen, natuurkwaliteit, groenblauwe dooradering en robuuste natuurverbindingen?</w:t>
            </w:r>
          </w:p>
        </w:tc>
        <w:tc>
          <w:tcPr>
            <w:tcW w:w="850" w:type="dxa"/>
          </w:tcPr>
          <w:p w:rsidR="0086757C" w:rsidRDefault="0086757C" w14:paraId="11C2A4D5" w14:textId="77777777">
            <w:pPr>
              <w:jc w:val="right"/>
            </w:pPr>
          </w:p>
        </w:tc>
        <w:tc>
          <w:tcPr>
            <w:tcW w:w="992" w:type="dxa"/>
          </w:tcPr>
          <w:p w:rsidR="0086757C" w:rsidRDefault="0086757C" w14:paraId="733A2BE2" w14:textId="77777777">
            <w:pPr>
              <w:jc w:val="right"/>
            </w:pPr>
          </w:p>
        </w:tc>
        <w:tc>
          <w:tcPr>
            <w:tcW w:w="567" w:type="dxa"/>
            <w:tcBorders>
              <w:left w:val="nil"/>
            </w:tcBorders>
          </w:tcPr>
          <w:p w:rsidR="0086757C" w:rsidRDefault="001856D0" w14:paraId="19B27943" w14:textId="77777777">
            <w:pPr>
              <w:jc w:val="right"/>
            </w:pPr>
            <w:r>
              <w:t xml:space="preserve"> </w:t>
            </w:r>
          </w:p>
        </w:tc>
      </w:tr>
      <w:tr w:rsidR="0086757C" w:rsidTr="00E7153D" w14:paraId="3192A10B" w14:textId="77777777">
        <w:tc>
          <w:tcPr>
            <w:tcW w:w="567" w:type="dxa"/>
          </w:tcPr>
          <w:p w:rsidR="0086757C" w:rsidRDefault="001856D0" w14:paraId="09D60EE5" w14:textId="77777777">
            <w:r>
              <w:t>3</w:t>
            </w:r>
          </w:p>
        </w:tc>
        <w:tc>
          <w:tcPr>
            <w:tcW w:w="6521" w:type="dxa"/>
          </w:tcPr>
          <w:p w:rsidR="0086757C" w:rsidRDefault="001856D0" w14:paraId="74061D10" w14:textId="77777777">
            <w:r>
              <w:t>Kunt u aangeven of er in 2025 middelen voor natuur, landschap of gebiedsgericht werken zijn doorgeschoven naar latere jaren? Zo ja, om welke bedragen, regelingen en redenen gaat het?</w:t>
            </w:r>
          </w:p>
        </w:tc>
        <w:tc>
          <w:tcPr>
            <w:tcW w:w="850" w:type="dxa"/>
          </w:tcPr>
          <w:p w:rsidR="0086757C" w:rsidRDefault="0086757C" w14:paraId="2995DFA8" w14:textId="77777777">
            <w:pPr>
              <w:jc w:val="right"/>
            </w:pPr>
          </w:p>
        </w:tc>
        <w:tc>
          <w:tcPr>
            <w:tcW w:w="992" w:type="dxa"/>
          </w:tcPr>
          <w:p w:rsidR="0086757C" w:rsidRDefault="0086757C" w14:paraId="75B1F8C9" w14:textId="77777777">
            <w:pPr>
              <w:jc w:val="right"/>
            </w:pPr>
          </w:p>
        </w:tc>
        <w:tc>
          <w:tcPr>
            <w:tcW w:w="567" w:type="dxa"/>
            <w:tcBorders>
              <w:left w:val="nil"/>
            </w:tcBorders>
          </w:tcPr>
          <w:p w:rsidR="0086757C" w:rsidRDefault="001856D0" w14:paraId="47A21F2B" w14:textId="77777777">
            <w:pPr>
              <w:jc w:val="right"/>
            </w:pPr>
            <w:r>
              <w:t xml:space="preserve"> </w:t>
            </w:r>
          </w:p>
        </w:tc>
      </w:tr>
      <w:tr w:rsidR="0086757C" w:rsidTr="00E7153D" w14:paraId="5E4DD7F2" w14:textId="77777777">
        <w:tc>
          <w:tcPr>
            <w:tcW w:w="567" w:type="dxa"/>
          </w:tcPr>
          <w:p w:rsidR="0086757C" w:rsidRDefault="001856D0" w14:paraId="6138F677" w14:textId="77777777">
            <w:r>
              <w:t>4</w:t>
            </w:r>
          </w:p>
        </w:tc>
        <w:tc>
          <w:tcPr>
            <w:tcW w:w="6521" w:type="dxa"/>
          </w:tcPr>
          <w:p w:rsidR="0086757C" w:rsidRDefault="001856D0" w14:paraId="61541A68" w14:textId="77777777">
            <w:r>
              <w:t>Kunt u toelichten welke knelpunten in 2025 zijn geconstateerd in de uitvoering van natuurherstel, landschapsbeheer en gebiedsgerichte maatregelen bijvoorbeeld door juridische onzekerheid, beperkte uitvoeringscapaciteit of vertraging in gebiedsprocessen?</w:t>
            </w:r>
          </w:p>
        </w:tc>
        <w:tc>
          <w:tcPr>
            <w:tcW w:w="850" w:type="dxa"/>
          </w:tcPr>
          <w:p w:rsidR="0086757C" w:rsidRDefault="0086757C" w14:paraId="7285E630" w14:textId="77777777">
            <w:pPr>
              <w:jc w:val="right"/>
            </w:pPr>
          </w:p>
        </w:tc>
        <w:tc>
          <w:tcPr>
            <w:tcW w:w="992" w:type="dxa"/>
          </w:tcPr>
          <w:p w:rsidR="0086757C" w:rsidRDefault="0086757C" w14:paraId="15DCBA8C" w14:textId="77777777">
            <w:pPr>
              <w:jc w:val="right"/>
            </w:pPr>
          </w:p>
        </w:tc>
        <w:tc>
          <w:tcPr>
            <w:tcW w:w="567" w:type="dxa"/>
            <w:tcBorders>
              <w:left w:val="nil"/>
            </w:tcBorders>
          </w:tcPr>
          <w:p w:rsidR="0086757C" w:rsidRDefault="001856D0" w14:paraId="4FED511E" w14:textId="77777777">
            <w:pPr>
              <w:jc w:val="right"/>
            </w:pPr>
            <w:r>
              <w:t xml:space="preserve"> </w:t>
            </w:r>
          </w:p>
        </w:tc>
      </w:tr>
      <w:tr w:rsidR="0086757C" w:rsidTr="00E7153D" w14:paraId="3DF84D3D" w14:textId="77777777">
        <w:tc>
          <w:tcPr>
            <w:tcW w:w="567" w:type="dxa"/>
          </w:tcPr>
          <w:p w:rsidR="0086757C" w:rsidRDefault="001856D0" w14:paraId="6B6235E7" w14:textId="77777777">
            <w:r>
              <w:t>5</w:t>
            </w:r>
          </w:p>
        </w:tc>
        <w:tc>
          <w:tcPr>
            <w:tcW w:w="6521" w:type="dxa"/>
          </w:tcPr>
          <w:p w:rsidR="0086757C" w:rsidRDefault="001856D0" w14:paraId="31BADAB3" w14:textId="77777777">
            <w:r>
              <w:t>Kunt u toelichten hoe in 2025 is gewerkt aan structurele financiering van beheer van natuur, landschap en landschapselementen en hoe wordt voorkomen dat middelen vooral beschikbaar zijn voor aanleg maar onvoldoende voor langjarig beheer?</w:t>
            </w:r>
          </w:p>
        </w:tc>
        <w:tc>
          <w:tcPr>
            <w:tcW w:w="850" w:type="dxa"/>
          </w:tcPr>
          <w:p w:rsidR="0086757C" w:rsidRDefault="0086757C" w14:paraId="6864E190" w14:textId="77777777">
            <w:pPr>
              <w:jc w:val="right"/>
            </w:pPr>
          </w:p>
        </w:tc>
        <w:tc>
          <w:tcPr>
            <w:tcW w:w="992" w:type="dxa"/>
          </w:tcPr>
          <w:p w:rsidR="0086757C" w:rsidRDefault="0086757C" w14:paraId="012E37AB" w14:textId="77777777">
            <w:pPr>
              <w:jc w:val="right"/>
            </w:pPr>
          </w:p>
        </w:tc>
        <w:tc>
          <w:tcPr>
            <w:tcW w:w="567" w:type="dxa"/>
            <w:tcBorders>
              <w:left w:val="nil"/>
            </w:tcBorders>
          </w:tcPr>
          <w:p w:rsidR="0086757C" w:rsidRDefault="001856D0" w14:paraId="651A533E" w14:textId="77777777">
            <w:pPr>
              <w:jc w:val="right"/>
            </w:pPr>
            <w:r>
              <w:t xml:space="preserve"> </w:t>
            </w:r>
          </w:p>
        </w:tc>
      </w:tr>
      <w:tr w:rsidR="0086757C" w:rsidTr="00E7153D" w14:paraId="07100515" w14:textId="77777777">
        <w:tc>
          <w:tcPr>
            <w:tcW w:w="567" w:type="dxa"/>
          </w:tcPr>
          <w:p w:rsidR="0086757C" w:rsidRDefault="001856D0" w14:paraId="79B7E8AF" w14:textId="77777777">
            <w:r>
              <w:t>6</w:t>
            </w:r>
          </w:p>
        </w:tc>
        <w:tc>
          <w:tcPr>
            <w:tcW w:w="6521" w:type="dxa"/>
          </w:tcPr>
          <w:p w:rsidR="0086757C" w:rsidRDefault="001856D0" w14:paraId="1F668560" w14:textId="77777777">
            <w:r>
              <w:t>Kunt u aangeven welke stappen in 2025 zijn gezet om het gebruik van gewasbeschermingsmiddelen beter te registreren, te monitoren en handhaafbaar te maken, mede in het licht van signalen dat een aanzienlijk deel van de regels volgens de Algemene Rekenkamer in de praktijk moeilijk handhaafbaar is?</w:t>
            </w:r>
          </w:p>
        </w:tc>
        <w:tc>
          <w:tcPr>
            <w:tcW w:w="850" w:type="dxa"/>
          </w:tcPr>
          <w:p w:rsidR="0086757C" w:rsidRDefault="0086757C" w14:paraId="3B177AD5" w14:textId="77777777">
            <w:pPr>
              <w:jc w:val="right"/>
            </w:pPr>
          </w:p>
        </w:tc>
        <w:tc>
          <w:tcPr>
            <w:tcW w:w="992" w:type="dxa"/>
          </w:tcPr>
          <w:p w:rsidR="0086757C" w:rsidRDefault="0086757C" w14:paraId="0ED017BF" w14:textId="77777777">
            <w:pPr>
              <w:jc w:val="right"/>
            </w:pPr>
          </w:p>
        </w:tc>
        <w:tc>
          <w:tcPr>
            <w:tcW w:w="567" w:type="dxa"/>
            <w:tcBorders>
              <w:left w:val="nil"/>
            </w:tcBorders>
          </w:tcPr>
          <w:p w:rsidR="0086757C" w:rsidRDefault="001856D0" w14:paraId="602BB01C" w14:textId="77777777">
            <w:pPr>
              <w:jc w:val="right"/>
            </w:pPr>
            <w:r>
              <w:t xml:space="preserve"> </w:t>
            </w:r>
          </w:p>
        </w:tc>
      </w:tr>
      <w:tr w:rsidR="0086757C" w:rsidTr="00E7153D" w14:paraId="5782E73A" w14:textId="77777777">
        <w:tc>
          <w:tcPr>
            <w:tcW w:w="567" w:type="dxa"/>
          </w:tcPr>
          <w:p w:rsidR="0086757C" w:rsidRDefault="001856D0" w14:paraId="0C9FA11E" w14:textId="77777777">
            <w:r>
              <w:t>7</w:t>
            </w:r>
          </w:p>
        </w:tc>
        <w:tc>
          <w:tcPr>
            <w:tcW w:w="6521" w:type="dxa"/>
          </w:tcPr>
          <w:p w:rsidR="0086757C" w:rsidRDefault="001856D0" w14:paraId="62F4AEFF" w14:textId="77777777">
            <w:r>
              <w:t>Hoe wordt gewaarborgd dat het te ontwikkelen (privaat) benchmarkinginstrument waarin telers hun geregistreerd middelengebruik gaan delen, als onafhankelijke autoriteit gaat opereren terwijl deze door de sector zelf wordt opgezet?</w:t>
            </w:r>
          </w:p>
        </w:tc>
        <w:tc>
          <w:tcPr>
            <w:tcW w:w="850" w:type="dxa"/>
          </w:tcPr>
          <w:p w:rsidR="0086757C" w:rsidRDefault="0086757C" w14:paraId="5FEA6831" w14:textId="77777777">
            <w:pPr>
              <w:jc w:val="right"/>
            </w:pPr>
          </w:p>
        </w:tc>
        <w:tc>
          <w:tcPr>
            <w:tcW w:w="992" w:type="dxa"/>
          </w:tcPr>
          <w:p w:rsidR="0086757C" w:rsidRDefault="0086757C" w14:paraId="3EAC0DCC" w14:textId="77777777">
            <w:pPr>
              <w:jc w:val="right"/>
            </w:pPr>
          </w:p>
        </w:tc>
        <w:tc>
          <w:tcPr>
            <w:tcW w:w="567" w:type="dxa"/>
            <w:tcBorders>
              <w:left w:val="nil"/>
            </w:tcBorders>
          </w:tcPr>
          <w:p w:rsidR="0086757C" w:rsidRDefault="001856D0" w14:paraId="699A1776" w14:textId="77777777">
            <w:pPr>
              <w:jc w:val="right"/>
            </w:pPr>
            <w:r>
              <w:t xml:space="preserve"> </w:t>
            </w:r>
          </w:p>
        </w:tc>
      </w:tr>
      <w:tr w:rsidR="0086757C" w:rsidTr="00E7153D" w14:paraId="32769C2F" w14:textId="77777777">
        <w:tc>
          <w:tcPr>
            <w:tcW w:w="567" w:type="dxa"/>
          </w:tcPr>
          <w:p w:rsidR="0086757C" w:rsidRDefault="001856D0" w14:paraId="53ED8259" w14:textId="77777777">
            <w:r>
              <w:t>8</w:t>
            </w:r>
          </w:p>
        </w:tc>
        <w:tc>
          <w:tcPr>
            <w:tcW w:w="6521" w:type="dxa"/>
          </w:tcPr>
          <w:p w:rsidR="0086757C" w:rsidRDefault="001856D0" w14:paraId="59AE67D9" w14:textId="77777777">
            <w:r>
              <w:t>Welke concrete verbetermaatregelen gaat u naar aanleiding van dit verantwoordingsonderzoek treffen en binnen welk tijdpad worden deze uitgevoerd?</w:t>
            </w:r>
          </w:p>
        </w:tc>
        <w:tc>
          <w:tcPr>
            <w:tcW w:w="850" w:type="dxa"/>
          </w:tcPr>
          <w:p w:rsidR="0086757C" w:rsidRDefault="0086757C" w14:paraId="12D2CFAB" w14:textId="77777777">
            <w:pPr>
              <w:jc w:val="right"/>
            </w:pPr>
          </w:p>
        </w:tc>
        <w:tc>
          <w:tcPr>
            <w:tcW w:w="992" w:type="dxa"/>
          </w:tcPr>
          <w:p w:rsidR="0086757C" w:rsidRDefault="001856D0" w14:paraId="3C7592D0" w14:textId="77777777">
            <w:pPr>
              <w:jc w:val="right"/>
            </w:pPr>
            <w:r>
              <w:t>1</w:t>
            </w:r>
          </w:p>
        </w:tc>
        <w:tc>
          <w:tcPr>
            <w:tcW w:w="567" w:type="dxa"/>
            <w:tcBorders>
              <w:left w:val="nil"/>
            </w:tcBorders>
          </w:tcPr>
          <w:p w:rsidR="0086757C" w:rsidRDefault="001856D0" w14:paraId="058DF82D" w14:textId="77777777">
            <w:pPr>
              <w:jc w:val="right"/>
            </w:pPr>
            <w:r>
              <w:t xml:space="preserve"> </w:t>
            </w:r>
          </w:p>
        </w:tc>
      </w:tr>
      <w:tr w:rsidR="0086757C" w:rsidTr="00E7153D" w14:paraId="61233D95" w14:textId="77777777">
        <w:tc>
          <w:tcPr>
            <w:tcW w:w="567" w:type="dxa"/>
          </w:tcPr>
          <w:p w:rsidR="0086757C" w:rsidRDefault="001856D0" w14:paraId="0B5275A5" w14:textId="77777777">
            <w:r>
              <w:t>9</w:t>
            </w:r>
          </w:p>
        </w:tc>
        <w:tc>
          <w:tcPr>
            <w:tcW w:w="6521" w:type="dxa"/>
          </w:tcPr>
          <w:p w:rsidR="0086757C" w:rsidRDefault="001856D0" w14:paraId="7577E1C0" w14:textId="77777777">
            <w:r>
              <w:t xml:space="preserve">Kunt u toelichten op welke specifieke aannames en berekeningen van het kennisconsortium bestaande uit het Planbureau voor de Leefomgeving (PBL), het Rijksinstituut voor Volksgezondheid en Milieu (RIVM), Deltares en </w:t>
            </w:r>
            <w:r>
              <w:lastRenderedPageBreak/>
              <w:t>Wageningen University and Research (WUR) de conclusie is gebaseerd dat de stikstofaanpak van het kabinet-Schoof onvoldoende zou zijn om de vergunningverlening op gang te brengen?</w:t>
            </w:r>
          </w:p>
        </w:tc>
        <w:tc>
          <w:tcPr>
            <w:tcW w:w="850" w:type="dxa"/>
          </w:tcPr>
          <w:p w:rsidR="0086757C" w:rsidRDefault="0086757C" w14:paraId="131C8667" w14:textId="77777777">
            <w:pPr>
              <w:jc w:val="right"/>
            </w:pPr>
          </w:p>
        </w:tc>
        <w:tc>
          <w:tcPr>
            <w:tcW w:w="992" w:type="dxa"/>
          </w:tcPr>
          <w:p w:rsidR="0086757C" w:rsidRDefault="001856D0" w14:paraId="485CD670" w14:textId="77777777">
            <w:pPr>
              <w:jc w:val="right"/>
            </w:pPr>
            <w:r>
              <w:t>6</w:t>
            </w:r>
          </w:p>
        </w:tc>
        <w:tc>
          <w:tcPr>
            <w:tcW w:w="567" w:type="dxa"/>
            <w:tcBorders>
              <w:left w:val="nil"/>
            </w:tcBorders>
          </w:tcPr>
          <w:p w:rsidR="0086757C" w:rsidRDefault="001856D0" w14:paraId="2C9B694B" w14:textId="77777777">
            <w:pPr>
              <w:jc w:val="right"/>
            </w:pPr>
            <w:r>
              <w:t xml:space="preserve"> </w:t>
            </w:r>
          </w:p>
        </w:tc>
      </w:tr>
      <w:tr w:rsidR="0086757C" w:rsidTr="00E7153D" w14:paraId="2622C97C" w14:textId="77777777">
        <w:tc>
          <w:tcPr>
            <w:tcW w:w="567" w:type="dxa"/>
          </w:tcPr>
          <w:p w:rsidR="0086757C" w:rsidRDefault="001856D0" w14:paraId="1FFE6714" w14:textId="77777777">
            <w:r>
              <w:t>10</w:t>
            </w:r>
          </w:p>
        </w:tc>
        <w:tc>
          <w:tcPr>
            <w:tcW w:w="6521" w:type="dxa"/>
          </w:tcPr>
          <w:p w:rsidR="0086757C" w:rsidRDefault="001856D0" w14:paraId="7DC53DF5" w14:textId="77777777">
            <w:r>
              <w:t>Kunt u toelichten waarom eind 2025 slechts 14 Programma Aanpak Stikstof (PAS)-melders een onherroepelijke vergunning hadden, terwijl op dat moment 1.364 meldingen voldeden aan de criteria om voor een oplossing in aanmerking te komen?</w:t>
            </w:r>
          </w:p>
        </w:tc>
        <w:tc>
          <w:tcPr>
            <w:tcW w:w="850" w:type="dxa"/>
          </w:tcPr>
          <w:p w:rsidR="0086757C" w:rsidRDefault="0086757C" w14:paraId="12E6DC17" w14:textId="77777777">
            <w:pPr>
              <w:jc w:val="right"/>
            </w:pPr>
          </w:p>
        </w:tc>
        <w:tc>
          <w:tcPr>
            <w:tcW w:w="992" w:type="dxa"/>
          </w:tcPr>
          <w:p w:rsidR="0086757C" w:rsidRDefault="001856D0" w14:paraId="3D960A0A" w14:textId="77777777">
            <w:pPr>
              <w:jc w:val="right"/>
            </w:pPr>
            <w:r>
              <w:t>8</w:t>
            </w:r>
          </w:p>
        </w:tc>
        <w:tc>
          <w:tcPr>
            <w:tcW w:w="567" w:type="dxa"/>
            <w:tcBorders>
              <w:left w:val="nil"/>
            </w:tcBorders>
          </w:tcPr>
          <w:p w:rsidR="0086757C" w:rsidRDefault="001856D0" w14:paraId="400BF780" w14:textId="77777777">
            <w:pPr>
              <w:jc w:val="right"/>
            </w:pPr>
            <w:r>
              <w:t xml:space="preserve"> </w:t>
            </w:r>
          </w:p>
        </w:tc>
      </w:tr>
      <w:tr w:rsidR="0086757C" w:rsidTr="00E7153D" w14:paraId="60C75868" w14:textId="77777777">
        <w:tc>
          <w:tcPr>
            <w:tcW w:w="567" w:type="dxa"/>
          </w:tcPr>
          <w:p w:rsidR="0086757C" w:rsidRDefault="001856D0" w14:paraId="1F9867AD" w14:textId="77777777">
            <w:r>
              <w:t>11</w:t>
            </w:r>
          </w:p>
        </w:tc>
        <w:tc>
          <w:tcPr>
            <w:tcW w:w="6521" w:type="dxa"/>
          </w:tcPr>
          <w:p w:rsidR="0086757C" w:rsidRDefault="001856D0" w14:paraId="34CE1238" w14:textId="77777777">
            <w:r>
              <w:t>Kan uiteengezet worden welke emissie- en lozingsbronnen de grootste risico’s vormen voor het niet halen van de Kaderrichtlijn Water (KRW)-doelen?</w:t>
            </w:r>
          </w:p>
        </w:tc>
        <w:tc>
          <w:tcPr>
            <w:tcW w:w="850" w:type="dxa"/>
          </w:tcPr>
          <w:p w:rsidR="0086757C" w:rsidRDefault="0086757C" w14:paraId="609DB4ED" w14:textId="77777777">
            <w:pPr>
              <w:jc w:val="right"/>
            </w:pPr>
          </w:p>
        </w:tc>
        <w:tc>
          <w:tcPr>
            <w:tcW w:w="992" w:type="dxa"/>
          </w:tcPr>
          <w:p w:rsidR="0086757C" w:rsidRDefault="001856D0" w14:paraId="1D32C5FC" w14:textId="77777777">
            <w:pPr>
              <w:jc w:val="right"/>
            </w:pPr>
            <w:r>
              <w:t>9</w:t>
            </w:r>
          </w:p>
        </w:tc>
        <w:tc>
          <w:tcPr>
            <w:tcW w:w="567" w:type="dxa"/>
            <w:tcBorders>
              <w:left w:val="nil"/>
            </w:tcBorders>
          </w:tcPr>
          <w:p w:rsidR="0086757C" w:rsidRDefault="001856D0" w14:paraId="3FE21EE0" w14:textId="77777777">
            <w:pPr>
              <w:jc w:val="right"/>
            </w:pPr>
            <w:r>
              <w:t xml:space="preserve"> </w:t>
            </w:r>
          </w:p>
        </w:tc>
      </w:tr>
      <w:tr w:rsidR="0086757C" w:rsidTr="00E7153D" w14:paraId="3EA1B572" w14:textId="77777777">
        <w:tc>
          <w:tcPr>
            <w:tcW w:w="567" w:type="dxa"/>
          </w:tcPr>
          <w:p w:rsidR="0086757C" w:rsidRDefault="001856D0" w14:paraId="5A97703C" w14:textId="77777777">
            <w:r>
              <w:t>12</w:t>
            </w:r>
          </w:p>
        </w:tc>
        <w:tc>
          <w:tcPr>
            <w:tcW w:w="6521" w:type="dxa"/>
          </w:tcPr>
          <w:p w:rsidR="0086757C" w:rsidRDefault="001856D0" w14:paraId="7EB9A18F" w14:textId="77777777">
            <w:r>
              <w:t>Hoeveel extra kosten worden verwacht voor waterzuivering?</w:t>
            </w:r>
          </w:p>
        </w:tc>
        <w:tc>
          <w:tcPr>
            <w:tcW w:w="850" w:type="dxa"/>
          </w:tcPr>
          <w:p w:rsidR="0086757C" w:rsidRDefault="0086757C" w14:paraId="3277DD24" w14:textId="77777777">
            <w:pPr>
              <w:jc w:val="right"/>
            </w:pPr>
          </w:p>
        </w:tc>
        <w:tc>
          <w:tcPr>
            <w:tcW w:w="992" w:type="dxa"/>
          </w:tcPr>
          <w:p w:rsidR="0086757C" w:rsidRDefault="001856D0" w14:paraId="3B6B8106" w14:textId="77777777">
            <w:pPr>
              <w:jc w:val="right"/>
            </w:pPr>
            <w:r>
              <w:t>9</w:t>
            </w:r>
          </w:p>
        </w:tc>
        <w:tc>
          <w:tcPr>
            <w:tcW w:w="567" w:type="dxa"/>
            <w:tcBorders>
              <w:left w:val="nil"/>
            </w:tcBorders>
          </w:tcPr>
          <w:p w:rsidR="0086757C" w:rsidRDefault="001856D0" w14:paraId="26419FF1" w14:textId="77777777">
            <w:pPr>
              <w:jc w:val="right"/>
            </w:pPr>
            <w:r>
              <w:t xml:space="preserve"> </w:t>
            </w:r>
          </w:p>
        </w:tc>
      </w:tr>
      <w:tr w:rsidR="0086757C" w:rsidTr="00E7153D" w14:paraId="5836C5BF" w14:textId="77777777">
        <w:tc>
          <w:tcPr>
            <w:tcW w:w="567" w:type="dxa"/>
          </w:tcPr>
          <w:p w:rsidR="0086757C" w:rsidRDefault="001856D0" w14:paraId="5CBAA889" w14:textId="77777777">
            <w:r>
              <w:t>13</w:t>
            </w:r>
          </w:p>
        </w:tc>
        <w:tc>
          <w:tcPr>
            <w:tcW w:w="6521" w:type="dxa"/>
          </w:tcPr>
          <w:p w:rsidR="0086757C" w:rsidRDefault="001856D0" w14:paraId="7FE06C9A" w14:textId="77777777">
            <w:r>
              <w:t>Kunt u toelichten hoe de toename van de bezetting bij de Nederlandse Voedsel en Warenautoriteit (NVWA) met 475 fulltime-equivalent (fte) in 2025 zich verhoudt tot de voorgenomen bezuinigingen op de apparaatsuitgaven uit het Hoofdlijnenakkoord?</w:t>
            </w:r>
          </w:p>
        </w:tc>
        <w:tc>
          <w:tcPr>
            <w:tcW w:w="850" w:type="dxa"/>
          </w:tcPr>
          <w:p w:rsidR="0086757C" w:rsidRDefault="0086757C" w14:paraId="5FB3522B" w14:textId="77777777">
            <w:pPr>
              <w:jc w:val="right"/>
            </w:pPr>
          </w:p>
        </w:tc>
        <w:tc>
          <w:tcPr>
            <w:tcW w:w="992" w:type="dxa"/>
          </w:tcPr>
          <w:p w:rsidR="0086757C" w:rsidRDefault="001856D0" w14:paraId="7D643022" w14:textId="77777777">
            <w:pPr>
              <w:jc w:val="right"/>
            </w:pPr>
            <w:r>
              <w:t>12</w:t>
            </w:r>
          </w:p>
        </w:tc>
        <w:tc>
          <w:tcPr>
            <w:tcW w:w="567" w:type="dxa"/>
            <w:tcBorders>
              <w:left w:val="nil"/>
            </w:tcBorders>
          </w:tcPr>
          <w:p w:rsidR="0086757C" w:rsidRDefault="001856D0" w14:paraId="07977381" w14:textId="77777777">
            <w:pPr>
              <w:jc w:val="right"/>
            </w:pPr>
            <w:r>
              <w:t xml:space="preserve"> </w:t>
            </w:r>
          </w:p>
        </w:tc>
      </w:tr>
      <w:tr w:rsidR="0086757C" w:rsidTr="00E7153D" w14:paraId="5376E3F8" w14:textId="77777777">
        <w:tc>
          <w:tcPr>
            <w:tcW w:w="567" w:type="dxa"/>
          </w:tcPr>
          <w:p w:rsidR="0086757C" w:rsidRDefault="001856D0" w14:paraId="484D1ED5" w14:textId="77777777">
            <w:r>
              <w:t>14</w:t>
            </w:r>
          </w:p>
        </w:tc>
        <w:tc>
          <w:tcPr>
            <w:tcW w:w="6521" w:type="dxa"/>
          </w:tcPr>
          <w:p w:rsidR="0086757C" w:rsidRDefault="001856D0" w14:paraId="51A4A12D" w14:textId="77777777">
            <w:r>
              <w:t>Hoe wordt de uitvoeringsverordening ((EU) 2023/564) die telers verplicht om vanaf 2027 digitaal hun spuitregisters bij te houden deze registratieplicht bij telers gecontroleerd en gehandhaafd?</w:t>
            </w:r>
          </w:p>
        </w:tc>
        <w:tc>
          <w:tcPr>
            <w:tcW w:w="850" w:type="dxa"/>
          </w:tcPr>
          <w:p w:rsidR="0086757C" w:rsidRDefault="0086757C" w14:paraId="33C82659" w14:textId="77777777">
            <w:pPr>
              <w:jc w:val="right"/>
            </w:pPr>
          </w:p>
        </w:tc>
        <w:tc>
          <w:tcPr>
            <w:tcW w:w="992" w:type="dxa"/>
          </w:tcPr>
          <w:p w:rsidR="0086757C" w:rsidRDefault="001856D0" w14:paraId="2073E67F" w14:textId="77777777">
            <w:pPr>
              <w:jc w:val="right"/>
            </w:pPr>
            <w:r>
              <w:t>17</w:t>
            </w:r>
          </w:p>
        </w:tc>
        <w:tc>
          <w:tcPr>
            <w:tcW w:w="567" w:type="dxa"/>
            <w:tcBorders>
              <w:left w:val="nil"/>
            </w:tcBorders>
          </w:tcPr>
          <w:p w:rsidR="0086757C" w:rsidRDefault="001856D0" w14:paraId="195E5887" w14:textId="77777777">
            <w:pPr>
              <w:jc w:val="right"/>
            </w:pPr>
            <w:r>
              <w:t xml:space="preserve"> </w:t>
            </w:r>
          </w:p>
        </w:tc>
      </w:tr>
      <w:tr w:rsidR="0086757C" w:rsidTr="00E7153D" w14:paraId="541315FB" w14:textId="77777777">
        <w:tc>
          <w:tcPr>
            <w:tcW w:w="567" w:type="dxa"/>
          </w:tcPr>
          <w:p w:rsidR="0086757C" w:rsidRDefault="001856D0" w14:paraId="13149263" w14:textId="77777777">
            <w:r>
              <w:t>15</w:t>
            </w:r>
          </w:p>
        </w:tc>
        <w:tc>
          <w:tcPr>
            <w:tcW w:w="6521" w:type="dxa"/>
          </w:tcPr>
          <w:p w:rsidR="0086757C" w:rsidRDefault="001856D0" w14:paraId="1740AC05" w14:textId="77777777">
            <w:r>
              <w:t>Worden de gegevens van telers die digitaal hun spuitregisters bijhouden vanuit de overheid centraal verzameld? Zo nee, waarom niet?</w:t>
            </w:r>
          </w:p>
        </w:tc>
        <w:tc>
          <w:tcPr>
            <w:tcW w:w="850" w:type="dxa"/>
          </w:tcPr>
          <w:p w:rsidR="0086757C" w:rsidRDefault="0086757C" w14:paraId="2713FD4E" w14:textId="77777777">
            <w:pPr>
              <w:jc w:val="right"/>
            </w:pPr>
          </w:p>
        </w:tc>
        <w:tc>
          <w:tcPr>
            <w:tcW w:w="992" w:type="dxa"/>
          </w:tcPr>
          <w:p w:rsidR="0086757C" w:rsidRDefault="001856D0" w14:paraId="44E969BC" w14:textId="77777777">
            <w:pPr>
              <w:jc w:val="right"/>
            </w:pPr>
            <w:r>
              <w:t>17</w:t>
            </w:r>
          </w:p>
        </w:tc>
        <w:tc>
          <w:tcPr>
            <w:tcW w:w="567" w:type="dxa"/>
            <w:tcBorders>
              <w:left w:val="nil"/>
            </w:tcBorders>
          </w:tcPr>
          <w:p w:rsidR="0086757C" w:rsidRDefault="001856D0" w14:paraId="498A2750" w14:textId="77777777">
            <w:pPr>
              <w:jc w:val="right"/>
            </w:pPr>
            <w:r>
              <w:t xml:space="preserve"> </w:t>
            </w:r>
          </w:p>
        </w:tc>
      </w:tr>
      <w:tr w:rsidR="0086757C" w:rsidTr="00E7153D" w14:paraId="41426167" w14:textId="77777777">
        <w:tc>
          <w:tcPr>
            <w:tcW w:w="567" w:type="dxa"/>
          </w:tcPr>
          <w:p w:rsidR="0086757C" w:rsidRDefault="001856D0" w14:paraId="7B3F29ED" w14:textId="77777777">
            <w:r>
              <w:t>16</w:t>
            </w:r>
          </w:p>
        </w:tc>
        <w:tc>
          <w:tcPr>
            <w:tcW w:w="6521" w:type="dxa"/>
          </w:tcPr>
          <w:p w:rsidR="0086757C" w:rsidRDefault="001856D0" w14:paraId="413870F1" w14:textId="77777777">
            <w:r>
              <w:t>Hoe wordt uitvoering gegeven aan de in 2023 aangenomen motie van het lid Tjeerd de Groot (Kamerstuk 21501-32, nr. 1528) en de in 2025 aangenomen motie van het lid Podt (Kamerstuk 27858, nr. 728) waarin wordt opgeroepen tot centrale registratie van het professioneel bestrijdingsmiddelengebruik op percelen en coördinatie door een onafhankelijke autoriteit?</w:t>
            </w:r>
          </w:p>
        </w:tc>
        <w:tc>
          <w:tcPr>
            <w:tcW w:w="850" w:type="dxa"/>
          </w:tcPr>
          <w:p w:rsidR="0086757C" w:rsidRDefault="0086757C" w14:paraId="2D51B388" w14:textId="77777777">
            <w:pPr>
              <w:jc w:val="right"/>
            </w:pPr>
          </w:p>
        </w:tc>
        <w:tc>
          <w:tcPr>
            <w:tcW w:w="992" w:type="dxa"/>
          </w:tcPr>
          <w:p w:rsidR="0086757C" w:rsidRDefault="001856D0" w14:paraId="3261240D" w14:textId="77777777">
            <w:pPr>
              <w:jc w:val="right"/>
            </w:pPr>
            <w:r>
              <w:t>17</w:t>
            </w:r>
          </w:p>
        </w:tc>
        <w:tc>
          <w:tcPr>
            <w:tcW w:w="567" w:type="dxa"/>
            <w:tcBorders>
              <w:left w:val="nil"/>
            </w:tcBorders>
          </w:tcPr>
          <w:p w:rsidR="0086757C" w:rsidRDefault="001856D0" w14:paraId="53B0D0AD" w14:textId="77777777">
            <w:pPr>
              <w:jc w:val="right"/>
            </w:pPr>
            <w:r>
              <w:t xml:space="preserve"> </w:t>
            </w:r>
          </w:p>
        </w:tc>
      </w:tr>
      <w:tr w:rsidR="0086757C" w:rsidTr="00E7153D" w14:paraId="7BC99555" w14:textId="77777777">
        <w:tc>
          <w:tcPr>
            <w:tcW w:w="567" w:type="dxa"/>
          </w:tcPr>
          <w:p w:rsidR="0086757C" w:rsidRDefault="001856D0" w14:paraId="2A9F7D1E" w14:textId="77777777">
            <w:r>
              <w:t>17</w:t>
            </w:r>
          </w:p>
        </w:tc>
        <w:tc>
          <w:tcPr>
            <w:tcW w:w="6521" w:type="dxa"/>
          </w:tcPr>
          <w:p w:rsidR="0086757C" w:rsidRDefault="001856D0" w14:paraId="438FB36D" w14:textId="77777777">
            <w:r>
              <w:t>Op welke wijze geeft Nederland uitvoering aan de Statistics on agricultural input and output (SAIO)-verordening?</w:t>
            </w:r>
          </w:p>
        </w:tc>
        <w:tc>
          <w:tcPr>
            <w:tcW w:w="850" w:type="dxa"/>
          </w:tcPr>
          <w:p w:rsidR="0086757C" w:rsidRDefault="0086757C" w14:paraId="7AE33A08" w14:textId="77777777">
            <w:pPr>
              <w:jc w:val="right"/>
            </w:pPr>
          </w:p>
        </w:tc>
        <w:tc>
          <w:tcPr>
            <w:tcW w:w="992" w:type="dxa"/>
          </w:tcPr>
          <w:p w:rsidR="0086757C" w:rsidRDefault="001856D0" w14:paraId="7A363226" w14:textId="77777777">
            <w:pPr>
              <w:jc w:val="right"/>
            </w:pPr>
            <w:r>
              <w:t>17</w:t>
            </w:r>
          </w:p>
        </w:tc>
        <w:tc>
          <w:tcPr>
            <w:tcW w:w="567" w:type="dxa"/>
            <w:tcBorders>
              <w:left w:val="nil"/>
            </w:tcBorders>
          </w:tcPr>
          <w:p w:rsidR="0086757C" w:rsidRDefault="001856D0" w14:paraId="0C2ED5B7" w14:textId="77777777">
            <w:pPr>
              <w:jc w:val="right"/>
            </w:pPr>
            <w:r>
              <w:t xml:space="preserve"> </w:t>
            </w:r>
          </w:p>
        </w:tc>
      </w:tr>
      <w:tr w:rsidR="0086757C" w:rsidTr="00E7153D" w14:paraId="7B7422E2" w14:textId="77777777">
        <w:tc>
          <w:tcPr>
            <w:tcW w:w="567" w:type="dxa"/>
          </w:tcPr>
          <w:p w:rsidR="0086757C" w:rsidRDefault="001856D0" w14:paraId="7F72E57F" w14:textId="77777777">
            <w:r>
              <w:t>18</w:t>
            </w:r>
          </w:p>
        </w:tc>
        <w:tc>
          <w:tcPr>
            <w:tcW w:w="6521" w:type="dxa"/>
          </w:tcPr>
          <w:p w:rsidR="0086757C" w:rsidRDefault="001856D0" w14:paraId="75DB30A5" w14:textId="77777777">
            <w:r>
              <w:t>Hoe kan Nederland voldoen aan de verplichting om de correcte gebruiksdata bij de Europese Unie aan te leveren als ongeveer 50 procent van de in Nederland verkochte bestrijdingsmiddelen op onverklaarbare wijze uit de gebruiksgegevens verdwijnt?</w:t>
            </w:r>
          </w:p>
        </w:tc>
        <w:tc>
          <w:tcPr>
            <w:tcW w:w="850" w:type="dxa"/>
          </w:tcPr>
          <w:p w:rsidR="0086757C" w:rsidRDefault="0086757C" w14:paraId="74E61F5A" w14:textId="77777777">
            <w:pPr>
              <w:jc w:val="right"/>
            </w:pPr>
          </w:p>
        </w:tc>
        <w:tc>
          <w:tcPr>
            <w:tcW w:w="992" w:type="dxa"/>
          </w:tcPr>
          <w:p w:rsidR="0086757C" w:rsidRDefault="001856D0" w14:paraId="3B4DB1D0" w14:textId="77777777">
            <w:pPr>
              <w:jc w:val="right"/>
            </w:pPr>
            <w:r>
              <w:t>17</w:t>
            </w:r>
          </w:p>
        </w:tc>
        <w:tc>
          <w:tcPr>
            <w:tcW w:w="567" w:type="dxa"/>
            <w:tcBorders>
              <w:left w:val="nil"/>
            </w:tcBorders>
          </w:tcPr>
          <w:p w:rsidR="0086757C" w:rsidRDefault="001856D0" w14:paraId="2EAB449E" w14:textId="77777777">
            <w:pPr>
              <w:jc w:val="right"/>
            </w:pPr>
            <w:r>
              <w:t xml:space="preserve"> </w:t>
            </w:r>
          </w:p>
        </w:tc>
      </w:tr>
      <w:tr w:rsidR="0086757C" w:rsidTr="00E7153D" w14:paraId="52484686" w14:textId="77777777">
        <w:tc>
          <w:tcPr>
            <w:tcW w:w="567" w:type="dxa"/>
          </w:tcPr>
          <w:p w:rsidR="0086757C" w:rsidRDefault="001856D0" w14:paraId="316B2EDD" w14:textId="77777777">
            <w:r>
              <w:t>19</w:t>
            </w:r>
          </w:p>
        </w:tc>
        <w:tc>
          <w:tcPr>
            <w:tcW w:w="6521" w:type="dxa"/>
          </w:tcPr>
          <w:p w:rsidR="0086757C" w:rsidRDefault="001856D0" w14:paraId="77F1AA60" w14:textId="77777777">
            <w:r>
              <w:t>Op welk gedeelte van de Nederlandse telers en landbouwareaal ziet de SAIO-rapportageverplichting?</w:t>
            </w:r>
          </w:p>
        </w:tc>
        <w:tc>
          <w:tcPr>
            <w:tcW w:w="850" w:type="dxa"/>
          </w:tcPr>
          <w:p w:rsidR="0086757C" w:rsidRDefault="0086757C" w14:paraId="0D2219C4" w14:textId="77777777">
            <w:pPr>
              <w:jc w:val="right"/>
            </w:pPr>
          </w:p>
        </w:tc>
        <w:tc>
          <w:tcPr>
            <w:tcW w:w="992" w:type="dxa"/>
          </w:tcPr>
          <w:p w:rsidR="0086757C" w:rsidRDefault="001856D0" w14:paraId="70433577" w14:textId="77777777">
            <w:pPr>
              <w:jc w:val="right"/>
            </w:pPr>
            <w:r>
              <w:t>17</w:t>
            </w:r>
          </w:p>
        </w:tc>
        <w:tc>
          <w:tcPr>
            <w:tcW w:w="567" w:type="dxa"/>
            <w:tcBorders>
              <w:left w:val="nil"/>
            </w:tcBorders>
          </w:tcPr>
          <w:p w:rsidR="0086757C" w:rsidRDefault="001856D0" w14:paraId="5D66F816" w14:textId="77777777">
            <w:pPr>
              <w:jc w:val="right"/>
            </w:pPr>
            <w:r>
              <w:t xml:space="preserve"> </w:t>
            </w:r>
          </w:p>
        </w:tc>
      </w:tr>
      <w:tr w:rsidR="0086757C" w:rsidTr="00E7153D" w14:paraId="082E341E" w14:textId="77777777">
        <w:tc>
          <w:tcPr>
            <w:tcW w:w="567" w:type="dxa"/>
          </w:tcPr>
          <w:p w:rsidR="0086757C" w:rsidRDefault="001856D0" w14:paraId="39C6570D" w14:textId="77777777">
            <w:r>
              <w:t>20</w:t>
            </w:r>
          </w:p>
        </w:tc>
        <w:tc>
          <w:tcPr>
            <w:tcW w:w="6521" w:type="dxa"/>
          </w:tcPr>
          <w:p w:rsidR="0086757C" w:rsidRDefault="001856D0" w14:paraId="0906556F" w14:textId="77777777">
            <w:r>
              <w:t>Welke Europese lidstaten hebben aantoonbaar effectievere handhavingssystemen voor gewasbeschermingsmiddelen en wat kan Nederland daarvan leren?</w:t>
            </w:r>
          </w:p>
        </w:tc>
        <w:tc>
          <w:tcPr>
            <w:tcW w:w="850" w:type="dxa"/>
          </w:tcPr>
          <w:p w:rsidR="0086757C" w:rsidRDefault="0086757C" w14:paraId="53083048" w14:textId="77777777">
            <w:pPr>
              <w:jc w:val="right"/>
            </w:pPr>
          </w:p>
        </w:tc>
        <w:tc>
          <w:tcPr>
            <w:tcW w:w="992" w:type="dxa"/>
          </w:tcPr>
          <w:p w:rsidR="0086757C" w:rsidRDefault="001856D0" w14:paraId="7C311364" w14:textId="77777777">
            <w:pPr>
              <w:jc w:val="right"/>
            </w:pPr>
            <w:r>
              <w:t>17</w:t>
            </w:r>
          </w:p>
        </w:tc>
        <w:tc>
          <w:tcPr>
            <w:tcW w:w="567" w:type="dxa"/>
            <w:tcBorders>
              <w:left w:val="nil"/>
            </w:tcBorders>
          </w:tcPr>
          <w:p w:rsidR="0086757C" w:rsidRDefault="001856D0" w14:paraId="01C1F059" w14:textId="77777777">
            <w:pPr>
              <w:jc w:val="right"/>
            </w:pPr>
            <w:r>
              <w:t xml:space="preserve"> </w:t>
            </w:r>
          </w:p>
        </w:tc>
      </w:tr>
      <w:tr w:rsidR="0086757C" w:rsidTr="00E7153D" w14:paraId="211AFF6A" w14:textId="77777777">
        <w:tc>
          <w:tcPr>
            <w:tcW w:w="567" w:type="dxa"/>
          </w:tcPr>
          <w:p w:rsidR="0086757C" w:rsidRDefault="001856D0" w14:paraId="6F9215B3" w14:textId="77777777">
            <w:r>
              <w:t>21</w:t>
            </w:r>
          </w:p>
        </w:tc>
        <w:tc>
          <w:tcPr>
            <w:tcW w:w="6521" w:type="dxa"/>
          </w:tcPr>
          <w:p w:rsidR="0086757C" w:rsidRDefault="001856D0" w14:paraId="52576AB4" w14:textId="77777777">
            <w:r>
              <w:t>Waarom is de doelstelling in het jaarplan van de NVWA gewijzigd van '90 procent van de regels worden nageleefd' naar ‘vermindering van blootstellingsrisico’s’?</w:t>
            </w:r>
          </w:p>
        </w:tc>
        <w:tc>
          <w:tcPr>
            <w:tcW w:w="850" w:type="dxa"/>
          </w:tcPr>
          <w:p w:rsidR="0086757C" w:rsidRDefault="0086757C" w14:paraId="7EA561AA" w14:textId="77777777">
            <w:pPr>
              <w:jc w:val="right"/>
            </w:pPr>
          </w:p>
        </w:tc>
        <w:tc>
          <w:tcPr>
            <w:tcW w:w="992" w:type="dxa"/>
          </w:tcPr>
          <w:p w:rsidR="0086757C" w:rsidRDefault="001856D0" w14:paraId="29A0B4A4" w14:textId="77777777">
            <w:pPr>
              <w:jc w:val="right"/>
            </w:pPr>
            <w:r>
              <w:t>19</w:t>
            </w:r>
          </w:p>
        </w:tc>
        <w:tc>
          <w:tcPr>
            <w:tcW w:w="567" w:type="dxa"/>
            <w:tcBorders>
              <w:left w:val="nil"/>
            </w:tcBorders>
          </w:tcPr>
          <w:p w:rsidR="0086757C" w:rsidRDefault="001856D0" w14:paraId="153EB10D" w14:textId="77777777">
            <w:pPr>
              <w:jc w:val="right"/>
            </w:pPr>
            <w:r>
              <w:t xml:space="preserve"> </w:t>
            </w:r>
          </w:p>
        </w:tc>
      </w:tr>
      <w:tr w:rsidR="0086757C" w:rsidTr="00E7153D" w14:paraId="28C95138" w14:textId="77777777">
        <w:tc>
          <w:tcPr>
            <w:tcW w:w="567" w:type="dxa"/>
          </w:tcPr>
          <w:p w:rsidR="0086757C" w:rsidRDefault="001856D0" w14:paraId="23C5481F" w14:textId="77777777">
            <w:r>
              <w:t>22</w:t>
            </w:r>
          </w:p>
        </w:tc>
        <w:tc>
          <w:tcPr>
            <w:tcW w:w="6521" w:type="dxa"/>
          </w:tcPr>
          <w:p w:rsidR="0086757C" w:rsidRDefault="001856D0" w14:paraId="626C9318" w14:textId="77777777">
            <w:r>
              <w:t>Kunt u toelichten wat de oorzaak is van de daling in de naleving van regels voor gewasbeschermingsmiddelen naar 68 procent in 2025, terwijl de eerdere doelstelling van de NVWA was gesteld op 90 procent?</w:t>
            </w:r>
          </w:p>
        </w:tc>
        <w:tc>
          <w:tcPr>
            <w:tcW w:w="850" w:type="dxa"/>
          </w:tcPr>
          <w:p w:rsidR="0086757C" w:rsidRDefault="0086757C" w14:paraId="7A53E4A5" w14:textId="77777777">
            <w:pPr>
              <w:jc w:val="right"/>
            </w:pPr>
          </w:p>
        </w:tc>
        <w:tc>
          <w:tcPr>
            <w:tcW w:w="992" w:type="dxa"/>
          </w:tcPr>
          <w:p w:rsidR="0086757C" w:rsidRDefault="001856D0" w14:paraId="7F77817A" w14:textId="77777777">
            <w:pPr>
              <w:jc w:val="right"/>
            </w:pPr>
            <w:r>
              <w:t>28</w:t>
            </w:r>
          </w:p>
        </w:tc>
        <w:tc>
          <w:tcPr>
            <w:tcW w:w="567" w:type="dxa"/>
            <w:tcBorders>
              <w:left w:val="nil"/>
            </w:tcBorders>
          </w:tcPr>
          <w:p w:rsidR="0086757C" w:rsidRDefault="001856D0" w14:paraId="26AF291F" w14:textId="77777777">
            <w:pPr>
              <w:jc w:val="right"/>
            </w:pPr>
            <w:r>
              <w:t xml:space="preserve"> </w:t>
            </w:r>
          </w:p>
        </w:tc>
      </w:tr>
      <w:tr w:rsidR="0086757C" w:rsidTr="00E7153D" w14:paraId="59EAA7CE" w14:textId="77777777">
        <w:tc>
          <w:tcPr>
            <w:tcW w:w="567" w:type="dxa"/>
          </w:tcPr>
          <w:p w:rsidR="0086757C" w:rsidRDefault="001856D0" w14:paraId="4E3DABB5" w14:textId="77777777">
            <w:r>
              <w:t>23</w:t>
            </w:r>
          </w:p>
        </w:tc>
        <w:tc>
          <w:tcPr>
            <w:tcW w:w="6521" w:type="dxa"/>
          </w:tcPr>
          <w:p w:rsidR="0086757C" w:rsidRDefault="001856D0" w14:paraId="2EF11AD8" w14:textId="77777777">
            <w:r>
              <w:t>Waarom kon bij de 'Tijdelijke subsidieregeling sanering garnalenvisserij' niet worden aangetoond dat aan de subsidievoorwaarden was voldaan en welke controlemechanismen ontbraken?</w:t>
            </w:r>
          </w:p>
        </w:tc>
        <w:tc>
          <w:tcPr>
            <w:tcW w:w="850" w:type="dxa"/>
          </w:tcPr>
          <w:p w:rsidR="0086757C" w:rsidRDefault="0086757C" w14:paraId="729F8D02" w14:textId="77777777">
            <w:pPr>
              <w:jc w:val="right"/>
            </w:pPr>
          </w:p>
        </w:tc>
        <w:tc>
          <w:tcPr>
            <w:tcW w:w="992" w:type="dxa"/>
          </w:tcPr>
          <w:p w:rsidR="0086757C" w:rsidRDefault="001856D0" w14:paraId="6DF17CEF" w14:textId="77777777">
            <w:pPr>
              <w:jc w:val="right"/>
            </w:pPr>
            <w:r>
              <w:t>35</w:t>
            </w:r>
          </w:p>
        </w:tc>
        <w:tc>
          <w:tcPr>
            <w:tcW w:w="567" w:type="dxa"/>
            <w:tcBorders>
              <w:left w:val="nil"/>
            </w:tcBorders>
          </w:tcPr>
          <w:p w:rsidR="0086757C" w:rsidRDefault="001856D0" w14:paraId="6452DCBA" w14:textId="77777777">
            <w:pPr>
              <w:jc w:val="right"/>
            </w:pPr>
            <w:r>
              <w:t xml:space="preserve"> </w:t>
            </w:r>
          </w:p>
        </w:tc>
      </w:tr>
      <w:tr w:rsidR="0086757C" w:rsidTr="00E7153D" w14:paraId="18478498" w14:textId="77777777">
        <w:tc>
          <w:tcPr>
            <w:tcW w:w="567" w:type="dxa"/>
          </w:tcPr>
          <w:p w:rsidR="0086757C" w:rsidRDefault="001856D0" w14:paraId="1A347AAE" w14:textId="77777777">
            <w:r>
              <w:t>24</w:t>
            </w:r>
          </w:p>
        </w:tc>
        <w:tc>
          <w:tcPr>
            <w:tcW w:w="6521" w:type="dxa"/>
          </w:tcPr>
          <w:p w:rsidR="0086757C" w:rsidRDefault="001856D0" w14:paraId="6A532DD0" w14:textId="77777777">
            <w:r>
              <w:t>Kunt u toelichten welke concrete maatregelen zijn getroffen naar aanleiding van de geconstateerde fout van 19,7 miljoen euro door het niet naleven van aanbestedingsregels bij artikel 22?</w:t>
            </w:r>
          </w:p>
        </w:tc>
        <w:tc>
          <w:tcPr>
            <w:tcW w:w="850" w:type="dxa"/>
          </w:tcPr>
          <w:p w:rsidR="0086757C" w:rsidRDefault="0086757C" w14:paraId="14118524" w14:textId="77777777">
            <w:pPr>
              <w:jc w:val="right"/>
            </w:pPr>
          </w:p>
        </w:tc>
        <w:tc>
          <w:tcPr>
            <w:tcW w:w="992" w:type="dxa"/>
          </w:tcPr>
          <w:p w:rsidR="0086757C" w:rsidRDefault="001856D0" w14:paraId="7F2D843A" w14:textId="77777777">
            <w:pPr>
              <w:jc w:val="right"/>
            </w:pPr>
            <w:r>
              <w:t>36</w:t>
            </w:r>
          </w:p>
        </w:tc>
        <w:tc>
          <w:tcPr>
            <w:tcW w:w="567" w:type="dxa"/>
            <w:tcBorders>
              <w:left w:val="nil"/>
            </w:tcBorders>
          </w:tcPr>
          <w:p w:rsidR="0086757C" w:rsidRDefault="001856D0" w14:paraId="10369039" w14:textId="77777777">
            <w:pPr>
              <w:jc w:val="right"/>
            </w:pPr>
            <w:r>
              <w:t xml:space="preserve"> </w:t>
            </w:r>
          </w:p>
        </w:tc>
      </w:tr>
    </w:tbl>
    <w:p w:rsidR="0086757C" w:rsidRDefault="0086757C" w14:paraId="0AB6834E" w14:textId="77777777"/>
    <w:sectPr w:rsidR="0086757C"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7304" w14:textId="77777777" w:rsidR="007D5FB4" w:rsidRDefault="007D5FB4">
      <w:pPr>
        <w:spacing w:before="0" w:after="0"/>
      </w:pPr>
      <w:r>
        <w:separator/>
      </w:r>
    </w:p>
  </w:endnote>
  <w:endnote w:type="continuationSeparator" w:id="0">
    <w:p w14:paraId="45E6E2AC" w14:textId="77777777" w:rsidR="007D5FB4" w:rsidRDefault="007D5F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B00A" w14:textId="77777777" w:rsidR="0086757C" w:rsidRDefault="008675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FB2A" w14:textId="77777777" w:rsidR="0086757C" w:rsidRDefault="001856D0">
    <w:pPr>
      <w:pStyle w:val="Voettekst"/>
    </w:pPr>
    <w:r>
      <w:t xml:space="preserve">Totaallijst feitelijke vragen Aanbieding van het rapport Resultaten verantwoordingsonderzoek 2025 bij het Ministerie van Landbouw, Visserij, Voedselzekerheid en Natuur en het Diergezondheidsfonds (36945-XIV-2-2)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E01" w14:textId="77777777" w:rsidR="0086757C" w:rsidRDefault="008675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D4AF" w14:textId="77777777" w:rsidR="007D5FB4" w:rsidRDefault="007D5FB4">
      <w:pPr>
        <w:spacing w:before="0" w:after="0"/>
      </w:pPr>
      <w:r>
        <w:separator/>
      </w:r>
    </w:p>
  </w:footnote>
  <w:footnote w:type="continuationSeparator" w:id="0">
    <w:p w14:paraId="6BDB8230" w14:textId="77777777" w:rsidR="007D5FB4" w:rsidRDefault="007D5F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BEC7" w14:textId="77777777" w:rsidR="0086757C" w:rsidRDefault="008675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731F" w14:textId="77777777" w:rsidR="0086757C" w:rsidRDefault="008675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8CD4" w14:textId="77777777" w:rsidR="0086757C" w:rsidRDefault="008675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237B4"/>
    <w:rsid w:val="001856D0"/>
    <w:rsid w:val="001A47AF"/>
    <w:rsid w:val="001A56AB"/>
    <w:rsid w:val="003D44DD"/>
    <w:rsid w:val="003F5924"/>
    <w:rsid w:val="00500F93"/>
    <w:rsid w:val="005543A7"/>
    <w:rsid w:val="005A2FA2"/>
    <w:rsid w:val="007D5FB4"/>
    <w:rsid w:val="0086757C"/>
    <w:rsid w:val="00894624"/>
    <w:rsid w:val="00A77C3E"/>
    <w:rsid w:val="00AD5016"/>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8BC9D3"/>
  <w15:docId w15:val="{53356415-1CB8-474E-877E-0E3B7A07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896</ap:Words>
  <ap:Characters>4928</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2026-05-27T13:50:00.0000000Z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25184e04-9539-4e19-a0c0-86af3981c2b4</vt:lpwstr>
  </property>
</Properties>
</file>