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28F5" w:rsidRDefault="001856D0" w14:paraId="4E948674" w14:textId="77777777">
      <w:pPr>
        <w:autoSpaceDE w:val="0"/>
        <w:autoSpaceDN w:val="0"/>
        <w:adjustRightInd w:val="0"/>
        <w:spacing w:before="0" w:after="0"/>
        <w:ind w:left="1416" w:hanging="1371"/>
        <w:rPr>
          <w:b/>
          <w:bCs/>
          <w:sz w:val="23"/>
          <w:szCs w:val="23"/>
        </w:rPr>
      </w:pPr>
      <w:r>
        <w:rPr>
          <w:b/>
          <w:bCs/>
          <w:sz w:val="23"/>
          <w:szCs w:val="23"/>
        </w:rPr>
        <w:t>36945-IX</w:t>
      </w:r>
      <w:r>
        <w:rPr>
          <w:b/>
          <w:bCs/>
          <w:sz w:val="23"/>
          <w:szCs w:val="23"/>
        </w:rPr>
        <w:tab/>
        <w:t>Jaarverslag Ministerie van Financiën en Nationale Schuld 2025</w:t>
      </w:r>
    </w:p>
    <w:p w:rsidR="00BA28F5" w:rsidRDefault="00BA28F5" w14:paraId="32F6DE11" w14:textId="77777777">
      <w:pPr>
        <w:autoSpaceDE w:val="0"/>
        <w:autoSpaceDN w:val="0"/>
        <w:adjustRightInd w:val="0"/>
        <w:spacing w:before="0" w:after="0"/>
        <w:ind w:left="1416" w:hanging="1371"/>
        <w:rPr>
          <w:b/>
        </w:rPr>
      </w:pPr>
    </w:p>
    <w:p w:rsidR="00BA28F5" w:rsidRDefault="001856D0" w14:paraId="43B2086B" w14:textId="12DF1004">
      <w:pPr>
        <w:rPr>
          <w:b/>
        </w:rPr>
      </w:pPr>
      <w:r>
        <w:rPr>
          <w:b/>
        </w:rPr>
        <w:t xml:space="preserve">nr. </w:t>
      </w:r>
      <w:r>
        <w:rPr>
          <w:b/>
        </w:rPr>
        <w:tab/>
      </w:r>
      <w:r>
        <w:rPr>
          <w:b/>
        </w:rPr>
        <w:tab/>
        <w:t xml:space="preserve">Lijst van vragen </w:t>
      </w:r>
    </w:p>
    <w:p w:rsidR="00BA28F5" w:rsidRDefault="001856D0" w14:paraId="1FF9CD56" w14:textId="77777777">
      <w:r>
        <w:tab/>
      </w:r>
      <w:r>
        <w:tab/>
      </w:r>
    </w:p>
    <w:p w:rsidR="00BA28F5" w:rsidRDefault="001856D0" w14:paraId="4D471543" w14:textId="77777777">
      <w:pPr>
        <w:ind w:left="702" w:firstLine="708"/>
        <w:rPr>
          <w:i/>
        </w:rPr>
      </w:pPr>
      <w:r>
        <w:t xml:space="preserve">Vastgesteld </w:t>
      </w:r>
      <w:r>
        <w:rPr>
          <w:i/>
        </w:rPr>
        <w:t>(wordt door griffie ingevuld als antwoorden er zijn)</w:t>
      </w:r>
    </w:p>
    <w:p w:rsidR="00BA28F5" w:rsidRDefault="001856D0" w14:paraId="3B078DF2" w14:textId="3A0CAAD7">
      <w:pPr>
        <w:ind w:left="1410"/>
      </w:pPr>
      <w:r>
        <w:t xml:space="preserve">De vaste commissie voor </w:t>
      </w:r>
      <w:r w:rsidR="001B1CEA">
        <w:t>Financiën</w:t>
      </w:r>
      <w:r>
        <w:t xml:space="preserve"> heeft een aantal vragen voorgelegd aan de </w:t>
      </w:r>
      <w:r w:rsidR="001B1CEA">
        <w:t>minister van Financiën</w:t>
      </w:r>
      <w:r>
        <w:t xml:space="preserve"> over het </w:t>
      </w:r>
      <w:r>
        <w:rPr>
          <w:b/>
        </w:rPr>
        <w:t>Jaarverslag Ministerie van Financiën en Nationale Schuld 2025</w:t>
      </w:r>
      <w:r>
        <w:t xml:space="preserve"> (</w:t>
      </w:r>
      <w:r w:rsidR="00236F93">
        <w:t xml:space="preserve">Kamerstuk </w:t>
      </w:r>
      <w:r>
        <w:rPr>
          <w:b/>
        </w:rPr>
        <w:t>36945-IX</w:t>
      </w:r>
      <w:r>
        <w:t xml:space="preserve">, nr. </w:t>
      </w:r>
      <w:r>
        <w:rPr>
          <w:b/>
        </w:rPr>
        <w:t>1</w:t>
      </w:r>
      <w:r>
        <w:t>).</w:t>
      </w:r>
    </w:p>
    <w:p w:rsidR="00BA28F5" w:rsidRDefault="001856D0" w14:paraId="2BDD5841" w14:textId="6BE6CFDA">
      <w:pPr>
        <w:ind w:left="1410"/>
      </w:pPr>
      <w:r>
        <w:t xml:space="preserve">De daarop door de </w:t>
      </w:r>
      <w:r w:rsidR="001B1CEA">
        <w:t>minister</w:t>
      </w:r>
      <w:r>
        <w:t xml:space="preserve"> gegeven antwoorden zijn hierbij afgedrukt.</w:t>
      </w:r>
    </w:p>
    <w:p w:rsidR="00BA28F5" w:rsidRDefault="00BA28F5" w14:paraId="658F7932" w14:textId="77777777">
      <w:pPr>
        <w:spacing w:before="0" w:after="0"/>
      </w:pPr>
    </w:p>
    <w:p w:rsidR="00BA28F5" w:rsidRDefault="00236F93" w14:paraId="4C296D39" w14:textId="24C284B1">
      <w:pPr>
        <w:spacing w:before="0" w:after="0"/>
        <w:ind w:left="703" w:firstLine="709"/>
      </w:pPr>
      <w:r>
        <w:t>De v</w:t>
      </w:r>
      <w:r w:rsidR="001856D0">
        <w:t xml:space="preserve">oorzitter van de commissie, </w:t>
      </w:r>
    </w:p>
    <w:p w:rsidR="00BA28F5" w:rsidRDefault="001856D0" w14:paraId="6C4FF96C" w14:textId="45904DCC">
      <w:pPr>
        <w:spacing w:before="0" w:after="0"/>
      </w:pPr>
      <w:r>
        <w:tab/>
      </w:r>
      <w:r>
        <w:tab/>
      </w:r>
      <w:r w:rsidR="001B1CEA">
        <w:t>Jansen</w:t>
      </w:r>
    </w:p>
    <w:p w:rsidR="00BA28F5" w:rsidRDefault="001856D0" w14:paraId="53209CA5" w14:textId="77777777">
      <w:pPr>
        <w:spacing w:before="0" w:after="0"/>
      </w:pPr>
      <w:r>
        <w:tab/>
      </w:r>
      <w:r>
        <w:tab/>
      </w:r>
    </w:p>
    <w:p w:rsidR="00BA28F5" w:rsidRDefault="001856D0" w14:paraId="25263BE3" w14:textId="0AB1201D">
      <w:pPr>
        <w:spacing w:before="0" w:after="0"/>
      </w:pPr>
      <w:r>
        <w:tab/>
      </w:r>
      <w:r>
        <w:tab/>
      </w:r>
      <w:r w:rsidR="001B1CEA">
        <w:t>Adjunct-g</w:t>
      </w:r>
      <w:r>
        <w:t>riffier van de commissie,</w:t>
      </w:r>
    </w:p>
    <w:p w:rsidR="00BA28F5" w:rsidRDefault="001856D0" w14:paraId="46D4340E" w14:textId="5F00198D">
      <w:pPr>
        <w:spacing w:before="0" w:after="0"/>
      </w:pPr>
      <w:r>
        <w:tab/>
      </w:r>
      <w:r>
        <w:tab/>
      </w:r>
      <w:r w:rsidR="001B1CEA">
        <w:t>Van der Steur</w:t>
      </w:r>
    </w:p>
    <w:p w:rsidR="00BA28F5" w:rsidRDefault="00BA28F5" w14:paraId="55DDC69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A28F5" w:rsidTr="62BB0D38" w14:paraId="0292F3B9" w14:textId="77777777">
        <w:trPr>
          <w:cantSplit/>
        </w:trPr>
        <w:tc>
          <w:tcPr>
            <w:tcW w:w="567" w:type="dxa"/>
          </w:tcPr>
          <w:p w:rsidR="00BA28F5" w:rsidRDefault="001856D0" w14:paraId="38186FF7" w14:textId="77777777">
            <w:bookmarkStart w:name="bmkStartTabel" w:id="0"/>
            <w:bookmarkEnd w:id="0"/>
            <w:r>
              <w:t>Nr</w:t>
            </w:r>
          </w:p>
        </w:tc>
        <w:tc>
          <w:tcPr>
            <w:tcW w:w="6521" w:type="dxa"/>
          </w:tcPr>
          <w:p w:rsidR="00BA28F5" w:rsidRDefault="001856D0" w14:paraId="1C8C19CB" w14:textId="77777777">
            <w:r>
              <w:t>Vraag</w:t>
            </w:r>
          </w:p>
        </w:tc>
        <w:tc>
          <w:tcPr>
            <w:tcW w:w="850" w:type="dxa"/>
          </w:tcPr>
          <w:p w:rsidR="00BA28F5" w:rsidRDefault="001856D0" w14:paraId="45C64A07" w14:textId="77777777">
            <w:pPr>
              <w:jc w:val="right"/>
            </w:pPr>
            <w:r>
              <w:t>Bijlage</w:t>
            </w:r>
          </w:p>
        </w:tc>
        <w:tc>
          <w:tcPr>
            <w:tcW w:w="992" w:type="dxa"/>
          </w:tcPr>
          <w:p w:rsidR="00BA28F5" w:rsidP="00E7153D" w:rsidRDefault="001856D0" w14:paraId="6312BABE" w14:textId="77777777">
            <w:pPr>
              <w:jc w:val="right"/>
            </w:pPr>
            <w:r>
              <w:t>Blz. (van)</w:t>
            </w:r>
          </w:p>
        </w:tc>
        <w:tc>
          <w:tcPr>
            <w:tcW w:w="567" w:type="dxa"/>
          </w:tcPr>
          <w:p w:rsidR="00BA28F5" w:rsidP="00E7153D" w:rsidRDefault="001856D0" w14:paraId="609300CF" w14:textId="77777777">
            <w:pPr>
              <w:jc w:val="center"/>
            </w:pPr>
            <w:r>
              <w:t>t/m</w:t>
            </w:r>
          </w:p>
        </w:tc>
      </w:tr>
      <w:tr w:rsidR="00BA28F5" w:rsidTr="62BB0D38" w14:paraId="407E08D8" w14:textId="77777777">
        <w:tc>
          <w:tcPr>
            <w:tcW w:w="567" w:type="dxa"/>
          </w:tcPr>
          <w:p w:rsidR="00BA28F5" w:rsidRDefault="001856D0" w14:paraId="5A9CB09C" w14:textId="77777777">
            <w:r>
              <w:t>1</w:t>
            </w:r>
          </w:p>
        </w:tc>
        <w:tc>
          <w:tcPr>
            <w:tcW w:w="6521" w:type="dxa"/>
          </w:tcPr>
          <w:p w:rsidR="00BA28F5" w:rsidRDefault="001856D0" w14:paraId="4830378D" w14:textId="77777777">
            <w:r>
              <w:t>Kunt u in een grafiek weergeven hoe de uitgaven aan (1) zorg en sociale zekerheid en (2) defensie als percentage van het bbp zich sinds het jaar 2000 hebben ontwikkeld?</w:t>
            </w:r>
          </w:p>
        </w:tc>
        <w:tc>
          <w:tcPr>
            <w:tcW w:w="850" w:type="dxa"/>
          </w:tcPr>
          <w:p w:rsidR="00BA28F5" w:rsidRDefault="00BA28F5" w14:paraId="7CCFF5C2" w14:textId="77777777">
            <w:pPr>
              <w:jc w:val="right"/>
            </w:pPr>
          </w:p>
        </w:tc>
        <w:tc>
          <w:tcPr>
            <w:tcW w:w="992" w:type="dxa"/>
          </w:tcPr>
          <w:p w:rsidR="00BA28F5" w:rsidRDefault="00BA28F5" w14:paraId="51141600" w14:textId="77777777">
            <w:pPr>
              <w:jc w:val="right"/>
            </w:pPr>
          </w:p>
        </w:tc>
        <w:tc>
          <w:tcPr>
            <w:tcW w:w="567" w:type="dxa"/>
            <w:tcBorders>
              <w:left w:val="nil"/>
            </w:tcBorders>
          </w:tcPr>
          <w:p w:rsidR="00BA28F5" w:rsidRDefault="001856D0" w14:paraId="0A9CE807" w14:textId="77777777">
            <w:pPr>
              <w:jc w:val="right"/>
            </w:pPr>
            <w:r>
              <w:t xml:space="preserve"> </w:t>
            </w:r>
          </w:p>
        </w:tc>
      </w:tr>
      <w:tr w:rsidR="00BA28F5" w:rsidTr="62BB0D38" w14:paraId="4F23226F" w14:textId="77777777">
        <w:tc>
          <w:tcPr>
            <w:tcW w:w="567" w:type="dxa"/>
          </w:tcPr>
          <w:p w:rsidR="00BA28F5" w:rsidRDefault="001856D0" w14:paraId="3E261811" w14:textId="77777777">
            <w:r>
              <w:t>2</w:t>
            </w:r>
          </w:p>
        </w:tc>
        <w:tc>
          <w:tcPr>
            <w:tcW w:w="6521" w:type="dxa"/>
          </w:tcPr>
          <w:p w:rsidR="00BA28F5" w:rsidRDefault="001856D0" w14:paraId="56761699" w14:textId="77777777">
            <w:r>
              <w:t>Wat zijn de uitgaven aan alle sociale uitkeringen uitgedrukt als percentage van de jaarlijkse opbrengsten van de inkomstenbelasting? Hoe heeft dit cijfer zich sinds het jaar 2000 ontwikkeld?</w:t>
            </w:r>
          </w:p>
        </w:tc>
        <w:tc>
          <w:tcPr>
            <w:tcW w:w="850" w:type="dxa"/>
          </w:tcPr>
          <w:p w:rsidR="00BA28F5" w:rsidRDefault="00BA28F5" w14:paraId="0B4DBDEF" w14:textId="77777777">
            <w:pPr>
              <w:jc w:val="right"/>
            </w:pPr>
          </w:p>
        </w:tc>
        <w:tc>
          <w:tcPr>
            <w:tcW w:w="992" w:type="dxa"/>
          </w:tcPr>
          <w:p w:rsidR="00BA28F5" w:rsidRDefault="00BA28F5" w14:paraId="407C1ED7" w14:textId="77777777">
            <w:pPr>
              <w:jc w:val="right"/>
            </w:pPr>
          </w:p>
        </w:tc>
        <w:tc>
          <w:tcPr>
            <w:tcW w:w="567" w:type="dxa"/>
            <w:tcBorders>
              <w:left w:val="nil"/>
            </w:tcBorders>
          </w:tcPr>
          <w:p w:rsidR="00BA28F5" w:rsidRDefault="001856D0" w14:paraId="74B7ED9A" w14:textId="77777777">
            <w:pPr>
              <w:jc w:val="right"/>
            </w:pPr>
            <w:r>
              <w:t xml:space="preserve"> </w:t>
            </w:r>
          </w:p>
        </w:tc>
      </w:tr>
      <w:tr w:rsidR="00BA28F5" w:rsidTr="62BB0D38" w14:paraId="7717FAF1" w14:textId="77777777">
        <w:tc>
          <w:tcPr>
            <w:tcW w:w="567" w:type="dxa"/>
          </w:tcPr>
          <w:p w:rsidR="00BA28F5" w:rsidRDefault="001856D0" w14:paraId="11ECCEF9" w14:textId="77777777">
            <w:r>
              <w:t>3</w:t>
            </w:r>
          </w:p>
        </w:tc>
        <w:tc>
          <w:tcPr>
            <w:tcW w:w="6521" w:type="dxa"/>
          </w:tcPr>
          <w:p w:rsidR="00BA28F5" w:rsidRDefault="001856D0" w14:paraId="44CCE758" w14:textId="77777777">
            <w:r>
              <w:t>Hoe hebben de rentelasten die Nederland op de staatsschuld betaalt zich ontwikkeld als percentage van het bbp sinds het jaar 2000?</w:t>
            </w:r>
          </w:p>
        </w:tc>
        <w:tc>
          <w:tcPr>
            <w:tcW w:w="850" w:type="dxa"/>
          </w:tcPr>
          <w:p w:rsidR="00BA28F5" w:rsidRDefault="00BA28F5" w14:paraId="03D4005A" w14:textId="77777777">
            <w:pPr>
              <w:jc w:val="right"/>
            </w:pPr>
          </w:p>
        </w:tc>
        <w:tc>
          <w:tcPr>
            <w:tcW w:w="992" w:type="dxa"/>
          </w:tcPr>
          <w:p w:rsidR="00BA28F5" w:rsidRDefault="00BA28F5" w14:paraId="771E26F4" w14:textId="77777777">
            <w:pPr>
              <w:jc w:val="right"/>
            </w:pPr>
          </w:p>
        </w:tc>
        <w:tc>
          <w:tcPr>
            <w:tcW w:w="567" w:type="dxa"/>
            <w:tcBorders>
              <w:left w:val="nil"/>
            </w:tcBorders>
          </w:tcPr>
          <w:p w:rsidR="00BA28F5" w:rsidRDefault="001856D0" w14:paraId="5AC94990" w14:textId="77777777">
            <w:pPr>
              <w:jc w:val="right"/>
            </w:pPr>
            <w:r>
              <w:t xml:space="preserve"> </w:t>
            </w:r>
          </w:p>
        </w:tc>
      </w:tr>
      <w:tr w:rsidR="00BA28F5" w:rsidTr="62BB0D38" w14:paraId="2941CFD2" w14:textId="77777777">
        <w:tc>
          <w:tcPr>
            <w:tcW w:w="567" w:type="dxa"/>
          </w:tcPr>
          <w:p w:rsidR="00BA28F5" w:rsidRDefault="001856D0" w14:paraId="6E02E363" w14:textId="77777777">
            <w:r>
              <w:t>4</w:t>
            </w:r>
          </w:p>
        </w:tc>
        <w:tc>
          <w:tcPr>
            <w:tcW w:w="6521" w:type="dxa"/>
          </w:tcPr>
          <w:p w:rsidR="00BA28F5" w:rsidRDefault="001856D0" w14:paraId="7FDA4645" w14:textId="7104944E">
            <w:r>
              <w:t xml:space="preserve">De doelstelling voor het aantal groene transacties bij de EKV-faciliteit is niet gehaald (49 tegenover een doelstelling van </w:t>
            </w:r>
            <w:r w:rsidR="5263D576">
              <w:t>tien procent</w:t>
            </w:r>
            <w:r>
              <w:t xml:space="preserve"> groei t</w:t>
            </w:r>
            <w:r w:rsidR="38E3512C">
              <w:t>en opzichte van</w:t>
            </w:r>
            <w:r>
              <w:t xml:space="preserve"> 68); </w:t>
            </w:r>
            <w:r w:rsidR="001B1CEA">
              <w:t>bent u</w:t>
            </w:r>
            <w:r>
              <w:t xml:space="preserve"> bereid om dergelijke ideologische klimaatdoelen los te laten en uitsluitend te sturen op het economisch belang voor de Nederlandse export?</w:t>
            </w:r>
          </w:p>
        </w:tc>
        <w:tc>
          <w:tcPr>
            <w:tcW w:w="850" w:type="dxa"/>
          </w:tcPr>
          <w:p w:rsidR="00BA28F5" w:rsidRDefault="00BA28F5" w14:paraId="73C6C843" w14:textId="77777777">
            <w:pPr>
              <w:jc w:val="right"/>
            </w:pPr>
          </w:p>
        </w:tc>
        <w:tc>
          <w:tcPr>
            <w:tcW w:w="992" w:type="dxa"/>
          </w:tcPr>
          <w:p w:rsidR="00BA28F5" w:rsidRDefault="00BA28F5" w14:paraId="2BFDB4A4" w14:textId="77777777">
            <w:pPr>
              <w:jc w:val="right"/>
            </w:pPr>
          </w:p>
        </w:tc>
        <w:tc>
          <w:tcPr>
            <w:tcW w:w="567" w:type="dxa"/>
            <w:tcBorders>
              <w:left w:val="nil"/>
            </w:tcBorders>
          </w:tcPr>
          <w:p w:rsidR="00BA28F5" w:rsidRDefault="001856D0" w14:paraId="3F07CC9F" w14:textId="77777777">
            <w:pPr>
              <w:jc w:val="right"/>
            </w:pPr>
            <w:r>
              <w:t xml:space="preserve"> </w:t>
            </w:r>
          </w:p>
        </w:tc>
      </w:tr>
      <w:tr w:rsidR="00BA28F5" w:rsidTr="62BB0D38" w14:paraId="72126EDD" w14:textId="77777777">
        <w:tc>
          <w:tcPr>
            <w:tcW w:w="567" w:type="dxa"/>
          </w:tcPr>
          <w:p w:rsidR="00BA28F5" w:rsidRDefault="001856D0" w14:paraId="5CCE7FE2" w14:textId="77777777">
            <w:r>
              <w:t>5</w:t>
            </w:r>
          </w:p>
        </w:tc>
        <w:tc>
          <w:tcPr>
            <w:tcW w:w="6521" w:type="dxa"/>
          </w:tcPr>
          <w:p w:rsidR="00BA28F5" w:rsidRDefault="001856D0" w14:paraId="790CDDB6" w14:textId="6620BFDE">
            <w:r>
              <w:t xml:space="preserve">In de beantwoording van de vragen bij de Voorjaarsnota 2026 </w:t>
            </w:r>
            <w:r w:rsidR="001B1CEA">
              <w:t>gaf u</w:t>
            </w:r>
            <w:r>
              <w:t xml:space="preserve"> aan dat de evaluatie van de verhoging van de kansspelbelasting in het tweede kwartaal van dit jaar gedeeld zou worden met de Kamer. Nu wordt in het </w:t>
            </w:r>
            <w:r w:rsidR="001B1CEA">
              <w:t>j</w:t>
            </w:r>
            <w:r>
              <w:t xml:space="preserve">aarverslag gesproken over juli dit jaar. Welke datum is nu correct en </w:t>
            </w:r>
            <w:r w:rsidR="001B1CEA">
              <w:t>kunt u</w:t>
            </w:r>
            <w:r>
              <w:t xml:space="preserve"> garanderen dat er voldoende tijd is om de evaluatie afdoende te kunnen betrekken bij de augustusbesluitvorming over onder meer het Belastingplan 2027?</w:t>
            </w:r>
          </w:p>
        </w:tc>
        <w:tc>
          <w:tcPr>
            <w:tcW w:w="850" w:type="dxa"/>
          </w:tcPr>
          <w:p w:rsidR="00BA28F5" w:rsidRDefault="00BA28F5" w14:paraId="7DA27C6F" w14:textId="77777777">
            <w:pPr>
              <w:jc w:val="right"/>
            </w:pPr>
          </w:p>
        </w:tc>
        <w:tc>
          <w:tcPr>
            <w:tcW w:w="992" w:type="dxa"/>
          </w:tcPr>
          <w:p w:rsidR="00BA28F5" w:rsidRDefault="00BA28F5" w14:paraId="5D8CAF20" w14:textId="77777777">
            <w:pPr>
              <w:jc w:val="right"/>
            </w:pPr>
          </w:p>
        </w:tc>
        <w:tc>
          <w:tcPr>
            <w:tcW w:w="567" w:type="dxa"/>
            <w:tcBorders>
              <w:left w:val="nil"/>
            </w:tcBorders>
          </w:tcPr>
          <w:p w:rsidR="00BA28F5" w:rsidRDefault="001856D0" w14:paraId="792741C1" w14:textId="77777777">
            <w:pPr>
              <w:jc w:val="right"/>
            </w:pPr>
            <w:r>
              <w:t xml:space="preserve"> </w:t>
            </w:r>
          </w:p>
        </w:tc>
      </w:tr>
      <w:tr w:rsidR="00BA28F5" w:rsidTr="62BB0D38" w14:paraId="2219A7D1" w14:textId="77777777">
        <w:tc>
          <w:tcPr>
            <w:tcW w:w="567" w:type="dxa"/>
          </w:tcPr>
          <w:p w:rsidR="00BA28F5" w:rsidRDefault="001856D0" w14:paraId="483407E6" w14:textId="77777777">
            <w:r>
              <w:t>6</w:t>
            </w:r>
          </w:p>
        </w:tc>
        <w:tc>
          <w:tcPr>
            <w:tcW w:w="6521" w:type="dxa"/>
          </w:tcPr>
          <w:p w:rsidR="00BA28F5" w:rsidRDefault="001856D0" w14:paraId="0F1FE6E3" w14:textId="435C60E5">
            <w:r>
              <w:t xml:space="preserve">In hoeverre dragen de kosten voor het opstellen van de 'Factsheets Brede Welvaart' bij aan de kerntaak van het ministerie en </w:t>
            </w:r>
            <w:r w:rsidR="001B1CEA">
              <w:t>bent u</w:t>
            </w:r>
            <w:r>
              <w:t xml:space="preserve"> bereid deze rapportages te schrappen om de bureaucratie te verminderen?</w:t>
            </w:r>
          </w:p>
        </w:tc>
        <w:tc>
          <w:tcPr>
            <w:tcW w:w="850" w:type="dxa"/>
          </w:tcPr>
          <w:p w:rsidR="00BA28F5" w:rsidRDefault="00BA28F5" w14:paraId="55E94E42" w14:textId="77777777">
            <w:pPr>
              <w:jc w:val="right"/>
            </w:pPr>
          </w:p>
        </w:tc>
        <w:tc>
          <w:tcPr>
            <w:tcW w:w="992" w:type="dxa"/>
          </w:tcPr>
          <w:p w:rsidR="00BA28F5" w:rsidRDefault="001856D0" w14:paraId="726C11DD" w14:textId="77777777">
            <w:pPr>
              <w:jc w:val="right"/>
            </w:pPr>
            <w:r>
              <w:t>15</w:t>
            </w:r>
          </w:p>
        </w:tc>
        <w:tc>
          <w:tcPr>
            <w:tcW w:w="567" w:type="dxa"/>
            <w:tcBorders>
              <w:left w:val="nil"/>
            </w:tcBorders>
          </w:tcPr>
          <w:p w:rsidR="00BA28F5" w:rsidRDefault="001856D0" w14:paraId="36F64DF6" w14:textId="77777777">
            <w:pPr>
              <w:jc w:val="right"/>
            </w:pPr>
            <w:r>
              <w:t xml:space="preserve"> </w:t>
            </w:r>
          </w:p>
        </w:tc>
      </w:tr>
      <w:tr w:rsidR="00BA28F5" w:rsidTr="62BB0D38" w14:paraId="4DF53C45" w14:textId="77777777">
        <w:tc>
          <w:tcPr>
            <w:tcW w:w="567" w:type="dxa"/>
          </w:tcPr>
          <w:p w:rsidR="00BA28F5" w:rsidRDefault="001856D0" w14:paraId="4D47C169" w14:textId="77777777">
            <w:r>
              <w:t>7</w:t>
            </w:r>
          </w:p>
        </w:tc>
        <w:tc>
          <w:tcPr>
            <w:tcW w:w="6521" w:type="dxa"/>
          </w:tcPr>
          <w:p w:rsidR="00BA28F5" w:rsidRDefault="001856D0" w14:paraId="54D3B3BB" w14:textId="49FE00FD">
            <w:r>
              <w:t>Wat zijn de consequenties voor de Nederlandse Staat van de aankondiging dat de Duitse staat slechts een 'deel' van TenneT Duitsland zal kopen en welke garanties zijn er dat Nederlands kapitaal niet alsnog weglekt naar de Duitse energietransitie?</w:t>
            </w:r>
          </w:p>
        </w:tc>
        <w:tc>
          <w:tcPr>
            <w:tcW w:w="850" w:type="dxa"/>
          </w:tcPr>
          <w:p w:rsidR="00BA28F5" w:rsidRDefault="00BA28F5" w14:paraId="58A2FDED" w14:textId="77777777">
            <w:pPr>
              <w:jc w:val="right"/>
            </w:pPr>
          </w:p>
        </w:tc>
        <w:tc>
          <w:tcPr>
            <w:tcW w:w="992" w:type="dxa"/>
          </w:tcPr>
          <w:p w:rsidR="00BA28F5" w:rsidRDefault="001856D0" w14:paraId="7FF443A3" w14:textId="77777777">
            <w:pPr>
              <w:jc w:val="right"/>
            </w:pPr>
            <w:r>
              <w:t>16</w:t>
            </w:r>
          </w:p>
        </w:tc>
        <w:tc>
          <w:tcPr>
            <w:tcW w:w="567" w:type="dxa"/>
            <w:tcBorders>
              <w:left w:val="nil"/>
            </w:tcBorders>
          </w:tcPr>
          <w:p w:rsidR="00BA28F5" w:rsidRDefault="001856D0" w14:paraId="58D3BC8C" w14:textId="77777777">
            <w:pPr>
              <w:jc w:val="right"/>
            </w:pPr>
            <w:r>
              <w:t xml:space="preserve"> </w:t>
            </w:r>
          </w:p>
        </w:tc>
      </w:tr>
      <w:tr w:rsidR="00BA28F5" w:rsidTr="62BB0D38" w14:paraId="022AC271" w14:textId="77777777">
        <w:tc>
          <w:tcPr>
            <w:tcW w:w="567" w:type="dxa"/>
          </w:tcPr>
          <w:p w:rsidR="00BA28F5" w:rsidRDefault="001856D0" w14:paraId="5416151B" w14:textId="77777777">
            <w:r>
              <w:t>8</w:t>
            </w:r>
          </w:p>
        </w:tc>
        <w:tc>
          <w:tcPr>
            <w:tcW w:w="6521" w:type="dxa"/>
          </w:tcPr>
          <w:p w:rsidR="00BA28F5" w:rsidRDefault="001856D0" w14:paraId="6E34982E" w14:textId="0D03819C">
            <w:r>
              <w:t>Kunt u nader toelichten waarom er een nieuwe garantie is verleend van 119 m</w:t>
            </w:r>
            <w:r w:rsidR="770238A4">
              <w:t>iljoen</w:t>
            </w:r>
            <w:r w:rsidR="001B1CEA">
              <w:t xml:space="preserve"> euro</w:t>
            </w:r>
            <w:r>
              <w:t xml:space="preserve"> aan EFSM?</w:t>
            </w:r>
          </w:p>
        </w:tc>
        <w:tc>
          <w:tcPr>
            <w:tcW w:w="850" w:type="dxa"/>
          </w:tcPr>
          <w:p w:rsidR="00BA28F5" w:rsidRDefault="00BA28F5" w14:paraId="72BF01B6" w14:textId="77777777">
            <w:pPr>
              <w:jc w:val="right"/>
            </w:pPr>
          </w:p>
        </w:tc>
        <w:tc>
          <w:tcPr>
            <w:tcW w:w="992" w:type="dxa"/>
          </w:tcPr>
          <w:p w:rsidR="00BA28F5" w:rsidRDefault="001856D0" w14:paraId="24B19DA0" w14:textId="77777777">
            <w:pPr>
              <w:jc w:val="right"/>
            </w:pPr>
            <w:r>
              <w:t>26</w:t>
            </w:r>
          </w:p>
        </w:tc>
        <w:tc>
          <w:tcPr>
            <w:tcW w:w="567" w:type="dxa"/>
            <w:tcBorders>
              <w:left w:val="nil"/>
            </w:tcBorders>
          </w:tcPr>
          <w:p w:rsidR="00BA28F5" w:rsidRDefault="001856D0" w14:paraId="4CF8DC5D" w14:textId="77777777">
            <w:pPr>
              <w:jc w:val="right"/>
            </w:pPr>
            <w:r>
              <w:t xml:space="preserve"> </w:t>
            </w:r>
          </w:p>
        </w:tc>
      </w:tr>
      <w:tr w:rsidR="00BA28F5" w:rsidTr="62BB0D38" w14:paraId="1D114D89" w14:textId="77777777">
        <w:tc>
          <w:tcPr>
            <w:tcW w:w="567" w:type="dxa"/>
          </w:tcPr>
          <w:p w:rsidR="00BA28F5" w:rsidRDefault="001856D0" w14:paraId="3D7216AF" w14:textId="77777777">
            <w:r>
              <w:t>9</w:t>
            </w:r>
          </w:p>
        </w:tc>
        <w:tc>
          <w:tcPr>
            <w:tcW w:w="6521" w:type="dxa"/>
          </w:tcPr>
          <w:p w:rsidR="00BA28F5" w:rsidRDefault="001856D0" w14:paraId="5CDD02CE" w14:textId="6A82E5F2">
            <w:r>
              <w:t>Kunt u nader toelichten waarom er een nieuwe garantie is verleend van 3,7 m</w:t>
            </w:r>
            <w:r w:rsidR="4FA0ECB6">
              <w:t>iljard</w:t>
            </w:r>
            <w:r w:rsidR="001B1CEA">
              <w:t xml:space="preserve"> euro</w:t>
            </w:r>
            <w:r>
              <w:t xml:space="preserve"> aan NGEU?</w:t>
            </w:r>
          </w:p>
        </w:tc>
        <w:tc>
          <w:tcPr>
            <w:tcW w:w="850" w:type="dxa"/>
          </w:tcPr>
          <w:p w:rsidR="00BA28F5" w:rsidRDefault="00BA28F5" w14:paraId="25C17167" w14:textId="77777777">
            <w:pPr>
              <w:jc w:val="right"/>
            </w:pPr>
          </w:p>
        </w:tc>
        <w:tc>
          <w:tcPr>
            <w:tcW w:w="992" w:type="dxa"/>
          </w:tcPr>
          <w:p w:rsidR="00BA28F5" w:rsidRDefault="001856D0" w14:paraId="09284AB9" w14:textId="77777777">
            <w:pPr>
              <w:jc w:val="right"/>
            </w:pPr>
            <w:r>
              <w:t>27</w:t>
            </w:r>
          </w:p>
        </w:tc>
        <w:tc>
          <w:tcPr>
            <w:tcW w:w="567" w:type="dxa"/>
            <w:tcBorders>
              <w:left w:val="nil"/>
            </w:tcBorders>
          </w:tcPr>
          <w:p w:rsidR="00BA28F5" w:rsidRDefault="001856D0" w14:paraId="69C74790" w14:textId="77777777">
            <w:pPr>
              <w:jc w:val="right"/>
            </w:pPr>
            <w:r>
              <w:t xml:space="preserve"> </w:t>
            </w:r>
          </w:p>
        </w:tc>
      </w:tr>
      <w:tr w:rsidR="00BA28F5" w:rsidTr="62BB0D38" w14:paraId="0C407712" w14:textId="77777777">
        <w:tc>
          <w:tcPr>
            <w:tcW w:w="567" w:type="dxa"/>
          </w:tcPr>
          <w:p w:rsidR="00BA28F5" w:rsidRDefault="001856D0" w14:paraId="3BD83BAA" w14:textId="77777777">
            <w:r>
              <w:t>10</w:t>
            </w:r>
          </w:p>
        </w:tc>
        <w:tc>
          <w:tcPr>
            <w:tcW w:w="6521" w:type="dxa"/>
          </w:tcPr>
          <w:p w:rsidR="00BA28F5" w:rsidRDefault="001856D0" w14:paraId="7175B9C1" w14:textId="07FD5BF8">
            <w:r>
              <w:t>Kunt u nader toelichten waarom er een nieuwe garantie is verleend van 204 m</w:t>
            </w:r>
            <w:r w:rsidR="124ADD06">
              <w:t>iljoen</w:t>
            </w:r>
            <w:r w:rsidR="001B1CEA">
              <w:t xml:space="preserve"> euro</w:t>
            </w:r>
            <w:r>
              <w:t xml:space="preserve"> aan de BoP-faciliteit?</w:t>
            </w:r>
          </w:p>
        </w:tc>
        <w:tc>
          <w:tcPr>
            <w:tcW w:w="850" w:type="dxa"/>
          </w:tcPr>
          <w:p w:rsidR="00BA28F5" w:rsidRDefault="00BA28F5" w14:paraId="4C640884" w14:textId="77777777">
            <w:pPr>
              <w:jc w:val="right"/>
            </w:pPr>
          </w:p>
        </w:tc>
        <w:tc>
          <w:tcPr>
            <w:tcW w:w="992" w:type="dxa"/>
          </w:tcPr>
          <w:p w:rsidR="00BA28F5" w:rsidRDefault="001856D0" w14:paraId="34A77CE8" w14:textId="77777777">
            <w:pPr>
              <w:jc w:val="right"/>
            </w:pPr>
            <w:r>
              <w:t>27</w:t>
            </w:r>
          </w:p>
        </w:tc>
        <w:tc>
          <w:tcPr>
            <w:tcW w:w="567" w:type="dxa"/>
            <w:tcBorders>
              <w:left w:val="nil"/>
            </w:tcBorders>
          </w:tcPr>
          <w:p w:rsidR="00BA28F5" w:rsidRDefault="001856D0" w14:paraId="186F98AA" w14:textId="77777777">
            <w:pPr>
              <w:jc w:val="right"/>
            </w:pPr>
            <w:r>
              <w:t xml:space="preserve"> </w:t>
            </w:r>
          </w:p>
        </w:tc>
      </w:tr>
      <w:tr w:rsidR="00BA28F5" w:rsidTr="62BB0D38" w14:paraId="05D44FDF" w14:textId="77777777">
        <w:tc>
          <w:tcPr>
            <w:tcW w:w="567" w:type="dxa"/>
          </w:tcPr>
          <w:p w:rsidR="00BA28F5" w:rsidRDefault="001856D0" w14:paraId="2024A1B1" w14:textId="77777777">
            <w:r>
              <w:t>11</w:t>
            </w:r>
          </w:p>
        </w:tc>
        <w:tc>
          <w:tcPr>
            <w:tcW w:w="6521" w:type="dxa"/>
          </w:tcPr>
          <w:p w:rsidR="00BA28F5" w:rsidRDefault="001856D0" w14:paraId="385BC6F6" w14:textId="09A9544B">
            <w:r>
              <w:t>Kunt u nader toelichten waarom er een nieuwe garantie is verleend van 103 m</w:t>
            </w:r>
            <w:r w:rsidR="5B7D0F76">
              <w:t>iljoen</w:t>
            </w:r>
            <w:r w:rsidR="001B1CEA">
              <w:t xml:space="preserve"> euro</w:t>
            </w:r>
            <w:r>
              <w:t xml:space="preserve"> aan de Oekraïne faciliteit?</w:t>
            </w:r>
          </w:p>
        </w:tc>
        <w:tc>
          <w:tcPr>
            <w:tcW w:w="850" w:type="dxa"/>
          </w:tcPr>
          <w:p w:rsidR="00BA28F5" w:rsidRDefault="00BA28F5" w14:paraId="33ECA608" w14:textId="77777777">
            <w:pPr>
              <w:jc w:val="right"/>
            </w:pPr>
          </w:p>
        </w:tc>
        <w:tc>
          <w:tcPr>
            <w:tcW w:w="992" w:type="dxa"/>
          </w:tcPr>
          <w:p w:rsidR="00BA28F5" w:rsidRDefault="001856D0" w14:paraId="18AA5282" w14:textId="77777777">
            <w:pPr>
              <w:jc w:val="right"/>
            </w:pPr>
            <w:r>
              <w:t>27</w:t>
            </w:r>
          </w:p>
        </w:tc>
        <w:tc>
          <w:tcPr>
            <w:tcW w:w="567" w:type="dxa"/>
            <w:tcBorders>
              <w:left w:val="nil"/>
            </w:tcBorders>
          </w:tcPr>
          <w:p w:rsidR="00BA28F5" w:rsidRDefault="001856D0" w14:paraId="592BF148" w14:textId="77777777">
            <w:pPr>
              <w:jc w:val="right"/>
            </w:pPr>
            <w:r>
              <w:t xml:space="preserve"> </w:t>
            </w:r>
          </w:p>
        </w:tc>
      </w:tr>
      <w:tr w:rsidR="00BA28F5" w:rsidTr="62BB0D38" w14:paraId="633B40EF" w14:textId="77777777">
        <w:tc>
          <w:tcPr>
            <w:tcW w:w="567" w:type="dxa"/>
          </w:tcPr>
          <w:p w:rsidR="00BA28F5" w:rsidRDefault="001856D0" w14:paraId="3D08C307" w14:textId="77777777">
            <w:r>
              <w:t>12</w:t>
            </w:r>
          </w:p>
        </w:tc>
        <w:tc>
          <w:tcPr>
            <w:tcW w:w="6521" w:type="dxa"/>
          </w:tcPr>
          <w:p w:rsidR="00BA28F5" w:rsidRDefault="001856D0" w14:paraId="142EB30B" w14:textId="0BE7413C">
            <w:r>
              <w:t>Waarom is er voor 69,9 m</w:t>
            </w:r>
            <w:r w:rsidR="1E308BAB">
              <w:t>iljard</w:t>
            </w:r>
            <w:r w:rsidR="001B1CEA">
              <w:t xml:space="preserve"> euro</w:t>
            </w:r>
            <w:r>
              <w:t xml:space="preserve"> aan nieuwe garanties verleend? Was het </w:t>
            </w:r>
            <w:r>
              <w:lastRenderedPageBreak/>
              <w:t>niet de bedoeling om de garanties af te bouwen</w:t>
            </w:r>
            <w:r w:rsidR="206CC58D">
              <w:t>,</w:t>
            </w:r>
            <w:r w:rsidR="001B1CEA">
              <w:t xml:space="preserve"> danwel</w:t>
            </w:r>
            <w:r>
              <w:t xml:space="preserve"> zo veel mogelijk te beperken?</w:t>
            </w:r>
          </w:p>
        </w:tc>
        <w:tc>
          <w:tcPr>
            <w:tcW w:w="850" w:type="dxa"/>
          </w:tcPr>
          <w:p w:rsidR="00BA28F5" w:rsidRDefault="00BA28F5" w14:paraId="5E977C1E" w14:textId="77777777">
            <w:pPr>
              <w:jc w:val="right"/>
            </w:pPr>
          </w:p>
        </w:tc>
        <w:tc>
          <w:tcPr>
            <w:tcW w:w="992" w:type="dxa"/>
          </w:tcPr>
          <w:p w:rsidR="00BA28F5" w:rsidRDefault="001856D0" w14:paraId="748183E8" w14:textId="77777777">
            <w:pPr>
              <w:jc w:val="right"/>
            </w:pPr>
            <w:r>
              <w:t>28</w:t>
            </w:r>
          </w:p>
        </w:tc>
        <w:tc>
          <w:tcPr>
            <w:tcW w:w="567" w:type="dxa"/>
            <w:tcBorders>
              <w:left w:val="nil"/>
            </w:tcBorders>
          </w:tcPr>
          <w:p w:rsidR="00BA28F5" w:rsidRDefault="001856D0" w14:paraId="27AE4289" w14:textId="77777777">
            <w:pPr>
              <w:jc w:val="right"/>
            </w:pPr>
            <w:r>
              <w:t xml:space="preserve"> </w:t>
            </w:r>
          </w:p>
        </w:tc>
      </w:tr>
      <w:tr w:rsidR="00BA28F5" w:rsidTr="62BB0D38" w14:paraId="598AD3B2" w14:textId="77777777">
        <w:tc>
          <w:tcPr>
            <w:tcW w:w="567" w:type="dxa"/>
          </w:tcPr>
          <w:p w:rsidR="00BA28F5" w:rsidRDefault="001856D0" w14:paraId="7336EF62" w14:textId="77777777">
            <w:r>
              <w:t>13</w:t>
            </w:r>
          </w:p>
        </w:tc>
        <w:tc>
          <w:tcPr>
            <w:tcW w:w="6521" w:type="dxa"/>
          </w:tcPr>
          <w:p w:rsidR="00BA28F5" w:rsidRDefault="001856D0" w14:paraId="1D8A6549" w14:textId="665FC908">
            <w:r>
              <w:t xml:space="preserve">Wat zijn de exacte financiële risico’s voor de Nederlandse staat met betrekking tot de nieuwe garantie van 15,3 </w:t>
            </w:r>
            <w:r w:rsidR="001B1CEA">
              <w:t>m</w:t>
            </w:r>
            <w:r w:rsidR="131F87CD">
              <w:t>iljard</w:t>
            </w:r>
            <w:r>
              <w:t xml:space="preserve"> euro voor het Europese ‘Security Action for Europe’-instrument (SAFE) en waarom is hiervoor gekozen binnen de bestaande headroom van de Europese begroting?</w:t>
            </w:r>
          </w:p>
        </w:tc>
        <w:tc>
          <w:tcPr>
            <w:tcW w:w="850" w:type="dxa"/>
          </w:tcPr>
          <w:p w:rsidR="00BA28F5" w:rsidRDefault="00BA28F5" w14:paraId="615C5D89" w14:textId="77777777">
            <w:pPr>
              <w:jc w:val="right"/>
            </w:pPr>
          </w:p>
        </w:tc>
        <w:tc>
          <w:tcPr>
            <w:tcW w:w="992" w:type="dxa"/>
          </w:tcPr>
          <w:p w:rsidR="00BA28F5" w:rsidRDefault="001856D0" w14:paraId="2F7D3D91" w14:textId="77777777">
            <w:pPr>
              <w:jc w:val="right"/>
            </w:pPr>
            <w:r>
              <w:t>33</w:t>
            </w:r>
          </w:p>
        </w:tc>
        <w:tc>
          <w:tcPr>
            <w:tcW w:w="567" w:type="dxa"/>
            <w:tcBorders>
              <w:left w:val="nil"/>
            </w:tcBorders>
          </w:tcPr>
          <w:p w:rsidR="00BA28F5" w:rsidRDefault="001856D0" w14:paraId="72AFB39F" w14:textId="77777777">
            <w:pPr>
              <w:jc w:val="right"/>
            </w:pPr>
            <w:r>
              <w:t xml:space="preserve"> </w:t>
            </w:r>
          </w:p>
        </w:tc>
      </w:tr>
      <w:tr w:rsidR="00BA28F5" w:rsidTr="62BB0D38" w14:paraId="408DD133" w14:textId="77777777">
        <w:tc>
          <w:tcPr>
            <w:tcW w:w="567" w:type="dxa"/>
          </w:tcPr>
          <w:p w:rsidR="00BA28F5" w:rsidRDefault="001856D0" w14:paraId="3DE83419" w14:textId="77777777">
            <w:r>
              <w:t>14</w:t>
            </w:r>
          </w:p>
        </w:tc>
        <w:tc>
          <w:tcPr>
            <w:tcW w:w="6521" w:type="dxa"/>
          </w:tcPr>
          <w:p w:rsidR="00BA28F5" w:rsidRDefault="001856D0" w14:paraId="10237428" w14:textId="4AE7C553">
            <w:r>
              <w:t xml:space="preserve">Hoe verklaart </w:t>
            </w:r>
            <w:r w:rsidR="001B1CEA">
              <w:t>u</w:t>
            </w:r>
            <w:r>
              <w:t xml:space="preserve"> de totale onderuitputting van ruim 503 </w:t>
            </w:r>
            <w:r w:rsidR="001B1CEA">
              <w:t>m</w:t>
            </w:r>
            <w:r w:rsidR="78B8DB23">
              <w:t>iljoen e</w:t>
            </w:r>
            <w:r>
              <w:t>uro</w:t>
            </w:r>
            <w:r w:rsidR="001B1CEA">
              <w:t xml:space="preserve"> </w:t>
            </w:r>
            <w:r>
              <w:t xml:space="preserve">en in hoeverre is de forse onderuitputting bij Toeslagen Herstel (390,6 </w:t>
            </w:r>
            <w:r w:rsidR="00107016">
              <w:t>m</w:t>
            </w:r>
            <w:r w:rsidR="75BDAB19">
              <w:t>iljoen</w:t>
            </w:r>
            <w:r>
              <w:t xml:space="preserve"> euro) een teken dat de ramingen onrealistisch hoog waren of de uitvoering simpelweg te traag verloopt?</w:t>
            </w:r>
          </w:p>
        </w:tc>
        <w:tc>
          <w:tcPr>
            <w:tcW w:w="850" w:type="dxa"/>
          </w:tcPr>
          <w:p w:rsidR="00BA28F5" w:rsidRDefault="00BA28F5" w14:paraId="3B2BEA8A" w14:textId="77777777">
            <w:pPr>
              <w:jc w:val="right"/>
            </w:pPr>
          </w:p>
        </w:tc>
        <w:tc>
          <w:tcPr>
            <w:tcW w:w="992" w:type="dxa"/>
          </w:tcPr>
          <w:p w:rsidR="00BA28F5" w:rsidRDefault="001856D0" w14:paraId="1ED178F7" w14:textId="77777777">
            <w:pPr>
              <w:jc w:val="right"/>
            </w:pPr>
            <w:r>
              <w:t>39</w:t>
            </w:r>
          </w:p>
        </w:tc>
        <w:tc>
          <w:tcPr>
            <w:tcW w:w="567" w:type="dxa"/>
            <w:tcBorders>
              <w:left w:val="nil"/>
            </w:tcBorders>
          </w:tcPr>
          <w:p w:rsidR="00BA28F5" w:rsidRDefault="001856D0" w14:paraId="651A647C" w14:textId="77777777">
            <w:pPr>
              <w:jc w:val="right"/>
            </w:pPr>
            <w:r>
              <w:t xml:space="preserve"> </w:t>
            </w:r>
          </w:p>
        </w:tc>
      </w:tr>
      <w:tr w:rsidR="00BA28F5" w:rsidTr="62BB0D38" w14:paraId="206DDDEB" w14:textId="77777777">
        <w:tc>
          <w:tcPr>
            <w:tcW w:w="567" w:type="dxa"/>
          </w:tcPr>
          <w:p w:rsidR="00BA28F5" w:rsidRDefault="001856D0" w14:paraId="1B9F5770" w14:textId="77777777">
            <w:r>
              <w:t>15</w:t>
            </w:r>
          </w:p>
        </w:tc>
        <w:tc>
          <w:tcPr>
            <w:tcW w:w="6521" w:type="dxa"/>
          </w:tcPr>
          <w:p w:rsidR="00BA28F5" w:rsidRDefault="001856D0" w14:paraId="4AEA2938" w14:textId="624F3E06">
            <w:r>
              <w:t xml:space="preserve">De herstelkosten voor de Wet tegenbewijsregeling box 3 worden geraamd op 12,4 </w:t>
            </w:r>
            <w:r w:rsidR="00107016">
              <w:t>m</w:t>
            </w:r>
            <w:r w:rsidR="757D53E7">
              <w:t>iljard euro: kunt u</w:t>
            </w:r>
            <w:r>
              <w:t xml:space="preserve"> garanderen dat deze enorme derving van belastinginkomsten niet wordt afgewenteld op de werkende burger?</w:t>
            </w:r>
          </w:p>
        </w:tc>
        <w:tc>
          <w:tcPr>
            <w:tcW w:w="850" w:type="dxa"/>
          </w:tcPr>
          <w:p w:rsidR="00BA28F5" w:rsidRDefault="00BA28F5" w14:paraId="143C38C4" w14:textId="77777777">
            <w:pPr>
              <w:jc w:val="right"/>
            </w:pPr>
          </w:p>
        </w:tc>
        <w:tc>
          <w:tcPr>
            <w:tcW w:w="992" w:type="dxa"/>
          </w:tcPr>
          <w:p w:rsidR="00BA28F5" w:rsidRDefault="001856D0" w14:paraId="655A6E80" w14:textId="77777777">
            <w:pPr>
              <w:jc w:val="right"/>
            </w:pPr>
            <w:r>
              <w:t>42</w:t>
            </w:r>
          </w:p>
        </w:tc>
        <w:tc>
          <w:tcPr>
            <w:tcW w:w="567" w:type="dxa"/>
            <w:tcBorders>
              <w:left w:val="nil"/>
            </w:tcBorders>
          </w:tcPr>
          <w:p w:rsidR="00BA28F5" w:rsidRDefault="001856D0" w14:paraId="594E0049" w14:textId="77777777">
            <w:pPr>
              <w:jc w:val="right"/>
            </w:pPr>
            <w:r>
              <w:t xml:space="preserve"> </w:t>
            </w:r>
          </w:p>
        </w:tc>
      </w:tr>
      <w:tr w:rsidR="00BA28F5" w:rsidTr="62BB0D38" w14:paraId="78EA738A" w14:textId="77777777">
        <w:tc>
          <w:tcPr>
            <w:tcW w:w="567" w:type="dxa"/>
          </w:tcPr>
          <w:p w:rsidR="00BA28F5" w:rsidRDefault="001856D0" w14:paraId="31E73B57" w14:textId="77777777">
            <w:r>
              <w:t>16</w:t>
            </w:r>
          </w:p>
        </w:tc>
        <w:tc>
          <w:tcPr>
            <w:tcW w:w="6521" w:type="dxa"/>
          </w:tcPr>
          <w:p w:rsidR="00BA28F5" w:rsidRDefault="00107016" w14:paraId="0EDC5093" w14:textId="0DCA0586">
            <w:r>
              <w:t>Kunt u</w:t>
            </w:r>
            <w:r w:rsidR="001856D0">
              <w:t xml:space="preserve"> uitleggen waarom Nederland in 2025 een bedrag van 45,7 </w:t>
            </w:r>
            <w:r>
              <w:t>m</w:t>
            </w:r>
            <w:r w:rsidR="49BC1E08">
              <w:t>illjoen</w:t>
            </w:r>
            <w:r w:rsidR="001856D0">
              <w:t xml:space="preserve"> euro aan vertragingsrente heeft moeten betalen aan de Europese Commissie vanwege nabetalingen van invoerrechten (Traditionele Eigen Middelen)?</w:t>
            </w:r>
          </w:p>
        </w:tc>
        <w:tc>
          <w:tcPr>
            <w:tcW w:w="850" w:type="dxa"/>
          </w:tcPr>
          <w:p w:rsidR="00BA28F5" w:rsidRDefault="00BA28F5" w14:paraId="350BD452" w14:textId="77777777">
            <w:pPr>
              <w:jc w:val="right"/>
            </w:pPr>
          </w:p>
        </w:tc>
        <w:tc>
          <w:tcPr>
            <w:tcW w:w="992" w:type="dxa"/>
          </w:tcPr>
          <w:p w:rsidR="00BA28F5" w:rsidRDefault="001856D0" w14:paraId="21DD1B1E" w14:textId="77777777">
            <w:pPr>
              <w:jc w:val="right"/>
            </w:pPr>
            <w:r>
              <w:t>93</w:t>
            </w:r>
          </w:p>
        </w:tc>
        <w:tc>
          <w:tcPr>
            <w:tcW w:w="567" w:type="dxa"/>
            <w:tcBorders>
              <w:left w:val="nil"/>
            </w:tcBorders>
          </w:tcPr>
          <w:p w:rsidR="00BA28F5" w:rsidRDefault="001856D0" w14:paraId="3A6612C2" w14:textId="77777777">
            <w:pPr>
              <w:jc w:val="right"/>
            </w:pPr>
            <w:r>
              <w:t xml:space="preserve"> </w:t>
            </w:r>
          </w:p>
        </w:tc>
      </w:tr>
      <w:tr w:rsidR="00BA28F5" w:rsidTr="62BB0D38" w14:paraId="3B9077CF" w14:textId="77777777">
        <w:tc>
          <w:tcPr>
            <w:tcW w:w="567" w:type="dxa"/>
          </w:tcPr>
          <w:p w:rsidR="00BA28F5" w:rsidRDefault="001856D0" w14:paraId="555F77E2" w14:textId="77777777">
            <w:r>
              <w:t>17</w:t>
            </w:r>
          </w:p>
        </w:tc>
        <w:tc>
          <w:tcPr>
            <w:tcW w:w="6521" w:type="dxa"/>
          </w:tcPr>
          <w:p w:rsidR="00BA28F5" w:rsidRDefault="001856D0" w14:paraId="4A86F197" w14:textId="6FA56801">
            <w:r>
              <w:t xml:space="preserve">Hoe verklaart </w:t>
            </w:r>
            <w:r w:rsidR="00107016">
              <w:t>u</w:t>
            </w:r>
            <w:r>
              <w:t xml:space="preserve"> de forse overschrijding van de tolerantiegrens bij de huurtoeslag (214,6 </w:t>
            </w:r>
            <w:r w:rsidR="00107016">
              <w:t>m</w:t>
            </w:r>
            <w:r w:rsidR="2B435872">
              <w:t>iljoen</w:t>
            </w:r>
            <w:r>
              <w:t xml:space="preserve"> euro aan fouten en onzekerheden) en waarom is er nog steeds onvoldoende informatie beschikbaar bij particuliere verhuurders om dit te controleren?</w:t>
            </w:r>
          </w:p>
        </w:tc>
        <w:tc>
          <w:tcPr>
            <w:tcW w:w="850" w:type="dxa"/>
          </w:tcPr>
          <w:p w:rsidR="00BA28F5" w:rsidRDefault="00BA28F5" w14:paraId="35EF1B8D" w14:textId="77777777">
            <w:pPr>
              <w:jc w:val="right"/>
            </w:pPr>
          </w:p>
        </w:tc>
        <w:tc>
          <w:tcPr>
            <w:tcW w:w="992" w:type="dxa"/>
          </w:tcPr>
          <w:p w:rsidR="00BA28F5" w:rsidRDefault="001856D0" w14:paraId="3100C711" w14:textId="77777777">
            <w:pPr>
              <w:jc w:val="right"/>
            </w:pPr>
            <w:r>
              <w:t>120</w:t>
            </w:r>
          </w:p>
        </w:tc>
        <w:tc>
          <w:tcPr>
            <w:tcW w:w="567" w:type="dxa"/>
            <w:tcBorders>
              <w:left w:val="nil"/>
            </w:tcBorders>
          </w:tcPr>
          <w:p w:rsidR="00BA28F5" w:rsidRDefault="001856D0" w14:paraId="05E19EA9" w14:textId="77777777">
            <w:pPr>
              <w:jc w:val="right"/>
            </w:pPr>
            <w:r>
              <w:t xml:space="preserve"> </w:t>
            </w:r>
          </w:p>
        </w:tc>
      </w:tr>
      <w:tr w:rsidR="00BA28F5" w:rsidTr="62BB0D38" w14:paraId="4B137093" w14:textId="77777777">
        <w:tc>
          <w:tcPr>
            <w:tcW w:w="567" w:type="dxa"/>
          </w:tcPr>
          <w:p w:rsidR="00BA28F5" w:rsidRDefault="001856D0" w14:paraId="305125CE" w14:textId="77777777">
            <w:r>
              <w:t>18</w:t>
            </w:r>
          </w:p>
        </w:tc>
        <w:tc>
          <w:tcPr>
            <w:tcW w:w="6521" w:type="dxa"/>
          </w:tcPr>
          <w:p w:rsidR="00BA28F5" w:rsidRDefault="001856D0" w14:paraId="34240F00" w14:textId="7A27CDEE">
            <w:r>
              <w:t>Waarom is een signaal uit 2020 over het bestaan van een verzendadministratie (KOT-database) destijds niet opgevolgd en in hoeverre heeft dit geleid tot onterechte compensatie</w:t>
            </w:r>
            <w:r w:rsidR="00107016">
              <w:t>-</w:t>
            </w:r>
            <w:r>
              <w:t>uitkeringen die nu als 'onzeker' in de boeken staan?</w:t>
            </w:r>
          </w:p>
        </w:tc>
        <w:tc>
          <w:tcPr>
            <w:tcW w:w="850" w:type="dxa"/>
          </w:tcPr>
          <w:p w:rsidR="00BA28F5" w:rsidRDefault="00BA28F5" w14:paraId="6660518F" w14:textId="77777777">
            <w:pPr>
              <w:jc w:val="right"/>
            </w:pPr>
          </w:p>
        </w:tc>
        <w:tc>
          <w:tcPr>
            <w:tcW w:w="992" w:type="dxa"/>
          </w:tcPr>
          <w:p w:rsidR="00BA28F5" w:rsidRDefault="001856D0" w14:paraId="1825BDA2" w14:textId="77777777">
            <w:pPr>
              <w:jc w:val="right"/>
            </w:pPr>
            <w:r>
              <w:t>121</w:t>
            </w:r>
          </w:p>
        </w:tc>
        <w:tc>
          <w:tcPr>
            <w:tcW w:w="567" w:type="dxa"/>
            <w:tcBorders>
              <w:left w:val="nil"/>
            </w:tcBorders>
          </w:tcPr>
          <w:p w:rsidR="00BA28F5" w:rsidRDefault="001856D0" w14:paraId="7AE8ABCA" w14:textId="77777777">
            <w:pPr>
              <w:jc w:val="right"/>
            </w:pPr>
            <w:r>
              <w:t xml:space="preserve">122 </w:t>
            </w:r>
          </w:p>
        </w:tc>
      </w:tr>
      <w:tr w:rsidR="00BA28F5" w:rsidTr="62BB0D38" w14:paraId="30048068" w14:textId="77777777">
        <w:tc>
          <w:tcPr>
            <w:tcW w:w="567" w:type="dxa"/>
          </w:tcPr>
          <w:p w:rsidR="00BA28F5" w:rsidRDefault="001856D0" w14:paraId="43D28B8C" w14:textId="77777777">
            <w:r>
              <w:t>19</w:t>
            </w:r>
          </w:p>
        </w:tc>
        <w:tc>
          <w:tcPr>
            <w:tcW w:w="6521" w:type="dxa"/>
          </w:tcPr>
          <w:p w:rsidR="00BA28F5" w:rsidRDefault="001856D0" w14:paraId="7F405305" w14:textId="5ECAA459">
            <w:r>
              <w:t>De Algemene Rekenkamer waarschuwt opnieuw voor continuïteitsrisico’s door verouderde IT-systemen</w:t>
            </w:r>
            <w:r w:rsidR="4DF040CC">
              <w:t>:</w:t>
            </w:r>
            <w:r>
              <w:t xml:space="preserve"> </w:t>
            </w:r>
            <w:r w:rsidR="00107016">
              <w:t>kunt u</w:t>
            </w:r>
            <w:r>
              <w:t xml:space="preserve"> per belastingsoort (Inkomensheffing, Loonheffing, Omzetbelasting) aangeven wat de definitieve deadline is voor het vervangen van deze kwetsbare systemen?</w:t>
            </w:r>
          </w:p>
        </w:tc>
        <w:tc>
          <w:tcPr>
            <w:tcW w:w="850" w:type="dxa"/>
          </w:tcPr>
          <w:p w:rsidR="00BA28F5" w:rsidRDefault="00BA28F5" w14:paraId="61BDECDD" w14:textId="77777777">
            <w:pPr>
              <w:jc w:val="right"/>
            </w:pPr>
          </w:p>
        </w:tc>
        <w:tc>
          <w:tcPr>
            <w:tcW w:w="992" w:type="dxa"/>
          </w:tcPr>
          <w:p w:rsidR="00BA28F5" w:rsidRDefault="001856D0" w14:paraId="4E34B27A" w14:textId="77777777">
            <w:pPr>
              <w:jc w:val="right"/>
            </w:pPr>
            <w:r>
              <w:t>124</w:t>
            </w:r>
          </w:p>
        </w:tc>
        <w:tc>
          <w:tcPr>
            <w:tcW w:w="567" w:type="dxa"/>
            <w:tcBorders>
              <w:left w:val="nil"/>
            </w:tcBorders>
          </w:tcPr>
          <w:p w:rsidR="00BA28F5" w:rsidRDefault="001856D0" w14:paraId="56AFC424" w14:textId="77777777">
            <w:pPr>
              <w:jc w:val="right"/>
            </w:pPr>
            <w:r>
              <w:t xml:space="preserve"> </w:t>
            </w:r>
          </w:p>
        </w:tc>
      </w:tr>
      <w:tr w:rsidR="00BA28F5" w:rsidTr="62BB0D38" w14:paraId="7C4F4CFE" w14:textId="77777777">
        <w:tc>
          <w:tcPr>
            <w:tcW w:w="567" w:type="dxa"/>
          </w:tcPr>
          <w:p w:rsidR="00BA28F5" w:rsidRDefault="001856D0" w14:paraId="37BEDBC4" w14:textId="77777777">
            <w:r>
              <w:t>20</w:t>
            </w:r>
          </w:p>
        </w:tc>
        <w:tc>
          <w:tcPr>
            <w:tcW w:w="6521" w:type="dxa"/>
          </w:tcPr>
          <w:p w:rsidR="00BA28F5" w:rsidRDefault="001856D0" w14:paraId="3001BAB5" w14:textId="164AFAE6">
            <w:r>
              <w:t xml:space="preserve">Hoe beoordeelt </w:t>
            </w:r>
            <w:r w:rsidR="00107016">
              <w:t>u</w:t>
            </w:r>
            <w:r>
              <w:t xml:space="preserve"> het feit dat het nalevingstekort bij het MKB wordt geschat op 5,18 </w:t>
            </w:r>
            <w:r w:rsidR="00107016">
              <w:t>m</w:t>
            </w:r>
            <w:r w:rsidR="42C29DD7">
              <w:t>iljard</w:t>
            </w:r>
            <w:r>
              <w:t xml:space="preserve"> euro (5,5</w:t>
            </w:r>
            <w:r w:rsidR="0D483CA4">
              <w:t xml:space="preserve"> procent</w:t>
            </w:r>
            <w:r>
              <w:t xml:space="preserve"> van het fiscaal belang) en welke extra stappen worden ondernomen om dit miljardengat te dichten zonder de bonafide ondernemer extra te belasten?</w:t>
            </w:r>
          </w:p>
        </w:tc>
        <w:tc>
          <w:tcPr>
            <w:tcW w:w="850" w:type="dxa"/>
          </w:tcPr>
          <w:p w:rsidR="00BA28F5" w:rsidRDefault="00BA28F5" w14:paraId="4D6476B0" w14:textId="77777777">
            <w:pPr>
              <w:jc w:val="right"/>
            </w:pPr>
          </w:p>
        </w:tc>
        <w:tc>
          <w:tcPr>
            <w:tcW w:w="992" w:type="dxa"/>
          </w:tcPr>
          <w:p w:rsidR="00BA28F5" w:rsidRDefault="001856D0" w14:paraId="222A1BFA" w14:textId="77777777">
            <w:pPr>
              <w:jc w:val="right"/>
            </w:pPr>
            <w:r>
              <w:t>127</w:t>
            </w:r>
          </w:p>
        </w:tc>
        <w:tc>
          <w:tcPr>
            <w:tcW w:w="567" w:type="dxa"/>
            <w:tcBorders>
              <w:left w:val="nil"/>
            </w:tcBorders>
          </w:tcPr>
          <w:p w:rsidR="00BA28F5" w:rsidRDefault="001856D0" w14:paraId="447FF7B9" w14:textId="77777777">
            <w:pPr>
              <w:jc w:val="right"/>
            </w:pPr>
            <w:r>
              <w:t xml:space="preserve"> </w:t>
            </w:r>
          </w:p>
        </w:tc>
      </w:tr>
      <w:tr w:rsidR="00BA28F5" w:rsidTr="62BB0D38" w14:paraId="7CA498E7" w14:textId="77777777">
        <w:tc>
          <w:tcPr>
            <w:tcW w:w="567" w:type="dxa"/>
          </w:tcPr>
          <w:p w:rsidR="00BA28F5" w:rsidRDefault="001856D0" w14:paraId="0949B5D8" w14:textId="77777777">
            <w:r>
              <w:t>21</w:t>
            </w:r>
          </w:p>
        </w:tc>
        <w:tc>
          <w:tcPr>
            <w:tcW w:w="6521" w:type="dxa"/>
          </w:tcPr>
          <w:p w:rsidR="00BA28F5" w:rsidRDefault="001856D0" w14:paraId="6BD1E5D3" w14:textId="3B868263">
            <w:r>
              <w:t xml:space="preserve">Hoe reageert </w:t>
            </w:r>
            <w:r w:rsidR="00107016">
              <w:t>u</w:t>
            </w:r>
            <w:r>
              <w:t xml:space="preserve"> op het afkeurende oordeel van de Auditdienst Rijk over de privacy-audit (Wet politiegegevens) bij de FIOD en welke maatregelen zijn genomen om te voorkomen dat strafrechtelijke onderzoeken hierdoor juridisch onder vuur komen te liggen?</w:t>
            </w:r>
          </w:p>
        </w:tc>
        <w:tc>
          <w:tcPr>
            <w:tcW w:w="850" w:type="dxa"/>
          </w:tcPr>
          <w:p w:rsidR="00BA28F5" w:rsidRDefault="00BA28F5" w14:paraId="6E6ABEFE" w14:textId="77777777">
            <w:pPr>
              <w:jc w:val="right"/>
            </w:pPr>
          </w:p>
        </w:tc>
        <w:tc>
          <w:tcPr>
            <w:tcW w:w="992" w:type="dxa"/>
          </w:tcPr>
          <w:p w:rsidR="00BA28F5" w:rsidRDefault="001856D0" w14:paraId="102E137B" w14:textId="77777777">
            <w:pPr>
              <w:jc w:val="right"/>
            </w:pPr>
            <w:r>
              <w:t>129</w:t>
            </w:r>
          </w:p>
        </w:tc>
        <w:tc>
          <w:tcPr>
            <w:tcW w:w="567" w:type="dxa"/>
            <w:tcBorders>
              <w:left w:val="nil"/>
            </w:tcBorders>
          </w:tcPr>
          <w:p w:rsidR="00BA28F5" w:rsidRDefault="001856D0" w14:paraId="52AE1D3D" w14:textId="77777777">
            <w:pPr>
              <w:jc w:val="right"/>
            </w:pPr>
            <w:r>
              <w:t xml:space="preserve"> </w:t>
            </w:r>
          </w:p>
        </w:tc>
      </w:tr>
      <w:tr w:rsidR="00BA28F5" w:rsidTr="62BB0D38" w14:paraId="17947388" w14:textId="77777777">
        <w:tc>
          <w:tcPr>
            <w:tcW w:w="567" w:type="dxa"/>
          </w:tcPr>
          <w:p w:rsidR="00BA28F5" w:rsidRDefault="001856D0" w14:paraId="518ADDC3" w14:textId="77777777">
            <w:r>
              <w:t>22</w:t>
            </w:r>
          </w:p>
        </w:tc>
        <w:tc>
          <w:tcPr>
            <w:tcW w:w="6521" w:type="dxa"/>
          </w:tcPr>
          <w:p w:rsidR="00BA28F5" w:rsidRDefault="00107016" w14:paraId="576A67D1" w14:textId="2E70740B">
            <w:r>
              <w:t>Kunt u</w:t>
            </w:r>
            <w:r w:rsidR="001856D0">
              <w:t xml:space="preserve"> toelichten waarom de uitgaven voor externe inhuur in 2025 met 14,8</w:t>
            </w:r>
            <w:r w:rsidR="5251C1E7">
              <w:t xml:space="preserve"> procent</w:t>
            </w:r>
            <w:r w:rsidR="001856D0">
              <w:t xml:space="preserve"> nog steeds fors boven de eigen Roemer</w:t>
            </w:r>
            <w:r>
              <w:t>-</w:t>
            </w:r>
            <w:r w:rsidR="001856D0">
              <w:t xml:space="preserve">norm van </w:t>
            </w:r>
            <w:r w:rsidR="1D210789">
              <w:t>tien procent</w:t>
            </w:r>
            <w:r w:rsidR="001856D0">
              <w:t xml:space="preserve"> liggen en waarom specifiek bij de Belastingdienst het maximumtarief opnieuw is overschreden?</w:t>
            </w:r>
          </w:p>
        </w:tc>
        <w:tc>
          <w:tcPr>
            <w:tcW w:w="850" w:type="dxa"/>
          </w:tcPr>
          <w:p w:rsidR="00BA28F5" w:rsidRDefault="00BA28F5" w14:paraId="281D9EEF" w14:textId="77777777">
            <w:pPr>
              <w:jc w:val="right"/>
            </w:pPr>
          </w:p>
        </w:tc>
        <w:tc>
          <w:tcPr>
            <w:tcW w:w="992" w:type="dxa"/>
          </w:tcPr>
          <w:p w:rsidR="00BA28F5" w:rsidRDefault="001856D0" w14:paraId="136700C8" w14:textId="77777777">
            <w:pPr>
              <w:jc w:val="right"/>
            </w:pPr>
            <w:r>
              <w:t>163</w:t>
            </w:r>
          </w:p>
        </w:tc>
        <w:tc>
          <w:tcPr>
            <w:tcW w:w="567" w:type="dxa"/>
            <w:tcBorders>
              <w:left w:val="nil"/>
            </w:tcBorders>
          </w:tcPr>
          <w:p w:rsidR="00BA28F5" w:rsidRDefault="001856D0" w14:paraId="7195B6D8" w14:textId="77777777">
            <w:pPr>
              <w:jc w:val="right"/>
            </w:pPr>
            <w:r>
              <w:t xml:space="preserve"> </w:t>
            </w:r>
          </w:p>
        </w:tc>
      </w:tr>
      <w:tr w:rsidR="00BA28F5" w:rsidTr="62BB0D38" w14:paraId="148364D9" w14:textId="77777777">
        <w:tc>
          <w:tcPr>
            <w:tcW w:w="567" w:type="dxa"/>
          </w:tcPr>
          <w:p w:rsidR="00BA28F5" w:rsidRDefault="001856D0" w14:paraId="3520F403" w14:textId="77777777">
            <w:r>
              <w:t>23</w:t>
            </w:r>
          </w:p>
        </w:tc>
        <w:tc>
          <w:tcPr>
            <w:tcW w:w="6521" w:type="dxa"/>
          </w:tcPr>
          <w:p w:rsidR="00BA28F5" w:rsidRDefault="001856D0" w14:paraId="4C3DD521" w14:textId="4D6958F2">
            <w:r>
              <w:t xml:space="preserve">Waarom is er in 2025 maar liefst 33,7 </w:t>
            </w:r>
            <w:r w:rsidR="00107016">
              <w:t>m</w:t>
            </w:r>
            <w:r w:rsidR="69C1216E">
              <w:t>iljoen</w:t>
            </w:r>
            <w:r>
              <w:t xml:space="preserve"> euro aan belastinggeld uitgegeven aan rentecompensatie voor EU-leningen aan Oekraïne en tot welke bedragen loopt deze jaarlijkse verplichting de komende jaren op?</w:t>
            </w:r>
          </w:p>
        </w:tc>
        <w:tc>
          <w:tcPr>
            <w:tcW w:w="850" w:type="dxa"/>
          </w:tcPr>
          <w:p w:rsidR="00BA28F5" w:rsidRDefault="00BA28F5" w14:paraId="7B263C1C" w14:textId="77777777">
            <w:pPr>
              <w:jc w:val="right"/>
            </w:pPr>
          </w:p>
        </w:tc>
        <w:tc>
          <w:tcPr>
            <w:tcW w:w="992" w:type="dxa"/>
          </w:tcPr>
          <w:p w:rsidR="00BA28F5" w:rsidRDefault="001856D0" w14:paraId="04DCF84F" w14:textId="77777777">
            <w:pPr>
              <w:jc w:val="right"/>
            </w:pPr>
            <w:r>
              <w:t>165</w:t>
            </w:r>
          </w:p>
        </w:tc>
        <w:tc>
          <w:tcPr>
            <w:tcW w:w="567" w:type="dxa"/>
            <w:tcBorders>
              <w:left w:val="nil"/>
            </w:tcBorders>
          </w:tcPr>
          <w:p w:rsidR="00BA28F5" w:rsidRDefault="001856D0" w14:paraId="2C2EA52C" w14:textId="77777777">
            <w:pPr>
              <w:jc w:val="right"/>
            </w:pPr>
            <w:r>
              <w:t xml:space="preserve"> </w:t>
            </w:r>
          </w:p>
        </w:tc>
      </w:tr>
    </w:tbl>
    <w:p w:rsidR="00BA28F5" w:rsidRDefault="00BA28F5" w14:paraId="0FC0A6D6" w14:textId="77777777"/>
    <w:sectPr w:rsidR="00BA28F5" w:rsidSect="00236F93">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B4D2" w14:textId="77777777" w:rsidR="002E6200" w:rsidRDefault="002E6200">
      <w:pPr>
        <w:spacing w:before="0" w:after="0"/>
      </w:pPr>
      <w:r>
        <w:separator/>
      </w:r>
    </w:p>
  </w:endnote>
  <w:endnote w:type="continuationSeparator" w:id="0">
    <w:p w14:paraId="3B355395" w14:textId="77777777" w:rsidR="002E6200" w:rsidRDefault="002E62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81B8" w14:textId="77777777" w:rsidR="00BA28F5" w:rsidRDefault="00BA28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3A34" w14:textId="77777777" w:rsidR="00BA28F5" w:rsidRDefault="001856D0">
    <w:pPr>
      <w:pStyle w:val="Voettekst"/>
    </w:pPr>
    <w:r>
      <w:t xml:space="preserve">Totaallijst feitelijke vragen Jaarverslag Ministerie van Financiën en Nationale Schuld 2025 (36945-IX-1)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NUMPAGES   \* MERGEFORMAT">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E06C" w14:textId="77777777" w:rsidR="00BA28F5" w:rsidRDefault="00BA28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0019" w14:textId="77777777" w:rsidR="002E6200" w:rsidRDefault="002E6200">
      <w:pPr>
        <w:spacing w:before="0" w:after="0"/>
      </w:pPr>
      <w:r>
        <w:separator/>
      </w:r>
    </w:p>
  </w:footnote>
  <w:footnote w:type="continuationSeparator" w:id="0">
    <w:p w14:paraId="049353B2" w14:textId="77777777" w:rsidR="002E6200" w:rsidRDefault="002E620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1B25" w14:textId="77777777" w:rsidR="00BA28F5" w:rsidRDefault="00BA28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F41E" w14:textId="77777777" w:rsidR="00BA28F5" w:rsidRDefault="00BA28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2446" w14:textId="77777777" w:rsidR="00BA28F5" w:rsidRDefault="00BA28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07016"/>
    <w:rsid w:val="0014707F"/>
    <w:rsid w:val="001856D0"/>
    <w:rsid w:val="001A47AF"/>
    <w:rsid w:val="001A56AB"/>
    <w:rsid w:val="001B1CEA"/>
    <w:rsid w:val="00236F93"/>
    <w:rsid w:val="002E6200"/>
    <w:rsid w:val="003D44DD"/>
    <w:rsid w:val="005543A7"/>
    <w:rsid w:val="005F1F2B"/>
    <w:rsid w:val="00894624"/>
    <w:rsid w:val="00A77C3E"/>
    <w:rsid w:val="00B915EC"/>
    <w:rsid w:val="00BA28F5"/>
    <w:rsid w:val="00C32017"/>
    <w:rsid w:val="00E7153D"/>
    <w:rsid w:val="00FF5B8C"/>
    <w:rsid w:val="058B0A0F"/>
    <w:rsid w:val="0D483CA4"/>
    <w:rsid w:val="124ADD06"/>
    <w:rsid w:val="131F87CD"/>
    <w:rsid w:val="1D210789"/>
    <w:rsid w:val="1E308BAB"/>
    <w:rsid w:val="206CC58D"/>
    <w:rsid w:val="2B435872"/>
    <w:rsid w:val="38E3512C"/>
    <w:rsid w:val="407DEC7E"/>
    <w:rsid w:val="42C29DD7"/>
    <w:rsid w:val="49BC1E08"/>
    <w:rsid w:val="4DF040CC"/>
    <w:rsid w:val="4FA0ECB6"/>
    <w:rsid w:val="5251C1E7"/>
    <w:rsid w:val="5263D576"/>
    <w:rsid w:val="5B7D0F76"/>
    <w:rsid w:val="5E7BF402"/>
    <w:rsid w:val="60ABB50D"/>
    <w:rsid w:val="62BB0D38"/>
    <w:rsid w:val="6612E5FD"/>
    <w:rsid w:val="69C1216E"/>
    <w:rsid w:val="757D53E7"/>
    <w:rsid w:val="75BDAB19"/>
    <w:rsid w:val="770238A4"/>
    <w:rsid w:val="78B8DB23"/>
    <w:rsid w:val="7EAF4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1F03D9"/>
  <w15:docId w15:val="{92D747D6-9849-4653-A3E5-1F2CB1CBE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874</ap:Words>
  <ap:Characters>4813</ap:Characters>
  <ap:DocSecurity>4</ap:DocSecurity>
  <ap:Lines>40</ap:Lines>
  <ap:Paragraphs>11</ap:Paragraphs>
  <ap:ScaleCrop>false</ap:ScaleCrop>
  <ap:LinksUpToDate>false</ap:LinksUpToDate>
  <ap:CharactersWithSpaces>5676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2026-05-27T14:40:00.0000000Z</dcterms:created>
  <dcterms:modified xsi:type="dcterms:W3CDTF">2026-05-27T14:40:00.0000000Z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0x01010040BB22957839204C85B21D4BCADBB660</vt:lpwstr>
  </property>
  <property fmtid="{D5CDD505-2E9C-101B-9397-08002B2CF9AE}" pid="3" name="_dlc_DocIdItemGuid">
    <vt:lpwstr>a3797563-dd61-4348-a97e-7f420e30dc76</vt:lpwstr>
  </property>
  <property fmtid="{D5CDD505-2E9C-101B-9397-08002B2CF9AE}" pid="4" name="MediaServiceImageTags">
    <vt:lpwstr/>
  </property>
</Properties>
</file>