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9AB" w:rsidP="003759AB" w:rsidRDefault="003759AB" w14:paraId="05FD7AB0" w14:textId="77777777">
      <w:pPr>
        <w:rPr>
          <w:b/>
        </w:rPr>
      </w:pPr>
      <w:r>
        <w:rPr>
          <w:b/>
        </w:rPr>
        <w:t xml:space="preserve">Lijst van vragen </w:t>
      </w:r>
    </w:p>
    <w:p w:rsidRPr="0090269A" w:rsidR="003759AB" w:rsidP="003759AB" w:rsidRDefault="003759AB" w14:paraId="5A790441" w14:textId="56197937">
      <w:r w:rsidRPr="0090269A">
        <w:t>De vaste commissie voor Onderwijs, Cultuur en Wetenschap heeft een aantal vragen voorgelegd aan de minister en staatssecretaris van Onderwijs, Cultuur en Wetenschap over het rapport </w:t>
      </w:r>
      <w:r>
        <w:t>‘</w:t>
      </w:r>
      <w:r w:rsidRPr="0090269A">
        <w:t>Resultaten verantwoordingsonderzoek 2025 bij het Ministerie van Onderwijs, Cultuur en Wetenschap</w:t>
      </w:r>
      <w:r>
        <w:t>’</w:t>
      </w:r>
      <w:r w:rsidRPr="0090269A">
        <w:t xml:space="preserve"> van de Algemene Rekenkamer bij het jaarverslag over het </w:t>
      </w:r>
      <w:r>
        <w:t>m</w:t>
      </w:r>
      <w:r w:rsidRPr="0090269A">
        <w:t xml:space="preserve">inisterie van Onderwijs, Cultuur en Wetenschap (36945-VII, nr. 2) d.d. </w:t>
      </w:r>
      <w:r>
        <w:t>20 mei</w:t>
      </w:r>
      <w:r w:rsidRPr="0090269A">
        <w:t xml:space="preserve"> 2026. </w:t>
      </w:r>
    </w:p>
    <w:p w:rsidR="003759AB" w:rsidP="003759AB" w:rsidRDefault="003759AB" w14:paraId="049956D3" w14:textId="1E02B4B9">
      <w:pPr>
        <w:pStyle w:val="Geenafstand"/>
      </w:pPr>
      <w:r>
        <w:t>De v</w:t>
      </w:r>
      <w:r>
        <w:t xml:space="preserve">oorzitter van de commissie, </w:t>
      </w:r>
    </w:p>
    <w:p w:rsidR="003759AB" w:rsidP="003759AB" w:rsidRDefault="003759AB" w14:paraId="09A48A70" w14:textId="68DBEB94">
      <w:pPr>
        <w:pStyle w:val="Geenafstand"/>
      </w:pPr>
      <w:proofErr w:type="spellStart"/>
      <w:r>
        <w:t>Koorevaar</w:t>
      </w:r>
      <w:proofErr w:type="spellEnd"/>
    </w:p>
    <w:p w:rsidR="003759AB" w:rsidP="003759AB" w:rsidRDefault="003759AB" w14:paraId="085F9D7E" w14:textId="77777777">
      <w:pPr>
        <w:spacing w:after="0"/>
      </w:pPr>
      <w:r>
        <w:tab/>
      </w:r>
      <w:r>
        <w:tab/>
      </w:r>
    </w:p>
    <w:p w:rsidR="003759AB" w:rsidP="003759AB" w:rsidRDefault="003759AB" w14:paraId="5729A418" w14:textId="080F9D28">
      <w:pPr>
        <w:spacing w:after="0"/>
      </w:pPr>
      <w:r>
        <w:t>De g</w:t>
      </w:r>
      <w:r>
        <w:t>riffier van de commissie,</w:t>
      </w:r>
    </w:p>
    <w:p w:rsidR="003759AB" w:rsidP="003759AB" w:rsidRDefault="003759AB" w14:paraId="738904D5" w14:textId="342D1BE2">
      <w:pPr>
        <w:spacing w:after="0"/>
      </w:pPr>
      <w:r>
        <w:t xml:space="preserve">Verhoev </w:t>
      </w:r>
    </w:p>
    <w:p w:rsidR="003759AB" w:rsidP="003759AB" w:rsidRDefault="003759AB" w14:paraId="6A8B5098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3759AB" w:rsidTr="003759AB" w14:paraId="4A937BFA" w14:textId="77777777">
        <w:trPr>
          <w:cantSplit/>
        </w:trPr>
        <w:tc>
          <w:tcPr>
            <w:tcW w:w="567" w:type="dxa"/>
          </w:tcPr>
          <w:p w:rsidR="003759AB" w:rsidP="00393C68" w:rsidRDefault="003759AB" w14:paraId="7D9FC2BD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3759AB" w:rsidP="00393C68" w:rsidRDefault="003759AB" w14:paraId="74FEBF99" w14:textId="77777777">
            <w:r>
              <w:t>Vraag</w:t>
            </w:r>
          </w:p>
        </w:tc>
      </w:tr>
      <w:tr w:rsidR="003759AB" w:rsidTr="003759AB" w14:paraId="75433FE1" w14:textId="77777777">
        <w:tc>
          <w:tcPr>
            <w:tcW w:w="567" w:type="dxa"/>
          </w:tcPr>
          <w:p w:rsidR="003759AB" w:rsidP="00393C68" w:rsidRDefault="003759AB" w14:paraId="17081025" w14:textId="77777777">
            <w:r>
              <w:t>1</w:t>
            </w:r>
          </w:p>
        </w:tc>
        <w:tc>
          <w:tcPr>
            <w:tcW w:w="6521" w:type="dxa"/>
          </w:tcPr>
          <w:p w:rsidR="003759AB" w:rsidP="00393C68" w:rsidRDefault="003759AB" w14:paraId="2B602B9E" w14:textId="77777777">
            <w:r>
              <w:t>Welke lessen trekt u uit de constatering van zowel het IBO als de Algemene Rekenkamer dat effectieve sturing vraagt om heldere doelen, eenduidige sturing en duidelijke rolverdeling?</w:t>
            </w:r>
          </w:p>
        </w:tc>
      </w:tr>
      <w:tr w:rsidR="003759AB" w:rsidTr="003759AB" w14:paraId="7535FA20" w14:textId="77777777">
        <w:tc>
          <w:tcPr>
            <w:tcW w:w="567" w:type="dxa"/>
          </w:tcPr>
          <w:p w:rsidR="003759AB" w:rsidP="00393C68" w:rsidRDefault="003759AB" w14:paraId="2FF688CF" w14:textId="77777777">
            <w:r>
              <w:t>2</w:t>
            </w:r>
          </w:p>
        </w:tc>
        <w:tc>
          <w:tcPr>
            <w:tcW w:w="6521" w:type="dxa"/>
          </w:tcPr>
          <w:p w:rsidR="003759AB" w:rsidP="00393C68" w:rsidRDefault="003759AB" w14:paraId="1FEB4099" w14:textId="77777777">
            <w:r>
              <w:t>Op welke wijze gaat u de uitgangspunten van heldere doelen, eenduidige sturing en een duidelijke rolverdeling leidend maken in toekomstig onderwijsbeleid?</w:t>
            </w:r>
          </w:p>
        </w:tc>
      </w:tr>
      <w:tr w:rsidR="003759AB" w:rsidTr="003759AB" w14:paraId="4DD1B910" w14:textId="77777777">
        <w:tc>
          <w:tcPr>
            <w:tcW w:w="567" w:type="dxa"/>
          </w:tcPr>
          <w:p w:rsidR="003759AB" w:rsidP="00393C68" w:rsidRDefault="003759AB" w14:paraId="32C9974F" w14:textId="77777777">
            <w:r>
              <w:t>3</w:t>
            </w:r>
          </w:p>
        </w:tc>
        <w:tc>
          <w:tcPr>
            <w:tcW w:w="6521" w:type="dxa"/>
          </w:tcPr>
          <w:p w:rsidR="003759AB" w:rsidP="00393C68" w:rsidRDefault="003759AB" w14:paraId="7ABE8AF0" w14:textId="77777777">
            <w:r>
              <w:t>Deelt u met de Algemene Rekenkamer dat in het jaarverslag niet wordt stilgestaan bij de resultaten van het gevoerde beleid?</w:t>
            </w:r>
          </w:p>
        </w:tc>
      </w:tr>
      <w:tr w:rsidR="003759AB" w:rsidTr="003759AB" w14:paraId="249AB728" w14:textId="77777777">
        <w:tc>
          <w:tcPr>
            <w:tcW w:w="567" w:type="dxa"/>
          </w:tcPr>
          <w:p w:rsidR="003759AB" w:rsidP="00393C68" w:rsidRDefault="003759AB" w14:paraId="01B56EF6" w14:textId="77777777">
            <w:r>
              <w:t>4</w:t>
            </w:r>
          </w:p>
        </w:tc>
        <w:tc>
          <w:tcPr>
            <w:tcW w:w="6521" w:type="dxa"/>
          </w:tcPr>
          <w:p w:rsidR="003759AB" w:rsidP="00393C68" w:rsidRDefault="003759AB" w14:paraId="286E862C" w14:textId="77777777">
            <w:r>
              <w:t>Bent u voornemens in het volgende jaarverslag uitgebreider stil te staan bij de resultaten van het gevoerde beleid?</w:t>
            </w:r>
          </w:p>
        </w:tc>
      </w:tr>
      <w:tr w:rsidR="003759AB" w:rsidTr="003759AB" w14:paraId="2AD3F42E" w14:textId="77777777">
        <w:tc>
          <w:tcPr>
            <w:tcW w:w="567" w:type="dxa"/>
          </w:tcPr>
          <w:p w:rsidR="003759AB" w:rsidP="00393C68" w:rsidRDefault="003759AB" w14:paraId="5E713F10" w14:textId="77777777">
            <w:r>
              <w:t>5</w:t>
            </w:r>
          </w:p>
        </w:tc>
        <w:tc>
          <w:tcPr>
            <w:tcW w:w="6521" w:type="dxa"/>
          </w:tcPr>
          <w:p w:rsidR="003759AB" w:rsidP="00393C68" w:rsidRDefault="003759AB" w14:paraId="398D383B" w14:textId="77777777">
            <w:r>
              <w:t>Hoe beoordeelt u het signaal van de Algemene Rekenkamer dat budgetonzekerheid structureel personeelsbeleid belemmert?</w:t>
            </w:r>
          </w:p>
        </w:tc>
      </w:tr>
      <w:tr w:rsidR="003759AB" w:rsidTr="003759AB" w14:paraId="4866D506" w14:textId="77777777">
        <w:tc>
          <w:tcPr>
            <w:tcW w:w="567" w:type="dxa"/>
          </w:tcPr>
          <w:p w:rsidR="003759AB" w:rsidP="00393C68" w:rsidRDefault="003759AB" w14:paraId="204B5C8F" w14:textId="77777777">
            <w:r>
              <w:t>6</w:t>
            </w:r>
          </w:p>
        </w:tc>
        <w:tc>
          <w:tcPr>
            <w:tcW w:w="6521" w:type="dxa"/>
          </w:tcPr>
          <w:p w:rsidR="003759AB" w:rsidP="00393C68" w:rsidRDefault="003759AB" w14:paraId="062A973F" w14:textId="77777777">
            <w:r>
              <w:t>Op welke manier wordt tot dusver gewerkt aan het formuleren van een gezamenlijke, meetbare definitie van ‘gelijke kansen’ in het mbo?</w:t>
            </w:r>
          </w:p>
        </w:tc>
      </w:tr>
      <w:tr w:rsidR="003759AB" w:rsidTr="003759AB" w14:paraId="3B544F59" w14:textId="77777777">
        <w:tc>
          <w:tcPr>
            <w:tcW w:w="567" w:type="dxa"/>
          </w:tcPr>
          <w:p w:rsidR="003759AB" w:rsidP="00393C68" w:rsidRDefault="003759AB" w14:paraId="2C072BA9" w14:textId="77777777">
            <w:r>
              <w:t>7</w:t>
            </w:r>
          </w:p>
        </w:tc>
        <w:tc>
          <w:tcPr>
            <w:tcW w:w="6521" w:type="dxa"/>
          </w:tcPr>
          <w:p w:rsidR="003759AB" w:rsidP="00393C68" w:rsidRDefault="003759AB" w14:paraId="2A22BC20" w14:textId="77777777">
            <w:r>
              <w:t>Hoe komt het dat het tot dusver niet gelukt is te komen tot een gezamenlijke, meetbare definitie van 'gelijke kansen' in het mbo?</w:t>
            </w:r>
          </w:p>
        </w:tc>
      </w:tr>
      <w:tr w:rsidR="003759AB" w:rsidTr="003759AB" w14:paraId="68464320" w14:textId="77777777">
        <w:tc>
          <w:tcPr>
            <w:tcW w:w="567" w:type="dxa"/>
          </w:tcPr>
          <w:p w:rsidR="003759AB" w:rsidP="00393C68" w:rsidRDefault="003759AB" w14:paraId="2C74E7AB" w14:textId="77777777">
            <w:r>
              <w:t>8</w:t>
            </w:r>
          </w:p>
        </w:tc>
        <w:tc>
          <w:tcPr>
            <w:tcW w:w="6521" w:type="dxa"/>
          </w:tcPr>
          <w:p w:rsidR="003759AB" w:rsidP="00393C68" w:rsidRDefault="003759AB" w14:paraId="1BE858E6" w14:textId="77777777">
            <w:r>
              <w:t>Hoeveel is er uitgegeven (in miljoenen euro's) aan het bevorderen van kansengelijkheid in het mbo?</w:t>
            </w:r>
          </w:p>
        </w:tc>
      </w:tr>
      <w:tr w:rsidR="003759AB" w:rsidTr="003759AB" w14:paraId="0B8F3BC0" w14:textId="77777777">
        <w:tc>
          <w:tcPr>
            <w:tcW w:w="567" w:type="dxa"/>
          </w:tcPr>
          <w:p w:rsidR="003759AB" w:rsidP="00393C68" w:rsidRDefault="003759AB" w14:paraId="6A8A00CF" w14:textId="77777777">
            <w:r>
              <w:t>9</w:t>
            </w:r>
          </w:p>
        </w:tc>
        <w:tc>
          <w:tcPr>
            <w:tcW w:w="6521" w:type="dxa"/>
          </w:tcPr>
          <w:p w:rsidR="003759AB" w:rsidP="00393C68" w:rsidRDefault="003759AB" w14:paraId="4B4DEB67" w14:textId="77777777">
            <w:r>
              <w:t>Hoe worden verschillen tussen mbo-instellingen op het gebied van (stage)begeleiding en studentenondersteuning gemeten en teruggedrongen?</w:t>
            </w:r>
          </w:p>
        </w:tc>
      </w:tr>
      <w:tr w:rsidR="003759AB" w:rsidTr="003759AB" w14:paraId="70990BD7" w14:textId="77777777">
        <w:tc>
          <w:tcPr>
            <w:tcW w:w="567" w:type="dxa"/>
          </w:tcPr>
          <w:p w:rsidR="003759AB" w:rsidP="00393C68" w:rsidRDefault="003759AB" w14:paraId="10F3E8D4" w14:textId="77777777">
            <w:r>
              <w:t>10</w:t>
            </w:r>
          </w:p>
        </w:tc>
        <w:tc>
          <w:tcPr>
            <w:tcW w:w="6521" w:type="dxa"/>
          </w:tcPr>
          <w:p w:rsidR="003759AB" w:rsidP="00393C68" w:rsidRDefault="003759AB" w14:paraId="7837C9B4" w14:textId="77777777">
            <w:r>
              <w:t>Waarom is er geen inzicht in hoeveel geld er naar welke pijler gaat van het masterplan basisvaardigheden?</w:t>
            </w:r>
          </w:p>
        </w:tc>
      </w:tr>
      <w:tr w:rsidR="003759AB" w:rsidTr="003759AB" w14:paraId="6F5330CE" w14:textId="77777777">
        <w:tc>
          <w:tcPr>
            <w:tcW w:w="567" w:type="dxa"/>
          </w:tcPr>
          <w:p w:rsidR="003759AB" w:rsidP="00393C68" w:rsidRDefault="003759AB" w14:paraId="3A682759" w14:textId="77777777">
            <w:r>
              <w:t>11</w:t>
            </w:r>
          </w:p>
        </w:tc>
        <w:tc>
          <w:tcPr>
            <w:tcW w:w="6521" w:type="dxa"/>
          </w:tcPr>
          <w:p w:rsidR="003759AB" w:rsidP="00393C68" w:rsidRDefault="003759AB" w14:paraId="48BA5F11" w14:textId="77777777">
            <w:r>
              <w:t>Hoe komt het dat de Algemene Rekenkamer kan constateren dat indirecte administratieve lasten nog onvoldoende worden meegewogen?</w:t>
            </w:r>
          </w:p>
        </w:tc>
      </w:tr>
      <w:tr w:rsidRPr="00494AFF" w:rsidR="003759AB" w:rsidTr="003759AB" w14:paraId="2F6D36F1" w14:textId="77777777">
        <w:tc>
          <w:tcPr>
            <w:tcW w:w="567" w:type="dxa"/>
          </w:tcPr>
          <w:p w:rsidRPr="00494AFF" w:rsidR="003759AB" w:rsidP="00393C68" w:rsidRDefault="003759AB" w14:paraId="658443DF" w14:textId="77777777">
            <w:pPr>
              <w:rPr>
                <w:highlight w:val="yellow"/>
              </w:rPr>
            </w:pPr>
            <w:r w:rsidRPr="00AB0A6A">
              <w:lastRenderedPageBreak/>
              <w:t>12</w:t>
            </w:r>
          </w:p>
        </w:tc>
        <w:tc>
          <w:tcPr>
            <w:tcW w:w="6521" w:type="dxa"/>
          </w:tcPr>
          <w:p w:rsidRPr="0096057C" w:rsidR="003759AB" w:rsidP="00393C68" w:rsidRDefault="003759AB" w14:paraId="1E2CB7BA" w14:textId="77777777">
            <w:r w:rsidRPr="0096057C">
              <w:t>Welke stappen zet u om beter te controleren of middelen voor extra ondersteuning rechtmatig en doelmatig worden ingezet?</w:t>
            </w:r>
          </w:p>
        </w:tc>
      </w:tr>
      <w:tr w:rsidR="003759AB" w:rsidTr="003759AB" w14:paraId="6AEC8709" w14:textId="77777777">
        <w:tc>
          <w:tcPr>
            <w:tcW w:w="567" w:type="dxa"/>
          </w:tcPr>
          <w:p w:rsidR="003759AB" w:rsidP="00393C68" w:rsidRDefault="003759AB" w14:paraId="0BE18F06" w14:textId="77777777">
            <w:r w:rsidRPr="00494AFF">
              <w:t>13</w:t>
            </w:r>
          </w:p>
        </w:tc>
        <w:tc>
          <w:tcPr>
            <w:tcW w:w="6521" w:type="dxa"/>
          </w:tcPr>
          <w:p w:rsidR="003759AB" w:rsidP="00393C68" w:rsidRDefault="003759AB" w14:paraId="673899FE" w14:textId="77777777">
            <w:r>
              <w:t>Hoe gaat u de aanbevelingen van de Algemene Rekenkamer rondom de toelaatbaarheidsverklaringen (tlv-afgifte) uitwerken?</w:t>
            </w:r>
          </w:p>
        </w:tc>
      </w:tr>
      <w:tr w:rsidRPr="00494AFF" w:rsidR="003759AB" w:rsidTr="003759AB" w14:paraId="0E10DA2E" w14:textId="77777777">
        <w:tc>
          <w:tcPr>
            <w:tcW w:w="567" w:type="dxa"/>
          </w:tcPr>
          <w:p w:rsidRPr="00AB0A6A" w:rsidR="003759AB" w:rsidP="00393C68" w:rsidRDefault="003759AB" w14:paraId="0F054E09" w14:textId="77777777">
            <w:r w:rsidRPr="00AB0A6A">
              <w:t>14</w:t>
            </w:r>
          </w:p>
        </w:tc>
        <w:tc>
          <w:tcPr>
            <w:tcW w:w="6521" w:type="dxa"/>
          </w:tcPr>
          <w:p w:rsidRPr="00AB0A6A" w:rsidR="003759AB" w:rsidP="00393C68" w:rsidRDefault="003759AB" w14:paraId="598F5E66" w14:textId="77777777">
            <w:r w:rsidRPr="00AB0A6A">
              <w:t>Hoe beoordeelt u de constatering van de Algemene Rekenkamer dat er beperkt zicht is op de juiste besteding van middelen voor nieuwkomersbekostiging in het primair en voortgezet onderwijs?</w:t>
            </w:r>
          </w:p>
        </w:tc>
      </w:tr>
      <w:tr w:rsidRPr="00494AFF" w:rsidR="003759AB" w:rsidTr="003759AB" w14:paraId="421B3AD8" w14:textId="77777777">
        <w:tc>
          <w:tcPr>
            <w:tcW w:w="567" w:type="dxa"/>
          </w:tcPr>
          <w:p w:rsidRPr="00AB0A6A" w:rsidR="003759AB" w:rsidP="00393C68" w:rsidRDefault="003759AB" w14:paraId="378EC504" w14:textId="77777777">
            <w:r w:rsidRPr="00AB0A6A">
              <w:t>15</w:t>
            </w:r>
          </w:p>
        </w:tc>
        <w:tc>
          <w:tcPr>
            <w:tcW w:w="6521" w:type="dxa"/>
          </w:tcPr>
          <w:p w:rsidRPr="00AB0A6A" w:rsidR="003759AB" w:rsidP="00393C68" w:rsidRDefault="003759AB" w14:paraId="7B290E08" w14:textId="77777777">
            <w:r w:rsidRPr="00AB0A6A">
              <w:t>Welke gevolgen heeft het vervallen van de persoonsgebonden bewijslast sinds 2021/2022 voor de controleerbaarheid van de bekostiging van nieuwkomersonderwijs?</w:t>
            </w:r>
          </w:p>
        </w:tc>
      </w:tr>
    </w:tbl>
    <w:p w:rsidR="003759AB" w:rsidP="003759AB" w:rsidRDefault="003759AB" w14:paraId="29AD460A" w14:textId="77777777"/>
    <w:p w:rsidR="00EC711E" w:rsidRDefault="00EC711E" w14:paraId="7764B1BD" w14:textId="77777777"/>
    <w:sectPr w:rsidR="00EC711E" w:rsidSect="00375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4AD6" w14:textId="77777777" w:rsidR="000D27BB" w:rsidRDefault="000D27BB" w:rsidP="003759AB">
      <w:pPr>
        <w:spacing w:after="0" w:line="240" w:lineRule="auto"/>
      </w:pPr>
      <w:r>
        <w:separator/>
      </w:r>
    </w:p>
  </w:endnote>
  <w:endnote w:type="continuationSeparator" w:id="0">
    <w:p w14:paraId="6C78E1FE" w14:textId="77777777" w:rsidR="000D27BB" w:rsidRDefault="000D27BB" w:rsidP="0037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F775" w14:textId="77777777" w:rsidR="003759AB" w:rsidRPr="003759AB" w:rsidRDefault="003759AB" w:rsidP="003759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2C53" w14:textId="77777777" w:rsidR="003759AB" w:rsidRPr="003759AB" w:rsidRDefault="003759AB" w:rsidP="003759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59B1" w14:textId="77777777" w:rsidR="003759AB" w:rsidRPr="003759AB" w:rsidRDefault="003759AB" w:rsidP="003759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F78" w14:textId="77777777" w:rsidR="000D27BB" w:rsidRDefault="000D27BB" w:rsidP="003759AB">
      <w:pPr>
        <w:spacing w:after="0" w:line="240" w:lineRule="auto"/>
      </w:pPr>
      <w:r>
        <w:separator/>
      </w:r>
    </w:p>
  </w:footnote>
  <w:footnote w:type="continuationSeparator" w:id="0">
    <w:p w14:paraId="393C629D" w14:textId="77777777" w:rsidR="000D27BB" w:rsidRDefault="000D27BB" w:rsidP="0037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CC69" w14:textId="77777777" w:rsidR="003759AB" w:rsidRPr="003759AB" w:rsidRDefault="003759AB" w:rsidP="003759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3402" w14:textId="77777777" w:rsidR="003759AB" w:rsidRPr="003759AB" w:rsidRDefault="003759AB" w:rsidP="003759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7BAF" w14:textId="77777777" w:rsidR="003759AB" w:rsidRPr="003759AB" w:rsidRDefault="003759AB" w:rsidP="003759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AB"/>
    <w:rsid w:val="000D27BB"/>
    <w:rsid w:val="003759AB"/>
    <w:rsid w:val="00566ABE"/>
    <w:rsid w:val="008F46C1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B7F1"/>
  <w15:chartTrackingRefBased/>
  <w15:docId w15:val="{EE76BE6F-8BFB-46E0-A9DB-DCC6F5F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5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5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5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5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5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5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5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5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5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5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9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59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59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59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59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59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5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5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5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5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59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59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59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5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59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59A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759A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759A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759A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759A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375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400</ap:Words>
  <ap:Characters>2205</ap:Characters>
  <ap:DocSecurity>0</ap:DocSecurity>
  <ap:Lines>18</ap:Lines>
  <ap:Paragraphs>5</ap:Paragraphs>
  <ap:ScaleCrop>false</ap:ScaleCrop>
  <ap:LinksUpToDate>false</ap:LinksUpToDate>
  <ap:CharactersWithSpaces>2600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2026-06-01T13:11:00.0000000Z</dcterms:created>
  <dcterms:modified xsi:type="dcterms:W3CDTF">2026-06-01T13:12:00.0000000Z</dcterms:modified>
  <version/>
  <category/>
</coreProperties>
</file>