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2026Z11053</w:t>
        <w:br/>
      </w:r>
      <w:proofErr w:type="spellEnd"/>
    </w:p>
    <w:p>
      <w:pPr>
        <w:pStyle w:val="Normal"/>
        <w:rPr>
          <w:b w:val="1"/>
          <w:bCs w:val="1"/>
        </w:rPr>
      </w:pPr>
      <w:r w:rsidR="250AE766">
        <w:rPr>
          <w:b w:val="0"/>
          <w:bCs w:val="0"/>
        </w:rPr>
        <w:t>(ingezonden 27 mei 2026)</w:t>
        <w:br/>
      </w:r>
    </w:p>
    <w:p>
      <w:r>
        <w:t xml:space="preserve">Vragen van het lid Van Houwelingen (FVD) aan de de minister van Volksgezondheid, Welzijn en Sport over accijnsinkomsten</w:t>
      </w:r>
      <w:r>
        <w:br/>
      </w:r>
    </w:p>
    <w:p>
      <w:pPr>
        <w:pStyle w:val="ListParagraph"/>
        <w:numPr>
          <w:ilvl w:val="0"/>
          <w:numId w:val="100508730"/>
        </w:numPr>
        <w:ind w:left="360"/>
      </w:pPr>
      <w:r>
        <w:t xml:space="preserve">Kunt u het forse verschil van 830 miljoen euro verlies aan accijnsinkomsten op tabak (dat is zo’n 7 procent van de totale accijnzen) tussen inschatting en uiteindelijke opbrengsten verklaren?</w:t>
      </w:r>
      <w:r>
        <w:br/>
      </w:r>
    </w:p>
    <w:p>
      <w:pPr>
        <w:pStyle w:val="ListParagraph"/>
        <w:numPr>
          <w:ilvl w:val="0"/>
          <w:numId w:val="100508730"/>
        </w:numPr>
        <w:ind w:left="360"/>
      </w:pPr>
      <w:r>
        <w:t xml:space="preserve">Betekent dit dat de gedragseffecten van de accijnsverhogingen in 2023 en 2024 te laag zijn ingeschat? Bent u bereid de gedragseffecten bij te stellen?</w:t>
      </w:r>
      <w:r>
        <w:br/>
      </w:r>
    </w:p>
    <w:p>
      <w:pPr>
        <w:pStyle w:val="ListParagraph"/>
        <w:numPr>
          <w:ilvl w:val="0"/>
          <w:numId w:val="100508730"/>
        </w:numPr>
        <w:ind w:left="360"/>
      </w:pPr>
      <w:r>
        <w:t xml:space="preserve">Wat bent u van plan aan de bijstelling van 830 miljoen euro op 3,38 miljard euro geraamde inkomsten te doen, terwijl de rookprevalentie niet sterker is afgenomen dan verwacht? Duidt dit op een serieuze misrekening?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