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C89" w:rsidP="001F06FE" w:rsidRDefault="00CC6C89" w14:paraId="62775AE2" w14:textId="77777777">
      <w:pPr>
        <w:spacing w:line="240" w:lineRule="atLeast"/>
      </w:pPr>
    </w:p>
    <w:p w:rsidR="001F06FE" w:rsidP="004F0054" w:rsidRDefault="00E83651" w14:paraId="17E67136" w14:textId="77777777">
      <w:pPr>
        <w:tabs>
          <w:tab w:val="left" w:pos="2770"/>
        </w:tabs>
        <w:spacing w:line="240" w:lineRule="atLeast"/>
      </w:pPr>
      <w:r>
        <w:tab/>
      </w:r>
    </w:p>
    <w:p w:rsidR="00CC6C89" w:rsidP="001F06FE" w:rsidRDefault="00CC6C89" w14:paraId="7E91E7AD" w14:textId="77777777">
      <w:pPr>
        <w:spacing w:line="240" w:lineRule="atLeast"/>
      </w:pPr>
    </w:p>
    <w:p w:rsidR="00CC6C89" w:rsidP="001F06FE" w:rsidRDefault="00CC6C89" w14:paraId="3E71C77E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F5ADA" w:rsidP="001F06FE" w:rsidRDefault="00E83651" w14:paraId="2DFEF920" w14:textId="77777777">
      <w:r>
        <w:t xml:space="preserve">Geachte </w:t>
      </w:r>
      <w:r>
        <w:t>voorzitter,</w:t>
      </w:r>
    </w:p>
    <w:p w:rsidR="003F5ADA" w:rsidP="001F06FE" w:rsidRDefault="003F5ADA" w14:paraId="29A81DFD" w14:textId="77777777"/>
    <w:p w:rsidR="003F5ADA" w:rsidP="001F06FE" w:rsidRDefault="00E83651" w14:paraId="319332D3" w14:textId="77777777">
      <w:r>
        <w:t>Vandaag publiceert de Gezondheidsraad (GR) zijn advies over vaccinatie tegen meningokokken B (MenB) bij jonge kinderen en adolescenten (zie bijlage).</w:t>
      </w:r>
      <w:r>
        <w:rPr>
          <w:rStyle w:val="Voetnootmarkering"/>
        </w:rPr>
        <w:footnoteReference w:id="1"/>
      </w:r>
      <w:r>
        <w:t xml:space="preserve"> Bij deze deel</w:t>
      </w:r>
      <w:r w:rsidR="00573EF9">
        <w:t>t het kabinet</w:t>
      </w:r>
      <w:r>
        <w:t xml:space="preserve"> dit advies met </w:t>
      </w:r>
      <w:r w:rsidR="00573EF9">
        <w:t>de</w:t>
      </w:r>
      <w:r>
        <w:t xml:space="preserve"> Kamer en geef</w:t>
      </w:r>
      <w:r w:rsidR="00573EF9">
        <w:t>t het kabinet</w:t>
      </w:r>
      <w:r>
        <w:t xml:space="preserve"> direct een beleidsreactie</w:t>
      </w:r>
      <w:r w:rsidR="00573EF9">
        <w:t>.</w:t>
      </w:r>
    </w:p>
    <w:p w:rsidR="003F5ADA" w:rsidP="001F06FE" w:rsidRDefault="003F5ADA" w14:paraId="7711A02A" w14:textId="77777777"/>
    <w:p w:rsidR="003F5ADA" w:rsidP="001F06FE" w:rsidRDefault="00E83651" w14:paraId="7A3A7173" w14:textId="77777777">
      <w:pPr>
        <w:rPr>
          <w:b/>
          <w:bCs/>
        </w:rPr>
      </w:pPr>
      <w:r>
        <w:rPr>
          <w:b/>
          <w:bCs/>
        </w:rPr>
        <w:t>Aanleiding adviesvraag</w:t>
      </w:r>
    </w:p>
    <w:p w:rsidRPr="004310EC" w:rsidR="003F5ADA" w:rsidP="001F06FE" w:rsidRDefault="00E83651" w14:paraId="2F1F5545" w14:textId="77777777">
      <w:r>
        <w:t xml:space="preserve">De Gezondheidsraad adviseerde in 2018 en 2022 vaccinatie tegen MenB vooralsnog niet op te nemen in het Rijksvaccinatieprogramma (RVP), omdat er sprake was </w:t>
      </w:r>
      <w:r w:rsidRPr="00A00F3A">
        <w:t>van een klein aantal ziektegevallen</w:t>
      </w:r>
      <w:r>
        <w:t xml:space="preserve"> in combinatie met </w:t>
      </w:r>
      <w:r w:rsidRPr="00A00F3A">
        <w:t>onzekerheid over de duur van bescherming door vaccinatie,</w:t>
      </w:r>
      <w:r>
        <w:t xml:space="preserve"> </w:t>
      </w:r>
      <w:r w:rsidRPr="00A00F3A">
        <w:t>bijwerkingen van het vaccin en een zeer hoge kosteneffectiviteitsratio</w:t>
      </w:r>
      <w:r>
        <w:t>.</w:t>
      </w:r>
      <w:r w:rsidR="00F57F00">
        <w:t xml:space="preserve"> Omdat de GR in </w:t>
      </w:r>
      <w:r w:rsidR="00573EF9">
        <w:t>zijn</w:t>
      </w:r>
      <w:r w:rsidR="00F57F00">
        <w:t xml:space="preserve"> advies aangaf dat er verschillende redenen kunnen zijn om het advies in de toekomst te heroverwegen, zoals een toename in het aantal ziektegevallen of een nieuw vaccin, heeft </w:t>
      </w:r>
      <w:r w:rsidR="00196A7E">
        <w:t xml:space="preserve">het </w:t>
      </w:r>
      <w:r w:rsidR="00F57F00">
        <w:t xml:space="preserve">ministerie </w:t>
      </w:r>
      <w:r w:rsidR="00196A7E">
        <w:t xml:space="preserve">van VWS </w:t>
      </w:r>
      <w:r w:rsidR="00F57F00">
        <w:t xml:space="preserve">de GR gevraagd wat de huidige stand van zaken op deze onderwerpen is. Daarom is </w:t>
      </w:r>
      <w:r>
        <w:t xml:space="preserve">op 3 april 2025 </w:t>
      </w:r>
      <w:r w:rsidR="00F57F00">
        <w:t xml:space="preserve">aan </w:t>
      </w:r>
      <w:r>
        <w:t>de G</w:t>
      </w:r>
      <w:r w:rsidR="00F57F00">
        <w:t>R</w:t>
      </w:r>
      <w:r>
        <w:t xml:space="preserve"> gevr</w:t>
      </w:r>
      <w:r>
        <w:t>aagd opnieuw te adviseren over MenB-vaccinatie en daarbij in te gaan op de beschikbare vaccins en huidige epidemiologie.</w:t>
      </w:r>
      <w:r>
        <w:rPr>
          <w:rStyle w:val="Voetnootmarkering"/>
        </w:rPr>
        <w:footnoteReference w:id="2"/>
      </w:r>
      <w:r w:rsidR="00F57F00">
        <w:t xml:space="preserve"> </w:t>
      </w:r>
    </w:p>
    <w:p w:rsidRPr="004310EC" w:rsidR="003F5ADA" w:rsidP="001F06FE" w:rsidRDefault="003F5ADA" w14:paraId="601701B8" w14:textId="77777777">
      <w:pPr>
        <w:rPr>
          <w:b/>
          <w:bCs/>
        </w:rPr>
      </w:pPr>
    </w:p>
    <w:p w:rsidRPr="004310EC" w:rsidR="003F5ADA" w:rsidP="001F06FE" w:rsidRDefault="00E83651" w14:paraId="6DA9DEE3" w14:textId="77777777">
      <w:pPr>
        <w:rPr>
          <w:b/>
          <w:bCs/>
        </w:rPr>
      </w:pPr>
      <w:r w:rsidRPr="004310EC">
        <w:rPr>
          <w:b/>
          <w:bCs/>
        </w:rPr>
        <w:t>Meningokokken in het kort</w:t>
      </w:r>
    </w:p>
    <w:p w:rsidR="003F5ADA" w:rsidP="001F06FE" w:rsidRDefault="00E83651" w14:paraId="28D88BA6" w14:textId="77777777">
      <w:pPr>
        <w:pStyle w:val="VWSNtb-inspringen"/>
        <w:numPr>
          <w:ilvl w:val="0"/>
          <w:numId w:val="0"/>
        </w:numPr>
        <w:suppressAutoHyphens/>
      </w:pPr>
      <w:r>
        <w:t xml:space="preserve">De meningokok is een bacterie die kan leiden tot meningokokkenziekte die kan resulteren in hersenvliesontsteking en bloedvergiftiging. Er zijn verschillende typen; vaccinatie tegen meningokokken A, C, W en Y is al opgenomen in het RVP. </w:t>
      </w:r>
    </w:p>
    <w:p w:rsidR="003F5ADA" w:rsidP="001F06FE" w:rsidRDefault="003F5ADA" w14:paraId="16722969" w14:textId="77777777">
      <w:pPr>
        <w:ind w:left="425"/>
      </w:pPr>
    </w:p>
    <w:p w:rsidRPr="004310EC" w:rsidR="003F5ADA" w:rsidP="001F06FE" w:rsidRDefault="00E83651" w14:paraId="34AB6D46" w14:textId="77777777">
      <w:pPr>
        <w:rPr>
          <w:b/>
          <w:bCs/>
        </w:rPr>
      </w:pPr>
      <w:r w:rsidRPr="004310EC">
        <w:rPr>
          <w:b/>
          <w:bCs/>
        </w:rPr>
        <w:t>Samenvatting advies</w:t>
      </w:r>
    </w:p>
    <w:p w:rsidR="003F5ADA" w:rsidP="001F06FE" w:rsidRDefault="00E83651" w14:paraId="2F8BDEE3" w14:textId="77777777">
      <w:pPr>
        <w:pStyle w:val="VWSNtb-inspringen"/>
        <w:numPr>
          <w:ilvl w:val="0"/>
          <w:numId w:val="0"/>
        </w:numPr>
        <w:suppressAutoHyphens/>
      </w:pPr>
      <w:r>
        <w:t>D</w:t>
      </w:r>
      <w:r w:rsidRPr="00A567BD">
        <w:t xml:space="preserve">e vaste commissie Vaccinatie </w:t>
      </w:r>
      <w:r>
        <w:t xml:space="preserve">van de GR heeft </w:t>
      </w:r>
      <w:r w:rsidRPr="00A567BD">
        <w:t>beoordeeld of vaccinatie tegen meningokokken B voldoet aan de criteria voor ziektelast, werkzaamheid, effectiviteit, veiligheid en aanvaardbaarheid</w:t>
      </w:r>
      <w:r>
        <w:t>.</w:t>
      </w:r>
    </w:p>
    <w:p w:rsidR="003F5ADA" w:rsidP="001F06FE" w:rsidRDefault="00E83651" w14:paraId="23F276BE" w14:textId="77777777">
      <w:pPr>
        <w:pStyle w:val="VWSNtb-inspringen"/>
        <w:numPr>
          <w:ilvl w:val="0"/>
          <w:numId w:val="0"/>
        </w:numPr>
        <w:suppressAutoHyphens/>
      </w:pPr>
      <w:r>
        <w:lastRenderedPageBreak/>
        <w:t>De commissie oordeelt dat de meningokokkenziekte zeker een zeer ernstige ziekte is die zonder meer aanleiding geeft om vaccinatie tegen Men</w:t>
      </w:r>
      <w:r w:rsidR="001B213B">
        <w:t xml:space="preserve">ingokokken </w:t>
      </w:r>
      <w:r>
        <w:t>B binnen het RVP te overwegen. Het aantal ziektegevallen en de sterfte is echter laag. Zo waren er in 2025 onder kinderen van 0 t/m 4 jaar 26 ziektegevallen en 1 overlijden en onder adolescenten van 15 t/m 24 jaar 32 ziektegevallen en 1 overlijden aan invasieve Men</w:t>
      </w:r>
      <w:r w:rsidR="001B213B">
        <w:t xml:space="preserve">ingokokken </w:t>
      </w:r>
      <w:r>
        <w:t>B-infecties.</w:t>
      </w:r>
      <w:r w:rsidR="00783831">
        <w:t xml:space="preserve"> </w:t>
      </w:r>
      <w:r>
        <w:t>Het vaccin tegen Men</w:t>
      </w:r>
      <w:r w:rsidR="001B213B">
        <w:t xml:space="preserve">ingokokken </w:t>
      </w:r>
      <w:r>
        <w:t>B is werkzaam en effectief tegen invasieve Men</w:t>
      </w:r>
      <w:r w:rsidR="001B213B">
        <w:t xml:space="preserve">ingokokken </w:t>
      </w:r>
      <w:r>
        <w:t xml:space="preserve">B-infecties. </w:t>
      </w:r>
    </w:p>
    <w:p w:rsidR="003F5ADA" w:rsidP="001F06FE" w:rsidRDefault="00E83651" w14:paraId="27C22D6B" w14:textId="77777777">
      <w:pPr>
        <w:pStyle w:val="VWSNtb-inspringen"/>
        <w:numPr>
          <w:ilvl w:val="0"/>
          <w:numId w:val="0"/>
        </w:numPr>
        <w:suppressAutoHyphens/>
      </w:pPr>
      <w:r>
        <w:t xml:space="preserve">Wat betreft de veiligheid leidt vaccinatie bij jonge kinderen relatief vaak tot (hoge) koorts, vooral als het wordt toegediend in combinatie met andere vaccins. </w:t>
      </w:r>
    </w:p>
    <w:p w:rsidR="003F5ADA" w:rsidP="001F06FE" w:rsidRDefault="00E83651" w14:paraId="5F5525E8" w14:textId="77777777">
      <w:pPr>
        <w:pStyle w:val="VWSNtb-inspringen"/>
        <w:numPr>
          <w:ilvl w:val="0"/>
          <w:numId w:val="0"/>
        </w:numPr>
        <w:suppressAutoHyphens/>
      </w:pPr>
      <w:r>
        <w:t xml:space="preserve">Over de aanvaardbaarheid geeft de commissie aan dat bij de huidige ziektelast op populatieniveau de voordelen </w:t>
      </w:r>
      <w:r w:rsidRPr="00861DFF">
        <w:rPr>
          <w:u w:val="single"/>
        </w:rPr>
        <w:t>niet</w:t>
      </w:r>
      <w:r>
        <w:t xml:space="preserve"> opwegen tegen de nadelen. Zo zouden jaarlijks 170.000 jonge kinderen (een geboortecohort) 3 vaccinaties toegediend krijgen met de kans op hoge koorts en medisch handelen. De daarmee te behalen gezondheidswinst is beperkt</w:t>
      </w:r>
      <w:r w:rsidR="000B1EAC">
        <w:t>,</w:t>
      </w:r>
      <w:r>
        <w:t xml:space="preserve"> aangezien het aantal ziektegevallen laag is</w:t>
      </w:r>
      <w:r w:rsidR="001726F0">
        <w:t xml:space="preserve">. Daarbij geeft de </w:t>
      </w:r>
      <w:r w:rsidR="000B1EAC">
        <w:t>raad aan dat a</w:t>
      </w:r>
      <w:r w:rsidRPr="000B1EAC" w:rsidR="000B1EAC">
        <w:t xml:space="preserve">lleen bij een </w:t>
      </w:r>
      <w:r w:rsidR="000B1EAC">
        <w:t>vaccin</w:t>
      </w:r>
      <w:r w:rsidRPr="000B1EAC" w:rsidR="000B1EAC">
        <w:t xml:space="preserve">effectiviteit van 100% en een hoge vaccinatiegraad </w:t>
      </w:r>
      <w:r w:rsidR="000B1EAC">
        <w:t xml:space="preserve">de 1 tot 2 sterfgevallen en circa 7 ziektegevallen met restverschijnselen voorkomen zouden kunnen worden. </w:t>
      </w:r>
      <w:r w:rsidRPr="000B1EAC" w:rsidR="000B1EAC">
        <w:t>De effectiviteit</w:t>
      </w:r>
      <w:r w:rsidR="000B1EAC">
        <w:t xml:space="preserve"> van het vaccin</w:t>
      </w:r>
      <w:r w:rsidRPr="000B1EAC" w:rsidR="000B1EAC">
        <w:t xml:space="preserve"> is echter lager</w:t>
      </w:r>
      <w:r w:rsidR="000B1EAC">
        <w:t xml:space="preserve">, </w:t>
      </w:r>
      <w:r w:rsidR="001726F0">
        <w:t>naar verwachting</w:t>
      </w:r>
      <w:r w:rsidR="000B1EAC">
        <w:t xml:space="preserve"> 80%</w:t>
      </w:r>
      <w:r w:rsidR="001726F0">
        <w:t>,</w:t>
      </w:r>
      <w:r w:rsidR="000B1EAC">
        <w:t xml:space="preserve"> met een grote marge van onzekerheid. </w:t>
      </w:r>
      <w:r>
        <w:t xml:space="preserve">Bij adolescenten is de te behalen gezondheidswinst lager, omdat invasieve infecties in deze groep </w:t>
      </w:r>
      <w:r w:rsidR="001726F0">
        <w:t xml:space="preserve">verhoudingsgewijs </w:t>
      </w:r>
      <w:r>
        <w:t xml:space="preserve">minder voorkomen. </w:t>
      </w:r>
      <w:r w:rsidR="001726F0">
        <w:t xml:space="preserve">Ook is het niet bekend of het vaccin adolescenten gedurende de gehele risicoperiode van 10 jaar beschermt. </w:t>
      </w:r>
      <w:r w:rsidRPr="003F5ADA">
        <w:t>Alle a</w:t>
      </w:r>
      <w:r w:rsidRPr="003F5ADA">
        <w:t xml:space="preserve">rgumenten overwegende adviseert de </w:t>
      </w:r>
      <w:r>
        <w:t>GR</w:t>
      </w:r>
      <w:r w:rsidRPr="003F5ADA">
        <w:t xml:space="preserve"> om vaccinatie tegen </w:t>
      </w:r>
      <w:r w:rsidR="00FD3C59">
        <w:t>M</w:t>
      </w:r>
      <w:r w:rsidRPr="003F5ADA">
        <w:t>en</w:t>
      </w:r>
      <w:r w:rsidR="001B213B">
        <w:t xml:space="preserve">ingokokken </w:t>
      </w:r>
      <w:r w:rsidRPr="003F5ADA">
        <w:t>B vooralsnog niet op te nemen in het RVP.</w:t>
      </w:r>
    </w:p>
    <w:p w:rsidR="003F5ADA" w:rsidP="001F06FE" w:rsidRDefault="00E83651" w14:paraId="609C0C6C" w14:textId="77777777">
      <w:pPr>
        <w:pStyle w:val="VWSNtb-inspringen"/>
        <w:numPr>
          <w:ilvl w:val="0"/>
          <w:numId w:val="0"/>
        </w:numPr>
        <w:suppressAutoHyphens/>
      </w:pPr>
      <w:r>
        <w:t xml:space="preserve">Tot slot geeft de commissie aan dat de kosteneffectiviteitsratio bij vaccinatie van jonge kinderen en adolescenten zeer ongunstig is, wat niet passend is voor een programmatische vaccinatie. </w:t>
      </w:r>
    </w:p>
    <w:p w:rsidR="003F5ADA" w:rsidP="001F06FE" w:rsidRDefault="003F5ADA" w14:paraId="5D956E96" w14:textId="77777777"/>
    <w:p w:rsidRPr="004310EC" w:rsidR="003F5ADA" w:rsidP="001F06FE" w:rsidRDefault="00E83651" w14:paraId="48C06B26" w14:textId="77777777">
      <w:pPr>
        <w:rPr>
          <w:b/>
          <w:bCs/>
        </w:rPr>
      </w:pPr>
      <w:r w:rsidRPr="004310EC">
        <w:rPr>
          <w:b/>
          <w:bCs/>
        </w:rPr>
        <w:t>Beleidsreactie</w:t>
      </w:r>
    </w:p>
    <w:p w:rsidR="003F5ADA" w:rsidP="001F06FE" w:rsidRDefault="00E83651" w14:paraId="18DB77E9" w14:textId="77777777">
      <w:r>
        <w:t xml:space="preserve">Het </w:t>
      </w:r>
      <w:r w:rsidR="00196A7E">
        <w:t>k</w:t>
      </w:r>
      <w:r>
        <w:t xml:space="preserve">abinet is de Gezondheidsraad zeer erkentelijk voor zijn zorgvuldig en duidelijk opgestelde advies. </w:t>
      </w:r>
      <w:r w:rsidR="001726F0">
        <w:t>Aang</w:t>
      </w:r>
      <w:r>
        <w:t>ezien de Gezondheidsraad oordeelt dat op populatieniveau de voordelen van vaccinatie niet opwegen tegen de nadelen, neemt het Kabinet dit advies over. Dat betekent dat meningokokken B vooralsnog niet wordt opgenomen in het Rijksvaccinatieprogramma. Dat neemt niet weg dat meningokokken B een zeer ernstige infectieziekte is</w:t>
      </w:r>
      <w:r w:rsidR="001B213B">
        <w:t xml:space="preserve"> en dat het </w:t>
      </w:r>
      <w:r w:rsidR="00196A7E">
        <w:t>k</w:t>
      </w:r>
      <w:r w:rsidR="001B213B">
        <w:t>abinet zorgen van ouders rondom deze ziekte begrijpt</w:t>
      </w:r>
      <w:r>
        <w:t>.</w:t>
      </w:r>
      <w:r w:rsidR="001B213B">
        <w:t xml:space="preserve"> De epidemiologie van invasieve meningokokken B wordt daarom zorgvuldig gemonitord.</w:t>
      </w:r>
      <w:r>
        <w:t xml:space="preserve"> Een verandering in de epidemiologie of het beschikbaar komen van nieuwe vaccins kan aanleiding zijn </w:t>
      </w:r>
      <w:r w:rsidR="001726F0">
        <w:t>om op</w:t>
      </w:r>
      <w:r>
        <w:t>nieuw advies</w:t>
      </w:r>
      <w:r w:rsidR="001726F0">
        <w:t xml:space="preserve"> te vragen</w:t>
      </w:r>
      <w:r>
        <w:t>.</w:t>
      </w:r>
    </w:p>
    <w:p w:rsidRPr="009A31BF" w:rsidR="003F5ADA" w:rsidP="001F06FE" w:rsidRDefault="00E83651" w14:paraId="3693D6B9" w14:textId="77777777">
      <w:pPr>
        <w:pStyle w:val="Huisstijl-Slotzin"/>
      </w:pPr>
      <w:r>
        <w:t>Hoogachtend,</w:t>
      </w:r>
    </w:p>
    <w:p w:rsidR="003F5ADA" w:rsidP="001F06FE" w:rsidRDefault="003F5ADA" w14:paraId="60A15012" w14:textId="77777777">
      <w:pPr>
        <w:spacing w:line="240" w:lineRule="auto"/>
        <w:rPr>
          <w:noProof/>
        </w:rPr>
      </w:pPr>
    </w:p>
    <w:p w:rsidR="003F5ADA" w:rsidP="001F06FE" w:rsidRDefault="00E83651" w14:paraId="2789ACB7" w14:textId="77777777">
      <w:r>
        <w:t>de minister van Volksgezondheid,</w:t>
      </w:r>
    </w:p>
    <w:p w:rsidR="003F5ADA" w:rsidP="001F06FE" w:rsidRDefault="00E83651" w14:paraId="67B3AAB7" w14:textId="77777777">
      <w:r>
        <w:t>Welzijn en Sport,</w:t>
      </w:r>
    </w:p>
    <w:p w:rsidRPr="007B6A41" w:rsidR="003F5ADA" w:rsidP="001F06FE" w:rsidRDefault="003F5ADA" w14:paraId="72A91E32" w14:textId="77777777"/>
    <w:p w:rsidR="002508FA" w:rsidP="001F06FE" w:rsidRDefault="002508FA" w14:paraId="5CF85DB2" w14:textId="77777777">
      <w:pPr>
        <w:spacing w:line="240" w:lineRule="atLeast"/>
      </w:pPr>
    </w:p>
    <w:p w:rsidR="00AC34C9" w:rsidP="001F06FE" w:rsidRDefault="00AC34C9" w14:paraId="3F2F677B" w14:textId="77777777">
      <w:pPr>
        <w:spacing w:line="240" w:lineRule="atLeast"/>
        <w:rPr>
          <w:szCs w:val="18"/>
        </w:rPr>
      </w:pPr>
    </w:p>
    <w:p w:rsidRPr="007B6A41" w:rsidR="00AC34C9" w:rsidP="001F06FE" w:rsidRDefault="00AC34C9" w14:paraId="18A1B027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Pr="007B6A41" w:rsidR="00AC34C9" w:rsidP="001F06FE" w:rsidRDefault="00E83651" w14:paraId="0DEF932D" w14:textId="77777777">
      <w:pPr>
        <w:spacing w:line="240" w:lineRule="atLeast"/>
        <w:rPr>
          <w:szCs w:val="18"/>
        </w:rPr>
      </w:pPr>
      <w:r>
        <w:cr/>
      </w:r>
    </w:p>
    <w:p w:rsidRPr="007B6A41" w:rsidR="00AC34C9" w:rsidP="001F06FE" w:rsidRDefault="00E83651" w14:paraId="3AEDD201" w14:textId="77777777">
      <w:pPr>
        <w:spacing w:line="240" w:lineRule="atLeast"/>
        <w:rPr>
          <w:szCs w:val="18"/>
        </w:rPr>
      </w:pPr>
      <w:r>
        <w:t>Sophie Hermans</w:t>
      </w:r>
    </w:p>
    <w:sectPr w:rsidRPr="007B6A41" w:rsidR="00AC34C9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56CC" w14:textId="77777777" w:rsidR="00E83651" w:rsidRDefault="00E83651">
      <w:pPr>
        <w:spacing w:line="240" w:lineRule="auto"/>
      </w:pPr>
      <w:r>
        <w:separator/>
      </w:r>
    </w:p>
  </w:endnote>
  <w:endnote w:type="continuationSeparator" w:id="0">
    <w:p w14:paraId="71E77985" w14:textId="77777777" w:rsidR="00E83651" w:rsidRDefault="00E83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ED7D" w14:textId="77777777" w:rsidR="006B5195" w:rsidRDefault="00E83651">
      <w:pPr>
        <w:spacing w:line="240" w:lineRule="auto"/>
      </w:pPr>
      <w:r>
        <w:separator/>
      </w:r>
    </w:p>
  </w:footnote>
  <w:footnote w:type="continuationSeparator" w:id="0">
    <w:p w14:paraId="5F72A961" w14:textId="77777777" w:rsidR="006B5195" w:rsidRDefault="00E83651">
      <w:pPr>
        <w:spacing w:line="240" w:lineRule="auto"/>
      </w:pPr>
      <w:r>
        <w:continuationSeparator/>
      </w:r>
    </w:p>
  </w:footnote>
  <w:footnote w:id="1">
    <w:p w14:paraId="394DB48B" w14:textId="77777777" w:rsidR="003F5ADA" w:rsidRPr="0062690A" w:rsidRDefault="00E83651" w:rsidP="003F5ADA">
      <w:pPr>
        <w:pStyle w:val="Voetnoottekst"/>
        <w:rPr>
          <w:sz w:val="16"/>
          <w:szCs w:val="16"/>
        </w:rPr>
      </w:pPr>
      <w:r w:rsidRPr="0062690A">
        <w:rPr>
          <w:rStyle w:val="Voetnootmarkering"/>
          <w:szCs w:val="16"/>
        </w:rPr>
        <w:footnoteRef/>
      </w:r>
      <w:r w:rsidRPr="0062690A">
        <w:rPr>
          <w:sz w:val="16"/>
          <w:szCs w:val="16"/>
        </w:rPr>
        <w:t xml:space="preserve"> Gezondheidsraad (2026). ‘Vaccinatie tegen meningokokken B: een update’</w:t>
      </w:r>
    </w:p>
  </w:footnote>
  <w:footnote w:id="2">
    <w:p w14:paraId="75141554" w14:textId="77777777" w:rsidR="003F5ADA" w:rsidRDefault="00E83651" w:rsidP="003F5ADA">
      <w:pPr>
        <w:pStyle w:val="Voetnoottekst"/>
      </w:pPr>
      <w:r w:rsidRPr="0062690A">
        <w:rPr>
          <w:rStyle w:val="Voetnootmarkering"/>
          <w:szCs w:val="16"/>
        </w:rPr>
        <w:footnoteRef/>
      </w:r>
      <w:r>
        <w:rPr>
          <w:sz w:val="16"/>
          <w:szCs w:val="16"/>
        </w:rPr>
        <w:t xml:space="preserve"> </w:t>
      </w:r>
      <w:hyperlink r:id="rId1" w:history="1">
        <w:r w:rsidR="003F5ADA" w:rsidRPr="006B4CCA">
          <w:rPr>
            <w:rStyle w:val="Hyperlink"/>
            <w:sz w:val="16"/>
            <w:szCs w:val="16"/>
          </w:rPr>
          <w:t>https://www.gezondheidsraad.nl/documenten/2025/04/03/adviesaanvraag-vws-over-actualisatie-advies-meningokokken-b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8615ED" w14:paraId="64786F19" w14:textId="77777777">
      <w:trPr>
        <w:trHeight w:hRule="exact" w:val="198"/>
      </w:trPr>
      <w:tc>
        <w:tcPr>
          <w:tcW w:w="1134" w:type="dxa"/>
        </w:tcPr>
        <w:p w14:paraId="21E780CA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49448393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8615ED" w14:paraId="5B33CC26" w14:textId="77777777">
      <w:tc>
        <w:tcPr>
          <w:tcW w:w="1134" w:type="dxa"/>
        </w:tcPr>
        <w:p w14:paraId="7B4B03F8" w14:textId="77777777" w:rsidR="00250939" w:rsidRDefault="00E83651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07E444E5" w14:textId="613AF968" w:rsidR="00250939" w:rsidRDefault="00EC13F3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27 mei 2026</w:t>
          </w:r>
        </w:p>
      </w:tc>
    </w:tr>
    <w:tr w:rsidR="008615ED" w14:paraId="18E7E3BD" w14:textId="77777777">
      <w:tc>
        <w:tcPr>
          <w:tcW w:w="1134" w:type="dxa"/>
        </w:tcPr>
        <w:p w14:paraId="6D2BA82A" w14:textId="77777777" w:rsidR="00250939" w:rsidRDefault="00E83651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3EDF55B5" w14:textId="77777777" w:rsidR="00250939" w:rsidRDefault="00E83651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Beleidsreactie advies GR MenB</w:t>
          </w:r>
        </w:p>
      </w:tc>
    </w:tr>
    <w:tr w:rsidR="008615ED" w14:paraId="5321794E" w14:textId="77777777">
      <w:trPr>
        <w:trHeight w:hRule="exact" w:val="170"/>
      </w:trPr>
      <w:tc>
        <w:tcPr>
          <w:tcW w:w="1134" w:type="dxa"/>
        </w:tcPr>
        <w:p w14:paraId="13187B1E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2D37DCE1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46378FCF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5C94D64F" w14:textId="77777777" w:rsidR="00573EF9" w:rsidRPr="00573EF9" w:rsidRDefault="00E83651" w:rsidP="00573EF9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573EF9">
      <w:t>De Voorzitter van de Tweede Kamer</w:t>
    </w:r>
    <w:r>
      <w:br/>
    </w:r>
    <w:r w:rsidRPr="00573EF9">
      <w:t>der Staten-Generaal</w:t>
    </w:r>
  </w:p>
  <w:p w14:paraId="54EE73EF" w14:textId="77777777" w:rsidR="00573EF9" w:rsidRPr="00573EF9" w:rsidRDefault="00E83651" w:rsidP="00573EF9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573EF9">
      <w:t>Postbus 20018</w:t>
    </w:r>
  </w:p>
  <w:p w14:paraId="5AE26C7E" w14:textId="77777777" w:rsidR="00573EF9" w:rsidRPr="00573EF9" w:rsidRDefault="00E83651" w:rsidP="00573EF9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573EF9">
      <w:t>2500 EA  DEN HAAG</w:t>
    </w:r>
  </w:p>
  <w:p w14:paraId="3B69015B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4665C2E5" w14:textId="77777777" w:rsidR="00250939" w:rsidRDefault="00E83651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</w:t>
    </w:r>
  </w:p>
  <w:p w14:paraId="48F2A5EE" w14:textId="77777777" w:rsidR="00250939" w:rsidRDefault="00E83651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 </w:t>
    </w:r>
  </w:p>
  <w:p w14:paraId="1FD47407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3473FED8" w14:textId="77777777" w:rsidR="00250939" w:rsidRDefault="00E83651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14:paraId="61047730" w14:textId="77777777" w:rsidR="00250939" w:rsidRDefault="00E8365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586E0F51" wp14:editId="114E737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09B14CD1" wp14:editId="71DCAF8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3A4805A6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2B4AFC2D" w14:textId="77777777" w:rsidR="00573EF9" w:rsidRPr="002E06EF" w:rsidRDefault="00E83651" w:rsidP="00573EF9">
                <w:pPr>
                  <w:pStyle w:val="Referentiegegevens"/>
                  <w:rPr>
                    <w:b/>
                    <w:bCs/>
                  </w:rPr>
                </w:pPr>
                <w:bookmarkStart w:id="0" w:name="_Hlk230683286"/>
                <w:r>
                  <w:rPr>
                    <w:b/>
                    <w:bCs/>
                  </w:rPr>
                  <w:t>Directoraat-Generaal Volksgezondheid</w:t>
                </w:r>
              </w:p>
              <w:bookmarkEnd w:id="0"/>
              <w:p w14:paraId="76B90F21" w14:textId="77777777" w:rsidR="00573EF9" w:rsidRDefault="00E83651" w:rsidP="00573EF9">
                <w:pPr>
                  <w:pStyle w:val="Huisstijl-AfzendgegevensW1"/>
                </w:pPr>
                <w:r>
                  <w:t>Directie Infectieziektenbeleid</w:t>
                </w:r>
              </w:p>
              <w:p w14:paraId="34865B73" w14:textId="77777777" w:rsidR="00250939" w:rsidRPr="00BD0479" w:rsidRDefault="00E83651" w:rsidP="00573EF9">
                <w:pPr>
                  <w:pStyle w:val="Huisstijl-AfzendgegevensW1"/>
                  <w:rPr>
                    <w:b/>
                  </w:rPr>
                </w:pPr>
                <w:r w:rsidRPr="00BD0479">
                  <w:rPr>
                    <w:b/>
                  </w:rPr>
                  <w:t>Bezoekadres</w:t>
                </w:r>
              </w:p>
              <w:p w14:paraId="216F2B5D" w14:textId="77777777" w:rsidR="00250939" w:rsidRPr="001F06FE" w:rsidRDefault="00E83651">
                <w:pPr>
                  <w:pStyle w:val="Huisstijl-Afzendgegevens"/>
                  <w:rPr>
                    <w:lang w:val="de-DE"/>
                  </w:rPr>
                </w:pPr>
                <w:r w:rsidRPr="001F06FE">
                  <w:rPr>
                    <w:lang w:val="de-DE"/>
                  </w:rPr>
                  <w:t>Parnassusplein 5</w:t>
                </w:r>
              </w:p>
              <w:p w14:paraId="40DF476E" w14:textId="77777777" w:rsidR="00250939" w:rsidRPr="001F06FE" w:rsidRDefault="00E83651" w:rsidP="0040758F">
                <w:pPr>
                  <w:pStyle w:val="Huisstijl-Afzendgegevens"/>
                  <w:rPr>
                    <w:lang w:val="de-DE"/>
                  </w:rPr>
                </w:pPr>
                <w:r w:rsidRPr="001F06FE">
                  <w:rPr>
                    <w:lang w:val="de-DE"/>
                  </w:rPr>
                  <w:t>2511 VX  Den Haag</w:t>
                </w:r>
              </w:p>
              <w:p w14:paraId="50C42D16" w14:textId="77777777" w:rsidR="00250939" w:rsidRPr="001F06FE" w:rsidRDefault="00E83651" w:rsidP="0040758F">
                <w:pPr>
                  <w:pStyle w:val="Huisstijl-Afzendgegevens"/>
                  <w:rPr>
                    <w:lang w:val="de-DE"/>
                  </w:rPr>
                </w:pPr>
                <w:r w:rsidRPr="001F06FE">
                  <w:rPr>
                    <w:lang w:val="de-DE"/>
                  </w:rPr>
                  <w:t>T</w:t>
                </w:r>
                <w:r w:rsidRPr="001F06FE">
                  <w:rPr>
                    <w:lang w:val="de-DE"/>
                  </w:rPr>
                  <w:tab/>
                  <w:t>070 340 79 11</w:t>
                </w:r>
              </w:p>
              <w:p w14:paraId="110294F0" w14:textId="77777777" w:rsidR="00250939" w:rsidRPr="001F06FE" w:rsidRDefault="00E83651" w:rsidP="0040758F">
                <w:pPr>
                  <w:pStyle w:val="Huisstijl-Afzendgegevens"/>
                  <w:rPr>
                    <w:lang w:val="en-US"/>
                  </w:rPr>
                </w:pPr>
                <w:r w:rsidRPr="001F06FE">
                  <w:rPr>
                    <w:lang w:val="en-US"/>
                  </w:rPr>
                  <w:t>F</w:t>
                </w:r>
                <w:r w:rsidRPr="001F06FE">
                  <w:rPr>
                    <w:lang w:val="en-US"/>
                  </w:rPr>
                  <w:tab/>
                  <w:t>070 340 78 34</w:t>
                </w:r>
              </w:p>
              <w:p w14:paraId="2B187CE7" w14:textId="77777777" w:rsidR="00250939" w:rsidRPr="001F06FE" w:rsidRDefault="00E83651">
                <w:pPr>
                  <w:pStyle w:val="Huisstijl-Afzendgegevens"/>
                  <w:rPr>
                    <w:lang w:val="en-US"/>
                  </w:rPr>
                </w:pPr>
                <w:r w:rsidRPr="001F06FE">
                  <w:rPr>
                    <w:lang w:val="en-US"/>
                  </w:rPr>
                  <w:t>www.rijksoverheid.nl</w:t>
                </w:r>
              </w:p>
              <w:p w14:paraId="657C68DB" w14:textId="77777777" w:rsidR="00250939" w:rsidRPr="001F06FE" w:rsidRDefault="00E83651">
                <w:pPr>
                  <w:pStyle w:val="Huisstijl-ReferentiegegevenskopW2"/>
                  <w:rPr>
                    <w:lang w:val="en-US"/>
                  </w:rPr>
                </w:pPr>
                <w:r w:rsidRPr="001F06FE">
                  <w:rPr>
                    <w:lang w:val="en-US"/>
                  </w:rPr>
                  <w:t>Kenmerk</w:t>
                </w:r>
              </w:p>
              <w:p w14:paraId="70CF8993" w14:textId="77777777" w:rsidR="00250939" w:rsidRPr="001F06FE" w:rsidRDefault="00E83651">
                <w:pPr>
                  <w:pStyle w:val="Huisstijl-Referentiegegevens"/>
                  <w:rPr>
                    <w:lang w:val="en-US"/>
                  </w:rPr>
                </w:pPr>
                <w:r w:rsidRPr="001F06FE">
                  <w:rPr>
                    <w:lang w:val="en-US"/>
                  </w:rPr>
                  <w:t>4389101-10992</w:t>
                </w:r>
                <w:r w:rsidR="00A61F67">
                  <w:rPr>
                    <w:lang w:val="en-US"/>
                  </w:rPr>
                  <w:t>24</w:t>
                </w:r>
                <w:r w:rsidRPr="001F06FE">
                  <w:rPr>
                    <w:lang w:val="en-US"/>
                  </w:rPr>
                  <w:t>-IZB</w:t>
                </w:r>
              </w:p>
              <w:p w14:paraId="64DDBB72" w14:textId="77777777" w:rsidR="00250939" w:rsidRPr="001F06FE" w:rsidRDefault="00E83651">
                <w:pPr>
                  <w:pStyle w:val="Huisstijl-ReferentiegegevenskopW1"/>
                </w:pPr>
                <w:r w:rsidRPr="001F06FE">
                  <w:t>Kenmerk afzender</w:t>
                </w:r>
              </w:p>
              <w:p w14:paraId="296CE5BF" w14:textId="77777777" w:rsidR="00250939" w:rsidRPr="001F06FE" w:rsidRDefault="00250939">
                <w:pPr>
                  <w:pStyle w:val="Huisstijl-Referentiegegevens"/>
                </w:pPr>
              </w:p>
              <w:p w14:paraId="51B6A85A" w14:textId="77777777" w:rsidR="00250939" w:rsidRDefault="00E83651">
                <w:pPr>
                  <w:pStyle w:val="Huisstijl-ReferentiegegevenskopW1"/>
                </w:pPr>
                <w:r w:rsidRPr="006C7A9D">
                  <w:t>Bijlage(n)</w:t>
                </w:r>
              </w:p>
              <w:p w14:paraId="676567F9" w14:textId="77777777" w:rsidR="004462B1" w:rsidRPr="004462B1" w:rsidRDefault="00E83651" w:rsidP="004462B1">
                <w:pPr>
                  <w:pStyle w:val="Huisstijl-Referentiegegevens"/>
                </w:pPr>
                <w:r>
                  <w:t>1</w:t>
                </w:r>
              </w:p>
              <w:p w14:paraId="3852AF26" w14:textId="77777777" w:rsidR="00250939" w:rsidRDefault="00250939">
                <w:pPr>
                  <w:pStyle w:val="Huisstijl-Referentiegegevens"/>
                </w:pPr>
              </w:p>
              <w:p w14:paraId="571609AA" w14:textId="77777777" w:rsidR="00250939" w:rsidRDefault="00E83651">
                <w:pPr>
                  <w:pStyle w:val="Huisstijl-Algemenevoorwaarden"/>
                </w:pPr>
                <w:r w:rsidRPr="006C7A9D"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80D7F27">
        <v:shape id="Text Box 25" o:spid="_x0000_s2050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03E99C0B" w14:textId="77777777" w:rsidR="00250939" w:rsidRDefault="00E83651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A6364">
                  <w:fldChar w:fldCharType="begin"/>
                </w:r>
                <w:r>
                  <w:instrText xml:space="preserve"> NUMPAGES   \* MERGEFORMAT </w:instrText>
                </w:r>
                <w:r w:rsidR="00CA636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CA636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0EA8" w14:textId="77777777" w:rsidR="00250939" w:rsidRDefault="00E83651">
    <w:pPr>
      <w:pStyle w:val="Koptekst"/>
    </w:pPr>
    <w:r>
      <w:rPr>
        <w:lang w:eastAsia="nl-NL" w:bidi="ar-SA"/>
      </w:rPr>
      <w:pict w14:anchorId="38D3F0CE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7EEC2715" w14:textId="77777777" w:rsidR="00250939" w:rsidRDefault="00E83651" w:rsidP="001F06FE">
                <w:pPr>
                  <w:pStyle w:val="Huisstijl-Afzendgegevens"/>
                </w:pPr>
                <w:r w:rsidRPr="006C7A9D">
                  <w:t>Kenmerk</w:t>
                </w:r>
              </w:p>
              <w:p w14:paraId="44A451F5" w14:textId="77777777" w:rsidR="00C1025E" w:rsidRPr="00420166" w:rsidRDefault="00E83651" w:rsidP="00C1025E">
                <w:pPr>
                  <w:pStyle w:val="Huisstijl-Referentiegegevens"/>
                </w:pPr>
                <w:r>
                  <w:t>4389101-10992</w:t>
                </w:r>
                <w:r w:rsidR="00A61F67">
                  <w:t>24</w:t>
                </w:r>
                <w:r>
                  <w:t>-IZB</w:t>
                </w:r>
              </w:p>
              <w:p w14:paraId="6EE8EB42" w14:textId="77777777" w:rsidR="00250939" w:rsidRDefault="00250939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5C9EF92">
        <v:shape id="Text Box 18" o:spid="_x0000_s2052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61DBEBC" w14:textId="6826E68A" w:rsidR="00250939" w:rsidRDefault="00E83651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AC34C9">
                  <w:rPr>
                    <w:noProof/>
                  </w:rPr>
                  <w:t>2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1025E">
                  <w:fldChar w:fldCharType="begin"/>
                </w:r>
                <w:r>
                  <w:instrText xml:space="preserve"> SECTIONPAGES   \* MERGEFORMAT </w:instrText>
                </w:r>
                <w:r w:rsidR="00C1025E">
                  <w:fldChar w:fldCharType="separate"/>
                </w:r>
                <w:r>
                  <w:rPr>
                    <w:noProof/>
                  </w:rPr>
                  <w:t>2</w:t>
                </w:r>
                <w:r w:rsidR="00C1025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6E8" w14:textId="77777777" w:rsidR="00250939" w:rsidRDefault="00E83651">
    <w:pPr>
      <w:pStyle w:val="Koptekst"/>
    </w:pPr>
    <w:r>
      <w:rPr>
        <w:lang w:eastAsia="nl-NL" w:bidi="ar-SA"/>
      </w:rPr>
      <w:pict w14:anchorId="1EF87AA0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3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426C842F" w14:textId="77777777" w:rsidR="00250939" w:rsidRDefault="00E836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934918"/>
                    <w:dataBinding w:prefixMappings="xmlns:dg='http://docgen.org/date' " w:xpath="/dg:DocgenData[1]/dg:Date[1]" w:storeItemID="{588DC769-47DC-48D6-BB2E-EBBC135337B5}"/>
                    <w:date w:fullDate="2014-08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C13F3">
                      <w:t>12 augustus 2014</w:t>
                    </w:r>
                  </w:sdtContent>
                </w:sdt>
              </w:p>
              <w:p w14:paraId="5817CF79" w14:textId="77777777" w:rsidR="00250939" w:rsidRDefault="00E8365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Onderwerp</w:t>
                </w:r>
              </w:p>
              <w:p w14:paraId="247F2AFA" w14:textId="77777777" w:rsidR="00250939" w:rsidRDefault="002509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3D8503A6" wp14:editId="32E9C1A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4CB644E2" wp14:editId="077D749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2ED5F59">
        <v:shape id="_x0000_s2054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5169CE9F" w14:textId="77777777" w:rsidR="00250939" w:rsidRDefault="00E83651">
                <w:pPr>
                  <w:pStyle w:val="Huisstijl-Afzendgegevenskop"/>
                </w:pPr>
                <w:r w:rsidRPr="006C7A9D">
                  <w:t>Secretaris Generaal / plv. Secretaris Generaal</w:t>
                </w:r>
              </w:p>
              <w:p w14:paraId="63288B3E" w14:textId="77777777" w:rsidR="00250939" w:rsidRDefault="00E83651">
                <w:pPr>
                  <w:pStyle w:val="Huisstijl-Afzendgegevens"/>
                </w:pPr>
                <w:r w:rsidRPr="006C7A9D">
                  <w:t xml:space="preserve">Afdeling </w:t>
                </w:r>
                <w:r w:rsidRPr="006C7A9D">
                  <w:t>Uitvoering</w:t>
                </w:r>
              </w:p>
              <w:p w14:paraId="2572AF6E" w14:textId="77777777" w:rsidR="00250939" w:rsidRDefault="00E83651">
                <w:pPr>
                  <w:pStyle w:val="Huisstijl-AfzendgegevensW1"/>
                </w:pPr>
                <w:r w:rsidRPr="006C7A9D">
                  <w:t>Bezoekadres:</w:t>
                </w:r>
              </w:p>
              <w:p w14:paraId="3BC0C3A3" w14:textId="77777777" w:rsidR="00250939" w:rsidRDefault="00E83651">
                <w:pPr>
                  <w:pStyle w:val="Huisstijl-Afzendgegevens"/>
                </w:pPr>
                <w:r w:rsidRPr="006C7A9D">
                  <w:t>Rijnstraat 50</w:t>
                </w:r>
              </w:p>
              <w:p w14:paraId="6D1E124A" w14:textId="77777777" w:rsidR="00250939" w:rsidRDefault="00E83651">
                <w:pPr>
                  <w:pStyle w:val="Huisstijl-Afzendgegevens"/>
                </w:pPr>
                <w:r w:rsidRPr="006C7A9D">
                  <w:t>2515 XP Den Haag</w:t>
                </w:r>
              </w:p>
              <w:p w14:paraId="35B08510" w14:textId="77777777" w:rsidR="00250939" w:rsidRDefault="00E83651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4FED8B1B" w14:textId="77777777" w:rsidR="00250939" w:rsidRDefault="00E83651">
                <w:pPr>
                  <w:pStyle w:val="Huisstijl-AfzendgegevenskopW1"/>
                </w:pPr>
                <w:r>
                  <w:t>Contactpersoon</w:t>
                </w:r>
              </w:p>
              <w:p w14:paraId="66FE71E8" w14:textId="77777777" w:rsidR="00250939" w:rsidRDefault="00E83651">
                <w:pPr>
                  <w:pStyle w:val="Huisstijl-Afzendgegevens"/>
                </w:pPr>
                <w:r w:rsidRPr="006C7A9D">
                  <w:t>ing. J.A. Ramlal</w:t>
                </w:r>
              </w:p>
              <w:p w14:paraId="4A64CF16" w14:textId="77777777" w:rsidR="00250939" w:rsidRDefault="00E83651">
                <w:pPr>
                  <w:pStyle w:val="Huisstijl-AfzendgegevensC"/>
                </w:pPr>
                <w:r w:rsidRPr="006C7A9D">
                  <w:t>Adviseur Bedrijfsvoering</w:t>
                </w:r>
              </w:p>
              <w:p w14:paraId="186957DC" w14:textId="77777777" w:rsidR="00250939" w:rsidRDefault="00E83651">
                <w:pPr>
                  <w:pStyle w:val="Huisstijl-Afzendgegevens"/>
                </w:pPr>
                <w:r w:rsidRPr="006C7A9D">
                  <w:t>ja.ramlal@minvws.nl</w:t>
                </w:r>
              </w:p>
              <w:p w14:paraId="1C5C56BC" w14:textId="77777777" w:rsidR="00250939" w:rsidRDefault="00E83651">
                <w:pPr>
                  <w:pStyle w:val="Huisstijl-ReferentiegegevenskopW2"/>
                </w:pPr>
                <w:r>
                  <w:t>Ons kenmerk</w:t>
                </w:r>
              </w:p>
              <w:p w14:paraId="1D782C89" w14:textId="77777777" w:rsidR="00250939" w:rsidRDefault="00E83651">
                <w:pPr>
                  <w:pStyle w:val="Huisstijl-Referentiegegevens"/>
                </w:pPr>
                <w:r>
                  <w:t>KenmerkVWS</w:t>
                </w:r>
              </w:p>
              <w:p w14:paraId="26514D20" w14:textId="77777777" w:rsidR="00250939" w:rsidRDefault="00E83651">
                <w:pPr>
                  <w:pStyle w:val="Huisstijl-ReferentiegegevenskopW1"/>
                </w:pPr>
                <w:r>
                  <w:t>Uw kenmerk</w:t>
                </w:r>
              </w:p>
              <w:p w14:paraId="180897CC" w14:textId="77777777" w:rsidR="00250939" w:rsidRDefault="00E83651">
                <w:pPr>
                  <w:pStyle w:val="Huisstijl-Referentiegegevens"/>
                </w:pPr>
                <w:r>
                  <w:t>KenmerkAfzender</w:t>
                </w:r>
              </w:p>
              <w:p w14:paraId="1CB4386A" w14:textId="77777777" w:rsidR="00250939" w:rsidRDefault="00E83651">
                <w:pPr>
                  <w:pStyle w:val="Huisstijl-ReferentiegegevenskopW1"/>
                </w:pPr>
                <w:r>
                  <w:t>Exemplaarnummer</w:t>
                </w:r>
              </w:p>
              <w:p w14:paraId="48E5030A" w14:textId="77777777" w:rsidR="00250939" w:rsidRDefault="00E8365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76FCB87">
        <v:shape id="_x0000_s2055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1B94AF03" w14:textId="77777777" w:rsidR="00250939" w:rsidRDefault="00250939"/>
            </w:txbxContent>
          </v:textbox>
          <w10:wrap anchorx="page" anchory="page"/>
        </v:shape>
      </w:pict>
    </w:r>
    <w:r>
      <w:rPr>
        <w:lang w:eastAsia="nl-NL" w:bidi="ar-SA"/>
      </w:rPr>
      <w:pict w14:anchorId="36DFA6A0">
        <v:shape id="_x0000_s2056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6307641E" w14:textId="77777777" w:rsidR="00250939" w:rsidRDefault="00E83651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>
                  <w:t>2</w:t>
                </w:r>
                <w:r w:rsidR="000C0874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D0824E3">
        <v:shape id="_x0000_s2057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593DF142" w14:textId="77777777" w:rsidR="00250939" w:rsidRDefault="0025093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C7BED5B">
        <v:shape id="_x0000_s2058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D654D19" w14:textId="77777777" w:rsidR="00250939" w:rsidRDefault="00E8365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4D02C3"/>
    <w:multiLevelType w:val="multilevel"/>
    <w:tmpl w:val="0C55C2AA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·"/>
      <w:lvlJc w:val="left"/>
      <w:pPr>
        <w:ind w:left="425" w:hanging="425"/>
      </w:pPr>
      <w:rPr>
        <w:rFonts w:ascii="Symbol" w:hAnsi="Symbol"/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8A576F"/>
    <w:multiLevelType w:val="hybridMultilevel"/>
    <w:tmpl w:val="DB8AF5D4"/>
    <w:lvl w:ilvl="0" w:tplc="DD2C874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2D03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E7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C14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04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3A8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25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0A5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06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97300">
    <w:abstractNumId w:val="1"/>
  </w:num>
  <w:num w:numId="2" w16cid:durableId="179335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67ED9"/>
    <w:rsid w:val="000B1EAC"/>
    <w:rsid w:val="000C0874"/>
    <w:rsid w:val="000C6475"/>
    <w:rsid w:val="000D05BE"/>
    <w:rsid w:val="000D5158"/>
    <w:rsid w:val="0013482C"/>
    <w:rsid w:val="001726F0"/>
    <w:rsid w:val="00187ABA"/>
    <w:rsid w:val="00196A7E"/>
    <w:rsid w:val="001A54F0"/>
    <w:rsid w:val="001B213B"/>
    <w:rsid w:val="001B5775"/>
    <w:rsid w:val="001B7171"/>
    <w:rsid w:val="001C1A5B"/>
    <w:rsid w:val="001E0867"/>
    <w:rsid w:val="001F06FE"/>
    <w:rsid w:val="001F3763"/>
    <w:rsid w:val="002101F9"/>
    <w:rsid w:val="002163C8"/>
    <w:rsid w:val="00217C00"/>
    <w:rsid w:val="00232292"/>
    <w:rsid w:val="002405C3"/>
    <w:rsid w:val="002476B9"/>
    <w:rsid w:val="002508FA"/>
    <w:rsid w:val="00250939"/>
    <w:rsid w:val="00260276"/>
    <w:rsid w:val="0026234D"/>
    <w:rsid w:val="002C728A"/>
    <w:rsid w:val="002E06EF"/>
    <w:rsid w:val="002E3925"/>
    <w:rsid w:val="00303B73"/>
    <w:rsid w:val="003606C7"/>
    <w:rsid w:val="00373F5F"/>
    <w:rsid w:val="00381B2F"/>
    <w:rsid w:val="00382448"/>
    <w:rsid w:val="003A0D60"/>
    <w:rsid w:val="003C331C"/>
    <w:rsid w:val="003E2604"/>
    <w:rsid w:val="003F4F3B"/>
    <w:rsid w:val="003F5ADA"/>
    <w:rsid w:val="003F77A1"/>
    <w:rsid w:val="00405C0F"/>
    <w:rsid w:val="0040758F"/>
    <w:rsid w:val="00410B89"/>
    <w:rsid w:val="00420166"/>
    <w:rsid w:val="0043046A"/>
    <w:rsid w:val="00430E5A"/>
    <w:rsid w:val="004310EC"/>
    <w:rsid w:val="00433CED"/>
    <w:rsid w:val="004462B1"/>
    <w:rsid w:val="00450F72"/>
    <w:rsid w:val="00466727"/>
    <w:rsid w:val="004D4ED0"/>
    <w:rsid w:val="004F0054"/>
    <w:rsid w:val="0050595E"/>
    <w:rsid w:val="00542C61"/>
    <w:rsid w:val="0054449D"/>
    <w:rsid w:val="005530A0"/>
    <w:rsid w:val="005733A3"/>
    <w:rsid w:val="00573EF9"/>
    <w:rsid w:val="00581065"/>
    <w:rsid w:val="005867FA"/>
    <w:rsid w:val="005B11BF"/>
    <w:rsid w:val="005C370E"/>
    <w:rsid w:val="005D0D98"/>
    <w:rsid w:val="005D2ED1"/>
    <w:rsid w:val="00605163"/>
    <w:rsid w:val="0062690A"/>
    <w:rsid w:val="00676AF7"/>
    <w:rsid w:val="0068732D"/>
    <w:rsid w:val="006B4CCA"/>
    <w:rsid w:val="006B5195"/>
    <w:rsid w:val="006C7A9D"/>
    <w:rsid w:val="006F1E0D"/>
    <w:rsid w:val="007326D5"/>
    <w:rsid w:val="00771391"/>
    <w:rsid w:val="007736B4"/>
    <w:rsid w:val="00783831"/>
    <w:rsid w:val="00790BED"/>
    <w:rsid w:val="007A09C6"/>
    <w:rsid w:val="007B6A41"/>
    <w:rsid w:val="007C1ED4"/>
    <w:rsid w:val="007F46E6"/>
    <w:rsid w:val="00846245"/>
    <w:rsid w:val="00853153"/>
    <w:rsid w:val="008615ED"/>
    <w:rsid w:val="00861DFF"/>
    <w:rsid w:val="008855DC"/>
    <w:rsid w:val="008A79AE"/>
    <w:rsid w:val="008D4A19"/>
    <w:rsid w:val="008D5501"/>
    <w:rsid w:val="008D6C31"/>
    <w:rsid w:val="008E5F0C"/>
    <w:rsid w:val="009454FC"/>
    <w:rsid w:val="00963BFE"/>
    <w:rsid w:val="00966EEB"/>
    <w:rsid w:val="00966FF4"/>
    <w:rsid w:val="009700A4"/>
    <w:rsid w:val="0098677B"/>
    <w:rsid w:val="009A31BF"/>
    <w:rsid w:val="009D05D5"/>
    <w:rsid w:val="009F656E"/>
    <w:rsid w:val="00A00F3A"/>
    <w:rsid w:val="00A518A9"/>
    <w:rsid w:val="00A567BD"/>
    <w:rsid w:val="00A61F67"/>
    <w:rsid w:val="00A746F5"/>
    <w:rsid w:val="00A851DF"/>
    <w:rsid w:val="00A8653E"/>
    <w:rsid w:val="00A94A94"/>
    <w:rsid w:val="00A94F48"/>
    <w:rsid w:val="00A95322"/>
    <w:rsid w:val="00AC34C9"/>
    <w:rsid w:val="00AD09C3"/>
    <w:rsid w:val="00AD2294"/>
    <w:rsid w:val="00AE46FF"/>
    <w:rsid w:val="00AE5E13"/>
    <w:rsid w:val="00AE72AC"/>
    <w:rsid w:val="00AF57D7"/>
    <w:rsid w:val="00AF7506"/>
    <w:rsid w:val="00B124FD"/>
    <w:rsid w:val="00B164CE"/>
    <w:rsid w:val="00B21142"/>
    <w:rsid w:val="00B4299D"/>
    <w:rsid w:val="00B855D5"/>
    <w:rsid w:val="00B90EF5"/>
    <w:rsid w:val="00B91932"/>
    <w:rsid w:val="00BD0479"/>
    <w:rsid w:val="00BF4AF7"/>
    <w:rsid w:val="00C05A3C"/>
    <w:rsid w:val="00C1025E"/>
    <w:rsid w:val="00C12091"/>
    <w:rsid w:val="00C16107"/>
    <w:rsid w:val="00C46B8F"/>
    <w:rsid w:val="00C50AE6"/>
    <w:rsid w:val="00C5160A"/>
    <w:rsid w:val="00C555C4"/>
    <w:rsid w:val="00C615C7"/>
    <w:rsid w:val="00C819F4"/>
    <w:rsid w:val="00CA0B68"/>
    <w:rsid w:val="00CA6364"/>
    <w:rsid w:val="00CC6C89"/>
    <w:rsid w:val="00CD66E5"/>
    <w:rsid w:val="00D22300"/>
    <w:rsid w:val="00D24636"/>
    <w:rsid w:val="00D31B57"/>
    <w:rsid w:val="00D3404A"/>
    <w:rsid w:val="00D61148"/>
    <w:rsid w:val="00D656BF"/>
    <w:rsid w:val="00D70A17"/>
    <w:rsid w:val="00D75A1E"/>
    <w:rsid w:val="00D819A2"/>
    <w:rsid w:val="00D9317D"/>
    <w:rsid w:val="00DA595A"/>
    <w:rsid w:val="00DB43A2"/>
    <w:rsid w:val="00DD6E87"/>
    <w:rsid w:val="00DF2EB8"/>
    <w:rsid w:val="00E02776"/>
    <w:rsid w:val="00E03F7C"/>
    <w:rsid w:val="00E22B3B"/>
    <w:rsid w:val="00E231BD"/>
    <w:rsid w:val="00E42B85"/>
    <w:rsid w:val="00E45999"/>
    <w:rsid w:val="00E7317A"/>
    <w:rsid w:val="00E83651"/>
    <w:rsid w:val="00E87831"/>
    <w:rsid w:val="00EB704F"/>
    <w:rsid w:val="00EC13F3"/>
    <w:rsid w:val="00ED1D0D"/>
    <w:rsid w:val="00EE1C9F"/>
    <w:rsid w:val="00EE3F3B"/>
    <w:rsid w:val="00EF100B"/>
    <w:rsid w:val="00F32A52"/>
    <w:rsid w:val="00F524D6"/>
    <w:rsid w:val="00F57F00"/>
    <w:rsid w:val="00F77474"/>
    <w:rsid w:val="00F84AD6"/>
    <w:rsid w:val="00F95178"/>
    <w:rsid w:val="00FB1820"/>
    <w:rsid w:val="00FD0E22"/>
    <w:rsid w:val="00FD3C59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4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3F5ADA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5ADA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5ADA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F5ADA"/>
    <w:rPr>
      <w:vertAlign w:val="superscript"/>
    </w:rPr>
  </w:style>
  <w:style w:type="paragraph" w:customStyle="1" w:styleId="VWSNtb">
    <w:name w:val="VWS Ntb"/>
    <w:basedOn w:val="Standaard"/>
    <w:next w:val="Standaard"/>
    <w:rsid w:val="003F5ADA"/>
    <w:pPr>
      <w:widowControl/>
      <w:numPr>
        <w:ilvl w:val="1"/>
        <w:numId w:val="2"/>
      </w:numPr>
      <w:suppressAutoHyphens w:val="0"/>
    </w:pPr>
    <w:rPr>
      <w:color w:val="000000"/>
      <w:kern w:val="0"/>
      <w:szCs w:val="18"/>
      <w:lang w:eastAsia="nl-NL" w:bidi="ar-SA"/>
    </w:rPr>
  </w:style>
  <w:style w:type="paragraph" w:customStyle="1" w:styleId="VWSNtb-inspringen">
    <w:name w:val="VWS Ntb - inspringen"/>
    <w:basedOn w:val="Standaard"/>
    <w:next w:val="Standaard"/>
    <w:rsid w:val="003F5ADA"/>
    <w:pPr>
      <w:widowControl/>
      <w:numPr>
        <w:ilvl w:val="2"/>
        <w:numId w:val="2"/>
      </w:numPr>
      <w:suppressAutoHyphens w:val="0"/>
    </w:pPr>
    <w:rPr>
      <w:color w:val="000000"/>
      <w:kern w:val="0"/>
      <w:szCs w:val="18"/>
      <w:lang w:eastAsia="nl-NL" w:bidi="ar-SA"/>
    </w:rPr>
  </w:style>
  <w:style w:type="paragraph" w:customStyle="1" w:styleId="VWSNtbKop">
    <w:name w:val="VWS Ntb Kop"/>
    <w:basedOn w:val="Standaard"/>
    <w:next w:val="Standaard"/>
    <w:rsid w:val="003F5ADA"/>
    <w:pPr>
      <w:widowControl/>
      <w:numPr>
        <w:numId w:val="2"/>
      </w:numPr>
      <w:suppressAutoHyphens w:val="0"/>
    </w:pPr>
    <w:rPr>
      <w:b/>
      <w:color w:val="000000"/>
      <w:kern w:val="0"/>
      <w:szCs w:val="18"/>
      <w:lang w:eastAsia="nl-NL"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D3C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D3C59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D3C59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3C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3C59"/>
    <w:rPr>
      <w:rFonts w:ascii="Verdana" w:hAnsi="Verdana" w:cs="Mangal"/>
      <w:b/>
      <w:bCs/>
      <w:sz w:val="20"/>
      <w:szCs w:val="18"/>
    </w:rPr>
  </w:style>
  <w:style w:type="paragraph" w:customStyle="1" w:styleId="Referentiegegevens">
    <w:name w:val="Referentiegegevens"/>
    <w:basedOn w:val="Standaard"/>
    <w:next w:val="Standaard"/>
    <w:rsid w:val="00573EF9"/>
    <w:pPr>
      <w:widowControl/>
      <w:suppressAutoHyphens w:val="0"/>
      <w:spacing w:line="180" w:lineRule="exact"/>
      <w:outlineLvl w:val="4"/>
    </w:pPr>
    <w:rPr>
      <w:color w:val="000000"/>
      <w:kern w:val="0"/>
      <w:sz w:val="13"/>
      <w:szCs w:val="13"/>
      <w:lang w:eastAsia="nl-NL" w:bidi="ar-SA"/>
    </w:rPr>
  </w:style>
  <w:style w:type="paragraph" w:styleId="Revisie">
    <w:name w:val="Revision"/>
    <w:hidden/>
    <w:uiPriority w:val="99"/>
    <w:semiHidden/>
    <w:rsid w:val="00783831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zondheidsraad.nl/documenten/2025/04/03/adviesaanvraag-vws-over-actualisatie-advies-meningokokken-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667</ap:Words>
  <ap:Characters>3669</ap:Characters>
  <ap:DocSecurity>0</ap:DocSecurity>
  <ap:Lines>30</ap:Lines>
  <ap:Paragraphs>8</ap:Paragraphs>
  <ap:ScaleCrop>false</ap:ScaleCrop>
  <ap:LinksUpToDate>false</ap:LinksUpToDate>
  <ap:CharactersWithSpaces>4328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2026-05-27T11:29:00.0000000Z</dcterms:created>
  <dcterms:modified xsi:type="dcterms:W3CDTF">2026-05-27T11:30:00.0000000Z</dcterms:modified>
  <dc:creator/>
  <dc:description>------------------------</dc:description>
  <dc:subject/>
  <dc:title/>
  <keywords/>
  <version/>
  <category/>
</coreProperties>
</file>