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880A64" w14:paraId="74967B29" w14:textId="77777777">
      <w:r>
        <w:t>Geachte Voorzitter,</w:t>
      </w:r>
      <w:r>
        <w:br/>
      </w:r>
    </w:p>
    <w:p w:rsidR="00357994" w:rsidP="005F0D54" w:rsidRDefault="00880A64" w14:paraId="526045C9" w14:textId="39A0E6E7">
      <w:r>
        <w:t>Hierbij zend ik u</w:t>
      </w:r>
      <w:r w:rsidR="000B3074">
        <w:t>, mede namens de Staatssecretaris van Klimaat en Groene Groei,</w:t>
      </w:r>
      <w:r>
        <w:t xml:space="preserve"> de antwoorden op de vragen van het lid </w:t>
      </w:r>
      <w:r w:rsidR="003B60AA">
        <w:t>Van den Berg</w:t>
      </w:r>
      <w:r>
        <w:t xml:space="preserve"> (</w:t>
      </w:r>
      <w:r w:rsidR="003B60AA">
        <w:t>JA21</w:t>
      </w:r>
      <w:r>
        <w:t xml:space="preserve">) over </w:t>
      </w:r>
      <w:r w:rsidRPr="003B60AA" w:rsidR="003B60AA">
        <w:t>blauwe waterstof, CO</w:t>
      </w:r>
      <w:r w:rsidRPr="003B60AA" w:rsidR="003B60AA">
        <w:rPr>
          <w:vertAlign w:val="subscript"/>
        </w:rPr>
        <w:t>2</w:t>
      </w:r>
      <w:r w:rsidRPr="003B60AA" w:rsidR="003B60AA">
        <w:t xml:space="preserve">-opslag en publiek risico </w:t>
      </w:r>
      <w:r>
        <w:t>(</w:t>
      </w:r>
      <w:r w:rsidRPr="003B60AA" w:rsidR="003B60AA">
        <w:t>2026Z06931</w:t>
      </w:r>
      <w:r>
        <w:t xml:space="preserve">, ingezonden </w:t>
      </w:r>
      <w:r w:rsidR="003B60AA">
        <w:t>2 april 2026</w:t>
      </w:r>
      <w:r>
        <w:t xml:space="preserve">). </w:t>
      </w:r>
    </w:p>
    <w:p w:rsidR="0029019C" w:rsidP="005F0D54" w:rsidRDefault="0029019C" w14:paraId="526210E7" w14:textId="77777777"/>
    <w:p w:rsidR="00C561C7" w:rsidP="005F0D54" w:rsidRDefault="00C561C7" w14:paraId="13902273" w14:textId="77777777"/>
    <w:p w:rsidR="00C561C7" w:rsidP="005F0D54" w:rsidRDefault="00C561C7" w14:paraId="598F9005" w14:textId="77777777"/>
    <w:p w:rsidR="00C561C7" w:rsidP="005F0D54" w:rsidRDefault="00C561C7" w14:paraId="25AE9B93" w14:textId="77777777"/>
    <w:p w:rsidRPr="00747885" w:rsidR="00C561C7" w:rsidP="005F0D54" w:rsidRDefault="00C561C7" w14:paraId="0EA6E02E" w14:textId="77777777"/>
    <w:p w:rsidR="000B3074" w:rsidP="000B3074" w:rsidRDefault="000B3074" w14:paraId="07BF834F" w14:textId="77777777">
      <w:pPr>
        <w:rPr>
          <w:szCs w:val="18"/>
        </w:rPr>
      </w:pPr>
      <w:r>
        <w:rPr>
          <w:szCs w:val="18"/>
        </w:rPr>
        <w:t>Stientje van Veldhoven-van der Meer</w:t>
      </w:r>
    </w:p>
    <w:p w:rsidRPr="005461DA" w:rsidR="000B3074" w:rsidP="000B3074" w:rsidRDefault="000B3074" w14:paraId="591D108A" w14:textId="77777777">
      <w:pPr>
        <w:rPr>
          <w:szCs w:val="18"/>
        </w:rPr>
      </w:pPr>
      <w:r>
        <w:rPr>
          <w:szCs w:val="18"/>
        </w:rPr>
        <w:t>Minister van Klimaat en Groene Groei</w:t>
      </w:r>
    </w:p>
    <w:p w:rsidR="00EF6D37" w:rsidP="00747885" w:rsidRDefault="00EF6D37" w14:paraId="172F4271" w14:textId="77777777">
      <w:pPr>
        <w:spacing w:after="200" w:line="276" w:lineRule="auto"/>
        <w:rPr>
          <w:b/>
        </w:rPr>
      </w:pPr>
    </w:p>
    <w:p w:rsidR="00EF6D37" w:rsidP="00747885" w:rsidRDefault="00EF6D37" w14:paraId="0B149856" w14:textId="77777777">
      <w:pPr>
        <w:spacing w:after="200" w:line="276" w:lineRule="auto"/>
        <w:rPr>
          <w:b/>
        </w:rPr>
      </w:pPr>
    </w:p>
    <w:p w:rsidR="00225675" w:rsidRDefault="00880A64" w14:paraId="3024BFF5" w14:textId="77777777">
      <w:pPr>
        <w:spacing w:after="200" w:line="276" w:lineRule="auto"/>
        <w:rPr>
          <w:b/>
        </w:rPr>
      </w:pPr>
      <w:r>
        <w:rPr>
          <w:b/>
        </w:rPr>
        <w:br w:type="page"/>
      </w:r>
    </w:p>
    <w:p w:rsidR="003B60AA" w:rsidP="00747885" w:rsidRDefault="003B60AA" w14:paraId="364CA256" w14:textId="77777777">
      <w:pPr>
        <w:spacing w:after="200" w:line="276" w:lineRule="auto"/>
        <w:rPr>
          <w:rStyle w:val="Zwaar"/>
          <w:b w:val="0"/>
          <w:bCs w:val="0"/>
        </w:rPr>
      </w:pPr>
      <w:r w:rsidRPr="003B60AA">
        <w:rPr>
          <w:b/>
        </w:rPr>
        <w:t>2026Z06931</w:t>
      </w:r>
      <w:r w:rsidR="00747885">
        <w:rPr>
          <w:b/>
        </w:rPr>
        <w:br/>
      </w:r>
    </w:p>
    <w:p w:rsidRPr="00747885" w:rsidR="005F0D54" w:rsidP="003B60AA" w:rsidRDefault="00880A64" w14:paraId="0CE4F3FF" w14:textId="319C2461">
      <w:pPr>
        <w:rPr>
          <w:b/>
        </w:rPr>
      </w:pPr>
      <w:r w:rsidRPr="006B7A36">
        <w:rPr>
          <w:rStyle w:val="Zwaar"/>
          <w:b w:val="0"/>
          <w:bCs w:val="0"/>
        </w:rPr>
        <w:t>1</w:t>
      </w:r>
      <w:r w:rsidR="00747885">
        <w:rPr>
          <w:rStyle w:val="Zwaar"/>
          <w:bCs w:val="0"/>
        </w:rPr>
        <w:br/>
      </w:r>
      <w:r w:rsidRPr="003B60AA" w:rsidR="003B60AA">
        <w:t>Bent u bekend met de Kamerbrief van 14 juli 2025 over waterstof, groen gas</w:t>
      </w:r>
      <w:r w:rsidR="003B60AA">
        <w:t xml:space="preserve"> </w:t>
      </w:r>
      <w:r w:rsidRPr="003B60AA" w:rsidR="003B60AA">
        <w:t>en andere energiedragers en met de Klimaat- en Energienota 2025?</w:t>
      </w:r>
      <w:r w:rsidR="003B60AA">
        <w:t xml:space="preserve"> </w:t>
      </w:r>
      <w:r w:rsidR="003B60AA">
        <w:rPr>
          <w:rStyle w:val="Voetnootmarkering"/>
        </w:rPr>
        <w:footnoteReference w:id="1"/>
      </w:r>
      <w:r w:rsidRPr="003B60AA" w:rsidR="003B60AA">
        <w:rPr>
          <w:vertAlign w:val="superscript"/>
        </w:rPr>
        <w:t>,</w:t>
      </w:r>
      <w:r w:rsidR="003B60AA">
        <w:rPr>
          <w:vertAlign w:val="superscript"/>
        </w:rPr>
        <w:t xml:space="preserve"> </w:t>
      </w:r>
      <w:r w:rsidR="003B60AA">
        <w:rPr>
          <w:rStyle w:val="Voetnootmarkering"/>
        </w:rPr>
        <w:footnoteReference w:id="2"/>
      </w:r>
      <w:r w:rsidR="003B60AA">
        <w:rPr>
          <w:vertAlign w:val="superscript"/>
        </w:rPr>
        <w:t xml:space="preserve">, </w:t>
      </w:r>
      <w:r w:rsidR="003B60AA">
        <w:rPr>
          <w:rStyle w:val="Voetnootmarkering"/>
        </w:rPr>
        <w:footnoteReference w:id="3"/>
      </w:r>
      <w:r>
        <w:t xml:space="preserve"> </w:t>
      </w:r>
    </w:p>
    <w:p w:rsidR="003B60AA" w:rsidP="005F0D54" w:rsidRDefault="003B60AA" w14:paraId="1BE40214" w14:textId="77777777">
      <w:pPr>
        <w:rPr>
          <w:rStyle w:val="Zwaar"/>
          <w:b w:val="0"/>
          <w:bCs w:val="0"/>
        </w:rPr>
      </w:pPr>
    </w:p>
    <w:p w:rsidRPr="006B7A36" w:rsidR="005F0D54" w:rsidP="005F0D54" w:rsidRDefault="00880A64" w14:paraId="467136E2" w14:textId="050E97D9">
      <w:pPr>
        <w:rPr>
          <w:b/>
          <w:bCs/>
        </w:rPr>
      </w:pPr>
      <w:r w:rsidRPr="006B7A36">
        <w:rPr>
          <w:rStyle w:val="Zwaar"/>
          <w:b w:val="0"/>
          <w:bCs w:val="0"/>
        </w:rPr>
        <w:t>Antwoord</w:t>
      </w:r>
    </w:p>
    <w:p w:rsidR="005F0D54" w:rsidP="005F0D54" w:rsidRDefault="003B60AA" w14:paraId="00534D41" w14:textId="34A0B580">
      <w:r>
        <w:t xml:space="preserve">Ja </w:t>
      </w:r>
    </w:p>
    <w:p w:rsidR="005F0D54" w:rsidP="005F0D54" w:rsidRDefault="005F0D54" w14:paraId="16C75F3A" w14:textId="77777777"/>
    <w:p w:rsidR="005F0D54" w:rsidP="005F0D54" w:rsidRDefault="00880A64" w14:paraId="799CF8C7" w14:textId="77777777">
      <w:r>
        <w:t>2</w:t>
      </w:r>
    </w:p>
    <w:p w:rsidR="005F0D54" w:rsidP="005F0D54" w:rsidRDefault="003B60AA" w14:paraId="1600E828" w14:textId="633BB560">
      <w:r w:rsidRPr="003B60AA">
        <w:t>Klopt het dat het kabinet nieuwe productie van koolstofarme waterstof uit</w:t>
      </w:r>
      <w:r>
        <w:t xml:space="preserve"> </w:t>
      </w:r>
      <w:r w:rsidRPr="003B60AA">
        <w:t xml:space="preserve">aardgas met </w:t>
      </w:r>
      <w:r w:rsidRPr="003B60AA">
        <w:rPr>
          <w:i/>
          <w:iCs/>
        </w:rPr>
        <w:t>Carbon Capture and Storage</w:t>
      </w:r>
      <w:r w:rsidRPr="003B60AA">
        <w:t xml:space="preserve"> (CCS) wel mogelijk en in bepaalde</w:t>
      </w:r>
      <w:r>
        <w:t xml:space="preserve"> </w:t>
      </w:r>
      <w:r w:rsidRPr="003B60AA">
        <w:t>gevallen kansrijk acht, maar daarvoor op dit moment geen aanvullend</w:t>
      </w:r>
      <w:r>
        <w:t xml:space="preserve"> </w:t>
      </w:r>
      <w:r w:rsidRPr="003B60AA">
        <w:t>financieel instrumentarium inzet vanwege onzekere vraag, hoge kosten en</w:t>
      </w:r>
      <w:r>
        <w:t xml:space="preserve"> </w:t>
      </w:r>
      <w:r w:rsidRPr="003B60AA">
        <w:t>een pas na circa 2035 realistisch geachte substantiële afzetmarkt?</w:t>
      </w:r>
      <w:r>
        <w:t xml:space="preserve"> </w:t>
      </w:r>
    </w:p>
    <w:p w:rsidR="005F0D54" w:rsidP="005F0D54" w:rsidRDefault="005F0D54" w14:paraId="3BD707F2" w14:textId="77777777"/>
    <w:p w:rsidR="005F0D54" w:rsidP="005F0D54" w:rsidRDefault="00880A64" w14:paraId="43589858" w14:textId="77777777">
      <w:r>
        <w:t>Antwoord</w:t>
      </w:r>
    </w:p>
    <w:p w:rsidR="005F0D54" w:rsidP="005F0D54" w:rsidRDefault="003B60AA" w14:paraId="38D9421C" w14:textId="01801FA4">
      <w:r w:rsidRPr="003B60AA">
        <w:t>In de beleidsverkenning koolstofarme waterstof, als onderdeel van de Kamerbrief “Voortgang waterstofbeleid”</w:t>
      </w:r>
      <w:r w:rsidRPr="005D1B1F" w:rsidR="005D1B1F">
        <w:rPr>
          <w:vertAlign w:val="superscript"/>
        </w:rPr>
        <w:t>1</w:t>
      </w:r>
      <w:r w:rsidRPr="003B60AA">
        <w:t xml:space="preserve"> </w:t>
      </w:r>
      <w:r w:rsidR="005D1B1F">
        <w:t>waaraan u refereert</w:t>
      </w:r>
      <w:r w:rsidRPr="003B60AA">
        <w:t>, is dit beeld geschetst. De markt voor deze projecten lijkt op korte termijn beperkt. Bestaande grijze waterstofgebruikers zetten namelijk vooral in op het toepassen van CCS op hun eigen productie-installaties. Wel zijn er potentiële nieuwe toepassingen voor koolstofarme waterstof, zoals partijen die kijken naar inzet hiervan voor het vervangen van aardgasgebruik in gascentrales, of voor hoge-temperatuur warmte in cluster 6 op plekken waar elektrificatie zeer uitdagend of niet mogelijk is. Het vervangen van aardgas voor deze toepassingen met koolstofarme waterstof kent vooralsnog relatief hoge kosten, waardoor dit alleen met significante subsidies uit kan. Op dit moment lijkt aanvullende interventie niet doelmatig. Mogelijk ontstaat op langere termijn een kosteneffectieve businesscase voor deze toepassingen van waterstof. De noodzaak hiervoor zal ook afhangen van de beschikbaarheid en kostenontwikkeling van alternatieven, zoals groen gas.</w:t>
      </w:r>
      <w:r>
        <w:t xml:space="preserve"> </w:t>
      </w:r>
    </w:p>
    <w:p w:rsidR="005F0D54" w:rsidP="005F0D54" w:rsidRDefault="00880A64" w14:paraId="01C9F35C" w14:textId="77777777">
      <w:r>
        <w:br/>
        <w:t>3</w:t>
      </w:r>
    </w:p>
    <w:p w:rsidR="005F0D54" w:rsidP="005F0D54" w:rsidRDefault="003B60AA" w14:paraId="3B89B2F7" w14:textId="055CAC48">
      <w:r w:rsidRPr="003B60AA">
        <w:t>Hoe verhoudt deze terughoudendheid zich tot de forse publieke betrokkenheid bij CO</w:t>
      </w:r>
      <w:r w:rsidRPr="003B60AA">
        <w:rPr>
          <w:vertAlign w:val="subscript"/>
        </w:rPr>
        <w:t>2</w:t>
      </w:r>
      <w:r w:rsidRPr="003B60AA">
        <w:t>-infrastructuur, waaronder het afdekken van vollooprisico’s en de</w:t>
      </w:r>
      <w:r>
        <w:t xml:space="preserve"> </w:t>
      </w:r>
      <w:r w:rsidRPr="003B60AA">
        <w:t>deelname van Energie Beheer Nederland (EBN) in CCS-projecten?</w:t>
      </w:r>
      <w:r>
        <w:t xml:space="preserve"> </w:t>
      </w:r>
    </w:p>
    <w:p w:rsidR="005F0D54" w:rsidP="005F0D54" w:rsidRDefault="005F0D54" w14:paraId="2CA37D75" w14:textId="77777777"/>
    <w:p w:rsidR="005F0D54" w:rsidP="005F0D54" w:rsidRDefault="00880A64" w14:paraId="1710C62D" w14:textId="77777777">
      <w:r>
        <w:t>Antwoord</w:t>
      </w:r>
    </w:p>
    <w:p w:rsidR="005F0D54" w:rsidP="005F0D54" w:rsidRDefault="004A2B4E" w14:paraId="798F6990" w14:textId="5D57C981">
      <w:r w:rsidRPr="004A2B4E">
        <w:t>Zonder CCS worden de CO</w:t>
      </w:r>
      <w:r w:rsidRPr="004A2B4E">
        <w:rPr>
          <w:vertAlign w:val="subscript"/>
        </w:rPr>
        <w:t>2</w:t>
      </w:r>
      <w:r w:rsidRPr="004A2B4E">
        <w:t>-reductiedoelstellingen voor de industrie niet gehaald. Voor diverse industriële sectoren is CCS de enige manier om op korte manier te verduurzamen. Bovendien is CCS nodig voor koolstofverwijdering om klimaatneutraal te worden. Het belang van CO</w:t>
      </w:r>
      <w:r w:rsidRPr="004A2B4E">
        <w:rPr>
          <w:vertAlign w:val="subscript"/>
        </w:rPr>
        <w:t>2</w:t>
      </w:r>
      <w:r w:rsidRPr="004A2B4E">
        <w:t>-infrastructuur is daarmee breder dan alleen koolstofarme waterstof. De Staat zet daarom met diverse maatregelen in op het tijdig op gang brengen van de CCS-markt, zodat projecten kunnen bijdragen aan de CO</w:t>
      </w:r>
      <w:r w:rsidRPr="004A2B4E">
        <w:rPr>
          <w:vertAlign w:val="subscript"/>
        </w:rPr>
        <w:t>2</w:t>
      </w:r>
      <w:r w:rsidRPr="004A2B4E">
        <w:t>-reductiedoelen voor 2030</w:t>
      </w:r>
      <w:r w:rsidR="00026C2F">
        <w:t>.</w:t>
      </w:r>
    </w:p>
    <w:p w:rsidR="005F0D54" w:rsidP="005F0D54" w:rsidRDefault="005F0D54" w14:paraId="0DD1A284" w14:textId="77777777"/>
    <w:p w:rsidR="00263155" w:rsidP="00810C93" w:rsidRDefault="003B60AA" w14:paraId="56F9FC3F" w14:textId="5F46DCF4">
      <w:r>
        <w:t>4</w:t>
      </w:r>
    </w:p>
    <w:p w:rsidR="003B60AA" w:rsidP="00810C93" w:rsidRDefault="003B60AA" w14:paraId="15093B43" w14:textId="6F302A1D">
      <w:r w:rsidRPr="003B60AA">
        <w:t>Kunt u een integraal overzicht geven van alle directe en indirecte publieke</w:t>
      </w:r>
      <w:r>
        <w:t xml:space="preserve"> </w:t>
      </w:r>
      <w:r w:rsidRPr="003B60AA">
        <w:t>middelen, garanties, leningen, kapitaalstortingen, Stimulering Duurzame</w:t>
      </w:r>
      <w:r>
        <w:t xml:space="preserve"> </w:t>
      </w:r>
      <w:r w:rsidRPr="003B60AA">
        <w:t>Energieproductie en Klimaattransitie-beschikkingen (SDE++) en overige</w:t>
      </w:r>
      <w:r>
        <w:t xml:space="preserve"> </w:t>
      </w:r>
      <w:r w:rsidRPr="003B60AA">
        <w:t>risico’s die samenhangen met CCS-infrastructuur en projecten die voor</w:t>
      </w:r>
      <w:r>
        <w:t xml:space="preserve"> </w:t>
      </w:r>
      <w:r w:rsidRPr="003B60AA">
        <w:t>blauwe waterstof relevant zijn?</w:t>
      </w:r>
    </w:p>
    <w:p w:rsidR="00721AE1" w:rsidRDefault="00721AE1" w14:paraId="4F4EE7F5" w14:textId="77777777">
      <w:pPr>
        <w:spacing w:line="240" w:lineRule="auto"/>
      </w:pPr>
    </w:p>
    <w:p w:rsidR="003B60AA" w:rsidRDefault="004A2B4E" w14:paraId="028D4C32" w14:textId="7A538E1F">
      <w:pPr>
        <w:spacing w:line="240" w:lineRule="auto"/>
      </w:pPr>
      <w:r>
        <w:t>Antwoord</w:t>
      </w:r>
    </w:p>
    <w:p w:rsidR="004A2B4E" w:rsidRDefault="004A2B4E" w14:paraId="55853F9C" w14:textId="653FF14F">
      <w:pPr>
        <w:spacing w:line="240" w:lineRule="auto"/>
      </w:pPr>
      <w:r w:rsidRPr="004A2B4E">
        <w:t>Hieronder vindt uw Kamer een integraal overzicht van alle publieke middelen die beschikbaar zijn gesteld voor activiteiten die samenhangen met CCS.</w:t>
      </w:r>
    </w:p>
    <w:p w:rsidR="004A2B4E" w:rsidRDefault="004A2B4E" w14:paraId="3E9C7D04" w14:textId="77777777">
      <w:pPr>
        <w:spacing w:line="240" w:lineRule="auto"/>
      </w:pPr>
    </w:p>
    <w:tbl>
      <w:tblPr>
        <w:tblStyle w:val="Tabelraster"/>
        <w:tblW w:w="5000" w:type="pct"/>
        <w:tblLayout w:type="fixed"/>
        <w:tblCellMar>
          <w:top w:w="28" w:type="dxa"/>
          <w:left w:w="57" w:type="dxa"/>
          <w:bottom w:w="28" w:type="dxa"/>
          <w:right w:w="57" w:type="dxa"/>
        </w:tblCellMar>
        <w:tblLook w:val="04A0" w:firstRow="1" w:lastRow="0" w:firstColumn="1" w:lastColumn="0" w:noHBand="0" w:noVBand="1"/>
      </w:tblPr>
      <w:tblGrid>
        <w:gridCol w:w="1873"/>
        <w:gridCol w:w="839"/>
        <w:gridCol w:w="1254"/>
        <w:gridCol w:w="1676"/>
        <w:gridCol w:w="1887"/>
      </w:tblGrid>
      <w:tr w:rsidRPr="009B4172" w:rsidR="00BA6AF9" w:rsidTr="00BA6AF9" w14:paraId="795CF749" w14:textId="77777777">
        <w:trPr>
          <w:trHeight w:val="56"/>
          <w:tblHeader/>
        </w:trPr>
        <w:tc>
          <w:tcPr>
            <w:tcW w:w="1244" w:type="pct"/>
            <w:tcBorders>
              <w:top w:val="single" w:color="auto" w:sz="4" w:space="0"/>
              <w:left w:val="nil"/>
              <w:bottom w:val="single" w:color="auto" w:sz="4" w:space="0"/>
              <w:right w:val="nil"/>
            </w:tcBorders>
            <w:noWrap/>
            <w:hideMark/>
          </w:tcPr>
          <w:p w:rsidRPr="009B4172" w:rsidR="009B4172" w:rsidP="009B4172" w:rsidRDefault="009B4172" w14:paraId="4766A099" w14:textId="26C28AA1">
            <w:pPr>
              <w:spacing w:line="240" w:lineRule="auto"/>
              <w:rPr>
                <w:rFonts w:eastAsia="Verdana" w:cs="Verdana"/>
                <w:b/>
                <w:szCs w:val="18"/>
              </w:rPr>
            </w:pPr>
            <w:r>
              <w:rPr>
                <w:rFonts w:eastAsia="Verdana" w:cs="Verdana"/>
                <w:b/>
                <w:szCs w:val="18"/>
              </w:rPr>
              <w:t>Activiteit</w:t>
            </w:r>
          </w:p>
        </w:tc>
        <w:tc>
          <w:tcPr>
            <w:tcW w:w="3756" w:type="pct"/>
            <w:gridSpan w:val="4"/>
            <w:tcBorders>
              <w:top w:val="single" w:color="auto" w:sz="4" w:space="0"/>
              <w:left w:val="nil"/>
              <w:bottom w:val="single" w:color="auto" w:sz="4" w:space="0"/>
              <w:right w:val="nil"/>
            </w:tcBorders>
            <w:noWrap/>
            <w:hideMark/>
          </w:tcPr>
          <w:p w:rsidRPr="009B4172" w:rsidR="009B4172" w:rsidP="009B4172" w:rsidRDefault="009B4172" w14:paraId="472BE0D4" w14:textId="77777777">
            <w:pPr>
              <w:spacing w:line="240" w:lineRule="auto"/>
              <w:rPr>
                <w:rFonts w:eastAsia="Verdana" w:cs="Verdana"/>
                <w:b/>
                <w:szCs w:val="18"/>
              </w:rPr>
            </w:pPr>
            <w:r w:rsidRPr="009B4172">
              <w:rPr>
                <w:rFonts w:eastAsia="Verdana" w:cs="Verdana"/>
                <w:b/>
                <w:szCs w:val="18"/>
              </w:rPr>
              <w:t>Toelichting</w:t>
            </w:r>
          </w:p>
        </w:tc>
      </w:tr>
      <w:tr w:rsidRPr="009B4172" w:rsidR="00BA6AF9" w:rsidTr="00BA6AF9" w14:paraId="61818958" w14:textId="77777777">
        <w:trPr>
          <w:trHeight w:val="665"/>
        </w:trPr>
        <w:tc>
          <w:tcPr>
            <w:tcW w:w="1244" w:type="pct"/>
            <w:vMerge w:val="restart"/>
            <w:tcBorders>
              <w:top w:val="single" w:color="auto" w:sz="4" w:space="0"/>
              <w:left w:val="nil"/>
              <w:bottom w:val="nil"/>
              <w:right w:val="nil"/>
            </w:tcBorders>
            <w:noWrap/>
            <w:hideMark/>
          </w:tcPr>
          <w:p w:rsidRPr="009B4172" w:rsidR="009B4172" w:rsidP="009B4172" w:rsidRDefault="009B4172" w14:paraId="7E87964A" w14:textId="77777777">
            <w:pPr>
              <w:spacing w:line="240" w:lineRule="auto"/>
              <w:rPr>
                <w:rFonts w:eastAsia="Verdana" w:cs="Verdana"/>
                <w:color w:val="000000"/>
                <w:szCs w:val="18"/>
              </w:rPr>
            </w:pPr>
            <w:r w:rsidRPr="009B4172">
              <w:rPr>
                <w:rFonts w:eastAsia="Verdana" w:cs="Verdana"/>
                <w:color w:val="000000" w:themeColor="text1"/>
                <w:szCs w:val="18"/>
              </w:rPr>
              <w:t>SDE++</w:t>
            </w:r>
          </w:p>
        </w:tc>
        <w:tc>
          <w:tcPr>
            <w:tcW w:w="3756" w:type="pct"/>
            <w:gridSpan w:val="4"/>
            <w:tcBorders>
              <w:top w:val="single" w:color="auto" w:sz="4" w:space="0"/>
              <w:left w:val="nil"/>
              <w:bottom w:val="single" w:color="auto" w:sz="4" w:space="0"/>
              <w:right w:val="nil"/>
            </w:tcBorders>
            <w:hideMark/>
          </w:tcPr>
          <w:p w:rsidRPr="00BA6AF9" w:rsidR="00BA6AF9" w:rsidP="00BA6AF9" w:rsidRDefault="009B4172" w14:paraId="329D8EF1" w14:textId="130DE574">
            <w:pPr>
              <w:spacing w:after="120" w:line="240" w:lineRule="auto"/>
              <w:rPr>
                <w:rFonts w:eastAsia="Verdana" w:cs="Verdana"/>
                <w:color w:val="000000" w:themeColor="text1"/>
                <w:szCs w:val="18"/>
              </w:rPr>
            </w:pPr>
            <w:r w:rsidRPr="009B4172">
              <w:rPr>
                <w:rFonts w:eastAsia="Verdana" w:cs="Verdana"/>
                <w:color w:val="000000" w:themeColor="text1"/>
                <w:szCs w:val="18"/>
              </w:rPr>
              <w:t>Voor de SDE++ is in enkele jaren subsidie toegekend aan CCS-projecten. De daadwerkelijke uitgekeerde subsidie hangt af van de ETS-prijs in het betreffende subsidiejaar. Tot nu toe is nog geen SDE</w:t>
            </w:r>
            <w:r>
              <w:rPr>
                <w:rFonts w:eastAsia="Verdana" w:cs="Verdana"/>
                <w:color w:val="000000" w:themeColor="text1"/>
                <w:szCs w:val="18"/>
              </w:rPr>
              <w:t>++</w:t>
            </w:r>
            <w:r w:rsidRPr="009B4172">
              <w:rPr>
                <w:rFonts w:eastAsia="Verdana" w:cs="Verdana"/>
                <w:color w:val="000000" w:themeColor="text1"/>
                <w:szCs w:val="18"/>
              </w:rPr>
              <w:t>-subsidie uitgekeerd aan CCS, omdat</w:t>
            </w:r>
            <w:r w:rsidR="00BA6AF9">
              <w:rPr>
                <w:rFonts w:eastAsia="Verdana" w:cs="Verdana"/>
                <w:color w:val="000000" w:themeColor="text1"/>
                <w:szCs w:val="18"/>
              </w:rPr>
              <w:t xml:space="preserve"> </w:t>
            </w:r>
            <w:r w:rsidRPr="009B4172" w:rsidR="00BA6AF9">
              <w:rPr>
                <w:rFonts w:eastAsia="Verdana" w:cs="Verdana"/>
                <w:color w:val="000000" w:themeColor="text1"/>
                <w:szCs w:val="18"/>
              </w:rPr>
              <w:t>subsidie wordt uitbetaald op basis van daadwerkelijk gerealiseerde CO</w:t>
            </w:r>
            <w:r w:rsidRPr="009B4172" w:rsidR="00BA6AF9">
              <w:rPr>
                <w:rFonts w:eastAsia="Verdana" w:cs="Verdana"/>
                <w:color w:val="000000" w:themeColor="text1"/>
                <w:szCs w:val="18"/>
                <w:vertAlign w:val="subscript"/>
              </w:rPr>
              <w:t>2</w:t>
            </w:r>
            <w:r w:rsidRPr="009B4172" w:rsidR="00BA6AF9">
              <w:rPr>
                <w:rFonts w:eastAsia="Verdana" w:cs="Verdana"/>
                <w:color w:val="000000" w:themeColor="text1"/>
                <w:szCs w:val="18"/>
              </w:rPr>
              <w:t>-reductie</w:t>
            </w:r>
            <w:r w:rsidR="00BA6AF9">
              <w:rPr>
                <w:rFonts w:eastAsia="Verdana" w:cs="Verdana"/>
                <w:color w:val="000000" w:themeColor="text1"/>
                <w:szCs w:val="18"/>
              </w:rPr>
              <w:t xml:space="preserve"> en er</w:t>
            </w:r>
            <w:r w:rsidRPr="009B4172">
              <w:rPr>
                <w:rFonts w:eastAsia="Verdana" w:cs="Verdana"/>
                <w:color w:val="000000" w:themeColor="text1"/>
                <w:szCs w:val="18"/>
              </w:rPr>
              <w:t xml:space="preserve"> nog geen CCS-</w:t>
            </w:r>
            <w:r>
              <w:rPr>
                <w:rFonts w:eastAsia="Verdana" w:cs="Verdana"/>
                <w:color w:val="000000" w:themeColor="text1"/>
                <w:szCs w:val="18"/>
              </w:rPr>
              <w:t>projecten zijn</w:t>
            </w:r>
            <w:r w:rsidRPr="009B4172">
              <w:rPr>
                <w:rFonts w:eastAsia="Verdana" w:cs="Verdana"/>
                <w:color w:val="000000" w:themeColor="text1"/>
                <w:szCs w:val="18"/>
              </w:rPr>
              <w:t xml:space="preserve"> gerealiseerd </w:t>
            </w:r>
            <w:r>
              <w:rPr>
                <w:rFonts w:eastAsia="Verdana" w:cs="Verdana"/>
                <w:color w:val="000000" w:themeColor="text1"/>
                <w:szCs w:val="18"/>
              </w:rPr>
              <w:t>die SDE++ toegekend hebben gekregen</w:t>
            </w:r>
            <w:r w:rsidRPr="009B4172">
              <w:rPr>
                <w:rFonts w:eastAsia="Verdana" w:cs="Verdana"/>
                <w:color w:val="000000" w:themeColor="text1"/>
                <w:szCs w:val="18"/>
              </w:rPr>
              <w:t>. Hieronder staat een uitsplitsing van de CCS-projecten uit de verschillende SDE++-openstellingen die op dit moment in beheer zijn. De getoonde bedragen zijn de maximale subsidieverplichtingen. De uiteindelijke kasuitgaven zullen fluctueren en naar verwachting aanzienlijk lager uitvallen. Niet alle CCS-projecten zijn automatisch relevant voor koolstofarme waterstof.</w:t>
            </w:r>
          </w:p>
        </w:tc>
      </w:tr>
      <w:tr w:rsidRPr="009B4172" w:rsidR="00BA6AF9" w:rsidTr="00BA6AF9" w14:paraId="22F16E8B" w14:textId="77777777">
        <w:trPr>
          <w:trHeight w:val="52"/>
        </w:trPr>
        <w:tc>
          <w:tcPr>
            <w:tcW w:w="1244" w:type="pct"/>
            <w:vMerge/>
            <w:tcBorders>
              <w:top w:val="nil"/>
              <w:left w:val="nil"/>
              <w:bottom w:val="nil"/>
              <w:right w:val="nil"/>
            </w:tcBorders>
            <w:noWrap/>
          </w:tcPr>
          <w:p w:rsidRPr="009B4172" w:rsidR="009B4172" w:rsidP="009B4172" w:rsidRDefault="009B4172" w14:paraId="417ECDFC" w14:textId="77777777">
            <w:pPr>
              <w:spacing w:line="240" w:lineRule="auto"/>
              <w:rPr>
                <w:rFonts w:eastAsia="Verdana" w:cs="Verdana"/>
                <w:color w:val="000000" w:themeColor="text1"/>
                <w:szCs w:val="18"/>
              </w:rPr>
            </w:pPr>
          </w:p>
        </w:tc>
        <w:tc>
          <w:tcPr>
            <w:tcW w:w="557" w:type="pct"/>
            <w:tcBorders>
              <w:top w:val="single" w:color="auto" w:sz="4" w:space="0"/>
              <w:left w:val="nil"/>
              <w:bottom w:val="single" w:color="auto" w:sz="4" w:space="0"/>
              <w:right w:val="nil"/>
            </w:tcBorders>
          </w:tcPr>
          <w:p w:rsidRPr="00BA6AF9" w:rsidR="009B4172" w:rsidP="009B4172" w:rsidRDefault="009B4172" w14:paraId="38B10E4B" w14:textId="77777777">
            <w:pPr>
              <w:spacing w:line="240" w:lineRule="auto"/>
              <w:jc w:val="both"/>
              <w:rPr>
                <w:rFonts w:eastAsia="Verdana" w:cs="Verdana"/>
                <w:i/>
                <w:iCs/>
                <w:color w:val="000000"/>
                <w:szCs w:val="18"/>
              </w:rPr>
            </w:pPr>
            <w:r w:rsidRPr="00BA6AF9">
              <w:rPr>
                <w:rFonts w:eastAsia="Verdana" w:cs="Verdana"/>
                <w:i/>
                <w:iCs/>
                <w:color w:val="000000"/>
                <w:szCs w:val="18"/>
              </w:rPr>
              <w:t>Jaartal</w:t>
            </w:r>
          </w:p>
        </w:tc>
        <w:tc>
          <w:tcPr>
            <w:tcW w:w="833" w:type="pct"/>
            <w:tcBorders>
              <w:top w:val="single" w:color="auto" w:sz="4" w:space="0"/>
              <w:left w:val="nil"/>
              <w:bottom w:val="single" w:color="auto" w:sz="4" w:space="0"/>
              <w:right w:val="nil"/>
            </w:tcBorders>
          </w:tcPr>
          <w:p w:rsidRPr="00BA6AF9" w:rsidR="009B4172" w:rsidP="009B4172" w:rsidRDefault="009B4172" w14:paraId="7B7E339A" w14:textId="77777777">
            <w:pPr>
              <w:spacing w:line="240" w:lineRule="auto"/>
              <w:rPr>
                <w:rFonts w:eastAsia="Verdana" w:cs="Verdana"/>
                <w:i/>
                <w:iCs/>
                <w:color w:val="000000"/>
                <w:szCs w:val="18"/>
              </w:rPr>
            </w:pPr>
            <w:r w:rsidRPr="00BA6AF9">
              <w:rPr>
                <w:rFonts w:eastAsia="Verdana" w:cs="Verdana"/>
                <w:i/>
                <w:iCs/>
                <w:color w:val="000000"/>
                <w:szCs w:val="18"/>
              </w:rPr>
              <w:t>Beschikt</w:t>
            </w:r>
          </w:p>
        </w:tc>
        <w:tc>
          <w:tcPr>
            <w:tcW w:w="1113" w:type="pct"/>
            <w:tcBorders>
              <w:top w:val="single" w:color="auto" w:sz="4" w:space="0"/>
              <w:left w:val="nil"/>
              <w:bottom w:val="single" w:color="auto" w:sz="4" w:space="0"/>
              <w:right w:val="nil"/>
            </w:tcBorders>
          </w:tcPr>
          <w:p w:rsidRPr="00BA6AF9" w:rsidR="009B4172" w:rsidP="009B4172" w:rsidRDefault="009B4172" w14:paraId="338E8B6A" w14:textId="77777777">
            <w:pPr>
              <w:spacing w:line="240" w:lineRule="auto"/>
              <w:rPr>
                <w:rFonts w:eastAsia="Verdana" w:cs="Verdana"/>
                <w:i/>
                <w:iCs/>
                <w:color w:val="000000"/>
                <w:szCs w:val="18"/>
              </w:rPr>
            </w:pPr>
            <w:r w:rsidRPr="00BA6AF9">
              <w:rPr>
                <w:rFonts w:eastAsia="Verdana" w:cs="Verdana"/>
                <w:i/>
                <w:iCs/>
                <w:color w:val="000000"/>
                <w:szCs w:val="18"/>
              </w:rPr>
              <w:t>Status</w:t>
            </w:r>
          </w:p>
        </w:tc>
        <w:tc>
          <w:tcPr>
            <w:tcW w:w="1253" w:type="pct"/>
            <w:tcBorders>
              <w:top w:val="single" w:color="auto" w:sz="4" w:space="0"/>
              <w:left w:val="nil"/>
              <w:bottom w:val="single" w:color="auto" w:sz="4" w:space="0"/>
              <w:right w:val="nil"/>
            </w:tcBorders>
          </w:tcPr>
          <w:p w:rsidRPr="00BA6AF9" w:rsidR="009B4172" w:rsidP="009B4172" w:rsidRDefault="009B4172" w14:paraId="7E872DB5" w14:textId="77777777">
            <w:pPr>
              <w:spacing w:line="240" w:lineRule="auto"/>
              <w:rPr>
                <w:rFonts w:eastAsia="Verdana" w:cs="Verdana"/>
                <w:i/>
                <w:iCs/>
                <w:color w:val="000000"/>
                <w:szCs w:val="18"/>
              </w:rPr>
            </w:pPr>
            <w:r w:rsidRPr="00BA6AF9">
              <w:rPr>
                <w:rFonts w:eastAsia="Verdana" w:cs="Verdana"/>
                <w:i/>
                <w:iCs/>
                <w:color w:val="000000"/>
                <w:szCs w:val="18"/>
              </w:rPr>
              <w:t>Beschrijving</w:t>
            </w:r>
          </w:p>
        </w:tc>
      </w:tr>
      <w:tr w:rsidRPr="009B4172" w:rsidR="00BA6AF9" w:rsidTr="00BA6AF9" w14:paraId="06B392B5" w14:textId="77777777">
        <w:trPr>
          <w:trHeight w:val="130"/>
        </w:trPr>
        <w:tc>
          <w:tcPr>
            <w:tcW w:w="1244" w:type="pct"/>
            <w:vMerge/>
            <w:tcBorders>
              <w:top w:val="nil"/>
              <w:left w:val="nil"/>
              <w:bottom w:val="nil"/>
              <w:right w:val="nil"/>
            </w:tcBorders>
            <w:noWrap/>
          </w:tcPr>
          <w:p w:rsidRPr="009B4172" w:rsidR="009B4172" w:rsidP="009B4172" w:rsidRDefault="009B4172" w14:paraId="232A92A7" w14:textId="77777777">
            <w:pPr>
              <w:spacing w:line="240" w:lineRule="auto"/>
              <w:rPr>
                <w:rFonts w:eastAsia="Verdana" w:cs="Verdana"/>
                <w:color w:val="000000" w:themeColor="text1"/>
                <w:szCs w:val="18"/>
              </w:rPr>
            </w:pPr>
          </w:p>
        </w:tc>
        <w:tc>
          <w:tcPr>
            <w:tcW w:w="557" w:type="pct"/>
            <w:tcBorders>
              <w:top w:val="single" w:color="auto" w:sz="4" w:space="0"/>
              <w:left w:val="nil"/>
              <w:bottom w:val="nil"/>
              <w:right w:val="nil"/>
            </w:tcBorders>
          </w:tcPr>
          <w:p w:rsidRPr="009B4172" w:rsidR="009B4172" w:rsidP="009B4172" w:rsidRDefault="009B4172" w14:paraId="3348E770" w14:textId="77777777">
            <w:pPr>
              <w:spacing w:line="240" w:lineRule="auto"/>
              <w:rPr>
                <w:rFonts w:eastAsia="Verdana" w:cs="Verdana"/>
                <w:color w:val="000000"/>
                <w:szCs w:val="18"/>
              </w:rPr>
            </w:pPr>
            <w:r w:rsidRPr="009B4172">
              <w:rPr>
                <w:szCs w:val="18"/>
              </w:rPr>
              <w:t>2020</w:t>
            </w:r>
          </w:p>
        </w:tc>
        <w:tc>
          <w:tcPr>
            <w:tcW w:w="833" w:type="pct"/>
            <w:tcBorders>
              <w:top w:val="single" w:color="auto" w:sz="4" w:space="0"/>
              <w:left w:val="nil"/>
              <w:bottom w:val="nil"/>
              <w:right w:val="nil"/>
            </w:tcBorders>
          </w:tcPr>
          <w:p w:rsidRPr="009B4172" w:rsidR="009B4172" w:rsidP="009B4172" w:rsidRDefault="00BA6AF9" w14:paraId="0EE37434" w14:textId="05688DED">
            <w:pPr>
              <w:spacing w:line="240" w:lineRule="auto"/>
              <w:rPr>
                <w:rFonts w:eastAsia="Verdana" w:cs="Verdana"/>
                <w:color w:val="000000"/>
                <w:szCs w:val="18"/>
              </w:rPr>
            </w:pPr>
            <w:r>
              <w:rPr>
                <w:szCs w:val="18"/>
              </w:rPr>
              <w:t xml:space="preserve">€ </w:t>
            </w:r>
            <w:r w:rsidRPr="009B4172" w:rsidR="009B4172">
              <w:rPr>
                <w:szCs w:val="18"/>
              </w:rPr>
              <w:t xml:space="preserve">2,1 mld. </w:t>
            </w:r>
          </w:p>
        </w:tc>
        <w:tc>
          <w:tcPr>
            <w:tcW w:w="1113" w:type="pct"/>
            <w:tcBorders>
              <w:top w:val="single" w:color="auto" w:sz="4" w:space="0"/>
              <w:left w:val="nil"/>
              <w:bottom w:val="nil"/>
              <w:right w:val="nil"/>
            </w:tcBorders>
          </w:tcPr>
          <w:p w:rsidRPr="009B4172" w:rsidR="009B4172" w:rsidP="009B4172" w:rsidRDefault="009B4172" w14:paraId="46EDB16D" w14:textId="77777777">
            <w:pPr>
              <w:spacing w:line="240" w:lineRule="auto"/>
              <w:rPr>
                <w:rFonts w:eastAsia="Verdana" w:cs="Verdana"/>
                <w:color w:val="000000"/>
                <w:szCs w:val="18"/>
              </w:rPr>
            </w:pPr>
            <w:r w:rsidRPr="009B4172">
              <w:rPr>
                <w:szCs w:val="18"/>
              </w:rPr>
              <w:t>Beschikt, (nog) niet uitbetaald</w:t>
            </w:r>
          </w:p>
        </w:tc>
        <w:tc>
          <w:tcPr>
            <w:tcW w:w="1253" w:type="pct"/>
            <w:tcBorders>
              <w:top w:val="single" w:color="auto" w:sz="4" w:space="0"/>
              <w:left w:val="nil"/>
              <w:bottom w:val="nil"/>
              <w:right w:val="nil"/>
            </w:tcBorders>
          </w:tcPr>
          <w:p w:rsidRPr="009B4172" w:rsidR="009B4172" w:rsidP="009B4172" w:rsidRDefault="009B4172" w14:paraId="27BC87D4" w14:textId="77777777">
            <w:pPr>
              <w:spacing w:line="240" w:lineRule="auto"/>
              <w:rPr>
                <w:rFonts w:eastAsia="Verdana" w:cs="Verdana"/>
                <w:color w:val="000000"/>
                <w:szCs w:val="18"/>
              </w:rPr>
            </w:pPr>
            <w:r w:rsidRPr="009B4172">
              <w:rPr>
                <w:szCs w:val="18"/>
              </w:rPr>
              <w:t xml:space="preserve">Subsidie toegekend voor CCS </w:t>
            </w:r>
          </w:p>
        </w:tc>
      </w:tr>
      <w:tr w:rsidRPr="009B4172" w:rsidR="00BA6AF9" w:rsidTr="00BA6AF9" w14:paraId="001B9EE9" w14:textId="77777777">
        <w:trPr>
          <w:trHeight w:val="347"/>
        </w:trPr>
        <w:tc>
          <w:tcPr>
            <w:tcW w:w="1244" w:type="pct"/>
            <w:vMerge/>
            <w:tcBorders>
              <w:top w:val="nil"/>
              <w:left w:val="nil"/>
              <w:bottom w:val="nil"/>
              <w:right w:val="nil"/>
            </w:tcBorders>
            <w:noWrap/>
          </w:tcPr>
          <w:p w:rsidRPr="009B4172" w:rsidR="009B4172" w:rsidP="009B4172" w:rsidRDefault="009B4172" w14:paraId="320FD031" w14:textId="77777777">
            <w:pPr>
              <w:spacing w:line="240" w:lineRule="auto"/>
              <w:rPr>
                <w:rFonts w:eastAsia="Verdana" w:cs="Verdana"/>
                <w:color w:val="000000" w:themeColor="text1"/>
                <w:szCs w:val="18"/>
              </w:rPr>
            </w:pPr>
          </w:p>
        </w:tc>
        <w:tc>
          <w:tcPr>
            <w:tcW w:w="557" w:type="pct"/>
            <w:tcBorders>
              <w:top w:val="nil"/>
              <w:left w:val="nil"/>
              <w:bottom w:val="nil"/>
              <w:right w:val="nil"/>
            </w:tcBorders>
          </w:tcPr>
          <w:p w:rsidRPr="009B4172" w:rsidR="009B4172" w:rsidP="009B4172" w:rsidRDefault="009B4172" w14:paraId="23B2C89C" w14:textId="77777777">
            <w:pPr>
              <w:spacing w:line="240" w:lineRule="auto"/>
              <w:rPr>
                <w:rFonts w:eastAsia="Verdana" w:cs="Verdana"/>
                <w:color w:val="000000"/>
                <w:szCs w:val="18"/>
              </w:rPr>
            </w:pPr>
            <w:r w:rsidRPr="009B4172">
              <w:rPr>
                <w:szCs w:val="18"/>
              </w:rPr>
              <w:t>2022</w:t>
            </w:r>
          </w:p>
        </w:tc>
        <w:tc>
          <w:tcPr>
            <w:tcW w:w="833" w:type="pct"/>
            <w:tcBorders>
              <w:top w:val="nil"/>
              <w:left w:val="nil"/>
              <w:bottom w:val="nil"/>
              <w:right w:val="nil"/>
            </w:tcBorders>
          </w:tcPr>
          <w:p w:rsidRPr="009B4172" w:rsidR="009B4172" w:rsidP="009B4172" w:rsidRDefault="00BA6AF9" w14:paraId="1CC6D63A" w14:textId="4F44E639">
            <w:pPr>
              <w:spacing w:line="240" w:lineRule="auto"/>
              <w:rPr>
                <w:rFonts w:eastAsia="Verdana" w:cs="Verdana"/>
                <w:color w:val="000000"/>
                <w:szCs w:val="18"/>
              </w:rPr>
            </w:pPr>
            <w:r>
              <w:rPr>
                <w:szCs w:val="18"/>
              </w:rPr>
              <w:t xml:space="preserve">€ </w:t>
            </w:r>
            <w:r w:rsidRPr="009B4172" w:rsidR="009B4172">
              <w:rPr>
                <w:szCs w:val="18"/>
              </w:rPr>
              <w:t xml:space="preserve">0,2 mld. </w:t>
            </w:r>
          </w:p>
        </w:tc>
        <w:tc>
          <w:tcPr>
            <w:tcW w:w="1113" w:type="pct"/>
            <w:tcBorders>
              <w:top w:val="nil"/>
              <w:left w:val="nil"/>
              <w:bottom w:val="nil"/>
              <w:right w:val="nil"/>
            </w:tcBorders>
          </w:tcPr>
          <w:p w:rsidRPr="009B4172" w:rsidR="009B4172" w:rsidP="009B4172" w:rsidRDefault="009B4172" w14:paraId="13152279" w14:textId="77777777">
            <w:pPr>
              <w:spacing w:line="240" w:lineRule="auto"/>
              <w:rPr>
                <w:rFonts w:eastAsia="Verdana" w:cs="Verdana"/>
                <w:color w:val="000000"/>
                <w:szCs w:val="18"/>
              </w:rPr>
            </w:pPr>
            <w:r w:rsidRPr="009B4172">
              <w:rPr>
                <w:szCs w:val="18"/>
              </w:rPr>
              <w:t>Beschikt, (nog) niet uitbetaald</w:t>
            </w:r>
          </w:p>
        </w:tc>
        <w:tc>
          <w:tcPr>
            <w:tcW w:w="1253" w:type="pct"/>
            <w:tcBorders>
              <w:top w:val="nil"/>
              <w:left w:val="nil"/>
              <w:bottom w:val="nil"/>
              <w:right w:val="nil"/>
            </w:tcBorders>
          </w:tcPr>
          <w:p w:rsidRPr="009B4172" w:rsidR="009B4172" w:rsidP="009B4172" w:rsidRDefault="009B4172" w14:paraId="2CD846A9" w14:textId="77777777">
            <w:pPr>
              <w:spacing w:line="240" w:lineRule="auto"/>
              <w:rPr>
                <w:rFonts w:eastAsia="Verdana" w:cs="Verdana"/>
                <w:color w:val="000000"/>
                <w:szCs w:val="18"/>
              </w:rPr>
            </w:pPr>
            <w:r w:rsidRPr="009B4172">
              <w:rPr>
                <w:szCs w:val="18"/>
              </w:rPr>
              <w:t xml:space="preserve">Subsidie toegekend voor CCS </w:t>
            </w:r>
          </w:p>
        </w:tc>
      </w:tr>
      <w:tr w:rsidRPr="009B4172" w:rsidR="00BA6AF9" w:rsidTr="00BA6AF9" w14:paraId="1B06DF9B" w14:textId="77777777">
        <w:trPr>
          <w:trHeight w:val="269"/>
        </w:trPr>
        <w:tc>
          <w:tcPr>
            <w:tcW w:w="1244" w:type="pct"/>
            <w:vMerge/>
            <w:tcBorders>
              <w:top w:val="nil"/>
              <w:left w:val="nil"/>
              <w:bottom w:val="nil"/>
              <w:right w:val="nil"/>
            </w:tcBorders>
            <w:noWrap/>
          </w:tcPr>
          <w:p w:rsidRPr="009B4172" w:rsidR="009B4172" w:rsidP="009B4172" w:rsidRDefault="009B4172" w14:paraId="3EABF822" w14:textId="77777777">
            <w:pPr>
              <w:spacing w:line="240" w:lineRule="auto"/>
              <w:rPr>
                <w:rFonts w:eastAsia="Verdana" w:cs="Verdana"/>
                <w:color w:val="000000" w:themeColor="text1"/>
                <w:szCs w:val="18"/>
              </w:rPr>
            </w:pPr>
          </w:p>
        </w:tc>
        <w:tc>
          <w:tcPr>
            <w:tcW w:w="557" w:type="pct"/>
            <w:tcBorders>
              <w:top w:val="nil"/>
              <w:left w:val="nil"/>
              <w:bottom w:val="nil"/>
              <w:right w:val="nil"/>
            </w:tcBorders>
          </w:tcPr>
          <w:p w:rsidRPr="009B4172" w:rsidR="009B4172" w:rsidP="009B4172" w:rsidRDefault="009B4172" w14:paraId="665AFFA0" w14:textId="77777777">
            <w:pPr>
              <w:spacing w:line="240" w:lineRule="auto"/>
              <w:rPr>
                <w:rFonts w:eastAsia="Verdana" w:cs="Verdana"/>
                <w:color w:val="000000"/>
                <w:szCs w:val="18"/>
              </w:rPr>
            </w:pPr>
            <w:r w:rsidRPr="009B4172">
              <w:rPr>
                <w:szCs w:val="18"/>
              </w:rPr>
              <w:t>2023</w:t>
            </w:r>
          </w:p>
        </w:tc>
        <w:tc>
          <w:tcPr>
            <w:tcW w:w="833" w:type="pct"/>
            <w:tcBorders>
              <w:top w:val="nil"/>
              <w:left w:val="nil"/>
              <w:bottom w:val="nil"/>
              <w:right w:val="nil"/>
            </w:tcBorders>
          </w:tcPr>
          <w:p w:rsidRPr="009B4172" w:rsidR="009B4172" w:rsidP="009B4172" w:rsidRDefault="00BA6AF9" w14:paraId="4C0D8C18" w14:textId="4CA259DB">
            <w:pPr>
              <w:spacing w:line="240" w:lineRule="auto"/>
              <w:rPr>
                <w:rFonts w:eastAsia="Verdana" w:cs="Verdana"/>
                <w:color w:val="000000"/>
                <w:szCs w:val="18"/>
              </w:rPr>
            </w:pPr>
            <w:r>
              <w:rPr>
                <w:szCs w:val="18"/>
              </w:rPr>
              <w:t xml:space="preserve">€ </w:t>
            </w:r>
            <w:r w:rsidRPr="009B4172" w:rsidR="009B4172">
              <w:rPr>
                <w:szCs w:val="18"/>
              </w:rPr>
              <w:t xml:space="preserve">0,3 mld. </w:t>
            </w:r>
          </w:p>
        </w:tc>
        <w:tc>
          <w:tcPr>
            <w:tcW w:w="1113" w:type="pct"/>
            <w:tcBorders>
              <w:top w:val="nil"/>
              <w:left w:val="nil"/>
              <w:bottom w:val="nil"/>
              <w:right w:val="nil"/>
            </w:tcBorders>
          </w:tcPr>
          <w:p w:rsidRPr="009B4172" w:rsidR="009B4172" w:rsidP="009B4172" w:rsidRDefault="009B4172" w14:paraId="3EC44EEF" w14:textId="77777777">
            <w:pPr>
              <w:spacing w:line="240" w:lineRule="auto"/>
              <w:rPr>
                <w:rFonts w:eastAsia="Verdana" w:cs="Verdana"/>
                <w:color w:val="000000"/>
                <w:szCs w:val="18"/>
              </w:rPr>
            </w:pPr>
            <w:r w:rsidRPr="009B4172">
              <w:rPr>
                <w:szCs w:val="18"/>
              </w:rPr>
              <w:t>Beschikt, (nog) niet uitbetaald</w:t>
            </w:r>
          </w:p>
        </w:tc>
        <w:tc>
          <w:tcPr>
            <w:tcW w:w="1253" w:type="pct"/>
            <w:tcBorders>
              <w:top w:val="nil"/>
              <w:left w:val="nil"/>
              <w:bottom w:val="nil"/>
              <w:right w:val="nil"/>
            </w:tcBorders>
          </w:tcPr>
          <w:p w:rsidRPr="009B4172" w:rsidR="009B4172" w:rsidP="009B4172" w:rsidRDefault="009B4172" w14:paraId="0C14F4FA" w14:textId="77777777">
            <w:pPr>
              <w:spacing w:line="240" w:lineRule="auto"/>
              <w:rPr>
                <w:rFonts w:eastAsia="Verdana" w:cs="Verdana"/>
                <w:color w:val="000000"/>
                <w:szCs w:val="18"/>
              </w:rPr>
            </w:pPr>
            <w:r w:rsidRPr="009B4172">
              <w:rPr>
                <w:szCs w:val="18"/>
              </w:rPr>
              <w:t xml:space="preserve">Subsidie toegekend voor CCS </w:t>
            </w:r>
          </w:p>
        </w:tc>
      </w:tr>
      <w:tr w:rsidRPr="009B4172" w:rsidR="00BA6AF9" w:rsidTr="00BA6AF9" w14:paraId="1296BB64" w14:textId="77777777">
        <w:trPr>
          <w:trHeight w:val="191"/>
        </w:trPr>
        <w:tc>
          <w:tcPr>
            <w:tcW w:w="1244" w:type="pct"/>
            <w:vMerge/>
            <w:tcBorders>
              <w:top w:val="nil"/>
              <w:left w:val="nil"/>
              <w:bottom w:val="nil"/>
              <w:right w:val="nil"/>
            </w:tcBorders>
            <w:noWrap/>
          </w:tcPr>
          <w:p w:rsidRPr="009B4172" w:rsidR="009B4172" w:rsidP="009B4172" w:rsidRDefault="009B4172" w14:paraId="71BD0D67" w14:textId="77777777">
            <w:pPr>
              <w:spacing w:line="240" w:lineRule="auto"/>
              <w:rPr>
                <w:rFonts w:eastAsia="Verdana" w:cs="Verdana"/>
                <w:color w:val="000000" w:themeColor="text1"/>
                <w:szCs w:val="18"/>
              </w:rPr>
            </w:pPr>
          </w:p>
        </w:tc>
        <w:tc>
          <w:tcPr>
            <w:tcW w:w="557" w:type="pct"/>
            <w:tcBorders>
              <w:top w:val="nil"/>
              <w:left w:val="nil"/>
              <w:bottom w:val="nil"/>
              <w:right w:val="nil"/>
            </w:tcBorders>
          </w:tcPr>
          <w:p w:rsidRPr="009B4172" w:rsidR="009B4172" w:rsidP="009B4172" w:rsidRDefault="009B4172" w14:paraId="7CB82F49" w14:textId="77777777">
            <w:pPr>
              <w:spacing w:line="240" w:lineRule="auto"/>
              <w:rPr>
                <w:rFonts w:eastAsia="Verdana" w:cs="Verdana"/>
                <w:color w:val="000000"/>
                <w:szCs w:val="18"/>
              </w:rPr>
            </w:pPr>
            <w:r w:rsidRPr="009B4172">
              <w:rPr>
                <w:szCs w:val="18"/>
              </w:rPr>
              <w:t>2024</w:t>
            </w:r>
          </w:p>
        </w:tc>
        <w:tc>
          <w:tcPr>
            <w:tcW w:w="833" w:type="pct"/>
            <w:tcBorders>
              <w:top w:val="nil"/>
              <w:left w:val="nil"/>
              <w:bottom w:val="nil"/>
              <w:right w:val="nil"/>
            </w:tcBorders>
          </w:tcPr>
          <w:p w:rsidRPr="009B4172" w:rsidR="009B4172" w:rsidP="009B4172" w:rsidRDefault="00BA6AF9" w14:paraId="40FB01ED" w14:textId="049E4F49">
            <w:pPr>
              <w:spacing w:line="240" w:lineRule="auto"/>
              <w:rPr>
                <w:rFonts w:eastAsia="Verdana" w:cs="Verdana"/>
                <w:color w:val="000000"/>
                <w:szCs w:val="18"/>
              </w:rPr>
            </w:pPr>
            <w:r>
              <w:rPr>
                <w:szCs w:val="18"/>
              </w:rPr>
              <w:t xml:space="preserve">€ </w:t>
            </w:r>
            <w:r w:rsidRPr="009B4172" w:rsidR="009B4172">
              <w:rPr>
                <w:szCs w:val="18"/>
              </w:rPr>
              <w:t xml:space="preserve">1 mld. </w:t>
            </w:r>
          </w:p>
        </w:tc>
        <w:tc>
          <w:tcPr>
            <w:tcW w:w="1113" w:type="pct"/>
            <w:tcBorders>
              <w:top w:val="nil"/>
              <w:left w:val="nil"/>
              <w:bottom w:val="nil"/>
              <w:right w:val="nil"/>
            </w:tcBorders>
          </w:tcPr>
          <w:p w:rsidRPr="009B4172" w:rsidR="009B4172" w:rsidP="009B4172" w:rsidRDefault="009B4172" w14:paraId="7885A50E" w14:textId="77777777">
            <w:pPr>
              <w:spacing w:line="240" w:lineRule="auto"/>
              <w:rPr>
                <w:rFonts w:eastAsia="Verdana" w:cs="Verdana"/>
                <w:color w:val="000000"/>
                <w:szCs w:val="18"/>
              </w:rPr>
            </w:pPr>
            <w:r w:rsidRPr="009B4172">
              <w:rPr>
                <w:szCs w:val="18"/>
              </w:rPr>
              <w:t>Beschikt, (nog) niet uitbetaald</w:t>
            </w:r>
          </w:p>
        </w:tc>
        <w:tc>
          <w:tcPr>
            <w:tcW w:w="1253" w:type="pct"/>
            <w:tcBorders>
              <w:top w:val="nil"/>
              <w:left w:val="nil"/>
              <w:bottom w:val="nil"/>
              <w:right w:val="nil"/>
            </w:tcBorders>
          </w:tcPr>
          <w:p w:rsidRPr="009B4172" w:rsidR="009B4172" w:rsidP="009B4172" w:rsidRDefault="009B4172" w14:paraId="3A1A00A0" w14:textId="77777777">
            <w:pPr>
              <w:spacing w:line="240" w:lineRule="auto"/>
              <w:rPr>
                <w:rFonts w:eastAsia="Verdana" w:cs="Verdana"/>
                <w:color w:val="000000"/>
                <w:szCs w:val="18"/>
              </w:rPr>
            </w:pPr>
            <w:r w:rsidRPr="009B4172">
              <w:rPr>
                <w:szCs w:val="18"/>
              </w:rPr>
              <w:t xml:space="preserve">Subsidie toegekend voor CCS </w:t>
            </w:r>
          </w:p>
        </w:tc>
      </w:tr>
      <w:tr w:rsidRPr="009B4172" w:rsidR="00BA6AF9" w:rsidTr="00BA6AF9" w14:paraId="498338B4" w14:textId="77777777">
        <w:trPr>
          <w:trHeight w:val="665"/>
        </w:trPr>
        <w:tc>
          <w:tcPr>
            <w:tcW w:w="1244" w:type="pct"/>
            <w:vMerge/>
            <w:tcBorders>
              <w:top w:val="nil"/>
              <w:left w:val="nil"/>
              <w:bottom w:val="nil"/>
              <w:right w:val="nil"/>
            </w:tcBorders>
            <w:noWrap/>
          </w:tcPr>
          <w:p w:rsidRPr="009B4172" w:rsidR="009B4172" w:rsidP="009B4172" w:rsidRDefault="009B4172" w14:paraId="3B9FA6D2" w14:textId="77777777">
            <w:pPr>
              <w:spacing w:line="240" w:lineRule="auto"/>
              <w:rPr>
                <w:rFonts w:eastAsia="Verdana" w:cs="Verdana"/>
                <w:color w:val="000000" w:themeColor="text1"/>
                <w:szCs w:val="18"/>
              </w:rPr>
            </w:pPr>
          </w:p>
        </w:tc>
        <w:tc>
          <w:tcPr>
            <w:tcW w:w="557" w:type="pct"/>
            <w:tcBorders>
              <w:top w:val="nil"/>
              <w:left w:val="nil"/>
              <w:bottom w:val="single" w:color="auto" w:sz="4" w:space="0"/>
              <w:right w:val="nil"/>
            </w:tcBorders>
          </w:tcPr>
          <w:p w:rsidRPr="009B4172" w:rsidR="009B4172" w:rsidP="009B4172" w:rsidRDefault="009B4172" w14:paraId="76CFA8AB" w14:textId="77777777">
            <w:pPr>
              <w:spacing w:line="240" w:lineRule="auto"/>
              <w:rPr>
                <w:rFonts w:eastAsia="Verdana" w:cs="Verdana"/>
                <w:color w:val="000000"/>
                <w:szCs w:val="18"/>
              </w:rPr>
            </w:pPr>
            <w:r w:rsidRPr="009B4172">
              <w:rPr>
                <w:szCs w:val="18"/>
              </w:rPr>
              <w:t>2025</w:t>
            </w:r>
          </w:p>
        </w:tc>
        <w:tc>
          <w:tcPr>
            <w:tcW w:w="833" w:type="pct"/>
            <w:tcBorders>
              <w:top w:val="nil"/>
              <w:left w:val="nil"/>
              <w:bottom w:val="single" w:color="auto" w:sz="4" w:space="0"/>
              <w:right w:val="nil"/>
            </w:tcBorders>
          </w:tcPr>
          <w:p w:rsidRPr="009B4172" w:rsidR="009B4172" w:rsidP="009B4172" w:rsidRDefault="009B4172" w14:paraId="178694EB" w14:textId="77777777">
            <w:pPr>
              <w:spacing w:line="240" w:lineRule="auto"/>
              <w:rPr>
                <w:rFonts w:eastAsia="Verdana" w:cs="Verdana"/>
                <w:color w:val="000000"/>
                <w:szCs w:val="18"/>
              </w:rPr>
            </w:pPr>
            <w:r w:rsidRPr="009B4172">
              <w:rPr>
                <w:szCs w:val="18"/>
              </w:rPr>
              <w:t>n.t.b.</w:t>
            </w:r>
          </w:p>
        </w:tc>
        <w:tc>
          <w:tcPr>
            <w:tcW w:w="1113" w:type="pct"/>
            <w:tcBorders>
              <w:top w:val="nil"/>
              <w:left w:val="nil"/>
              <w:bottom w:val="single" w:color="auto" w:sz="4" w:space="0"/>
              <w:right w:val="nil"/>
            </w:tcBorders>
          </w:tcPr>
          <w:p w:rsidRPr="009B4172" w:rsidR="009B4172" w:rsidP="009B4172" w:rsidRDefault="009B4172" w14:paraId="210BCB52" w14:textId="77777777">
            <w:pPr>
              <w:spacing w:line="240" w:lineRule="auto"/>
              <w:rPr>
                <w:rFonts w:eastAsia="Verdana" w:cs="Verdana"/>
                <w:color w:val="000000"/>
                <w:szCs w:val="18"/>
              </w:rPr>
            </w:pPr>
            <w:r w:rsidRPr="009B4172">
              <w:rPr>
                <w:szCs w:val="18"/>
              </w:rPr>
              <w:t>Aanvragen in behandeling</w:t>
            </w:r>
          </w:p>
        </w:tc>
        <w:tc>
          <w:tcPr>
            <w:tcW w:w="1253" w:type="pct"/>
            <w:tcBorders>
              <w:top w:val="nil"/>
              <w:left w:val="nil"/>
              <w:bottom w:val="single" w:color="auto" w:sz="4" w:space="0"/>
              <w:right w:val="nil"/>
            </w:tcBorders>
          </w:tcPr>
          <w:p w:rsidRPr="009B4172" w:rsidR="009B4172" w:rsidP="009B4172" w:rsidRDefault="00BA6AF9" w14:paraId="5C83DB5C" w14:textId="3ED29002">
            <w:pPr>
              <w:spacing w:line="240" w:lineRule="auto"/>
              <w:rPr>
                <w:rFonts w:eastAsia="Verdana" w:cs="Verdana"/>
                <w:color w:val="000000"/>
                <w:szCs w:val="18"/>
              </w:rPr>
            </w:pPr>
            <w:r>
              <w:rPr>
                <w:szCs w:val="18"/>
              </w:rPr>
              <w:t xml:space="preserve">€ </w:t>
            </w:r>
            <w:r w:rsidRPr="009B4172" w:rsidR="009B4172">
              <w:rPr>
                <w:szCs w:val="18"/>
              </w:rPr>
              <w:t>8 mld. in totaal beschikbaar voor de 2025-ronde</w:t>
            </w:r>
          </w:p>
        </w:tc>
      </w:tr>
      <w:tr w:rsidRPr="009B4172" w:rsidR="00BA6AF9" w:rsidTr="00BA6AF9" w14:paraId="71DD8058" w14:textId="77777777">
        <w:trPr>
          <w:trHeight w:val="992"/>
        </w:trPr>
        <w:tc>
          <w:tcPr>
            <w:tcW w:w="1244" w:type="pct"/>
            <w:tcBorders>
              <w:top w:val="nil"/>
              <w:left w:val="nil"/>
              <w:bottom w:val="nil"/>
              <w:right w:val="nil"/>
            </w:tcBorders>
            <w:noWrap/>
            <w:hideMark/>
          </w:tcPr>
          <w:p w:rsidRPr="009B4172" w:rsidR="009B4172" w:rsidP="00BA6AF9" w:rsidRDefault="009B4172" w14:paraId="4A233AE4" w14:textId="77777777">
            <w:pPr>
              <w:spacing w:before="120" w:line="240" w:lineRule="auto"/>
              <w:rPr>
                <w:rFonts w:eastAsia="Verdana" w:cs="Verdana"/>
                <w:color w:val="000000"/>
                <w:szCs w:val="18"/>
              </w:rPr>
            </w:pPr>
            <w:r w:rsidRPr="009B4172">
              <w:rPr>
                <w:rFonts w:eastAsia="Verdana" w:cs="Verdana"/>
                <w:color w:val="000000" w:themeColor="text1"/>
                <w:szCs w:val="18"/>
              </w:rPr>
              <w:t>Leningen EBN</w:t>
            </w:r>
          </w:p>
        </w:tc>
        <w:tc>
          <w:tcPr>
            <w:tcW w:w="3756" w:type="pct"/>
            <w:gridSpan w:val="4"/>
            <w:tcBorders>
              <w:top w:val="single" w:color="auto" w:sz="4" w:space="0"/>
              <w:left w:val="nil"/>
              <w:bottom w:val="nil"/>
              <w:right w:val="nil"/>
            </w:tcBorders>
            <w:hideMark/>
          </w:tcPr>
          <w:p w:rsidRPr="009B4172" w:rsidR="009B4172" w:rsidP="00BA6AF9" w:rsidRDefault="009B4172" w14:paraId="44970D14" w14:textId="016D8387">
            <w:pPr>
              <w:spacing w:before="120" w:line="240" w:lineRule="auto"/>
              <w:rPr>
                <w:rFonts w:eastAsia="Verdana" w:cs="Verdana"/>
                <w:color w:val="000000"/>
                <w:szCs w:val="18"/>
              </w:rPr>
            </w:pPr>
            <w:r w:rsidRPr="009B4172">
              <w:rPr>
                <w:rFonts w:eastAsia="Verdana" w:cs="Verdana"/>
                <w:color w:val="000000" w:themeColor="text1"/>
                <w:szCs w:val="18"/>
              </w:rPr>
              <w:t>In 2021 is een marktconforme lening verstrekt aan EBN van € 53,4 miljoen voor ontwikkeling en realisatie van het Porthos-project.</w:t>
            </w:r>
            <w:r w:rsidR="007F7037">
              <w:rPr>
                <w:rFonts w:eastAsia="Verdana" w:cs="Verdana"/>
                <w:color w:val="000000" w:themeColor="text1"/>
                <w:szCs w:val="18"/>
              </w:rPr>
              <w:t xml:space="preserve"> </w:t>
            </w:r>
            <w:r w:rsidRPr="009B4172">
              <w:rPr>
                <w:rFonts w:eastAsia="Verdana" w:cs="Verdana"/>
                <w:color w:val="000000" w:themeColor="text1"/>
                <w:szCs w:val="18"/>
              </w:rPr>
              <w:t>In 2023 is een marktconforme lening verstrekt aan EBN van € 32 miljoen voor deelname aan de FEED-fase van de ontwikkeling van de opslaglocaties aan het Aramis-project.</w:t>
            </w:r>
          </w:p>
        </w:tc>
      </w:tr>
      <w:tr w:rsidRPr="009B4172" w:rsidR="009B4172" w:rsidTr="00BA6AF9" w14:paraId="60407B2E" w14:textId="77777777">
        <w:trPr>
          <w:trHeight w:val="992"/>
        </w:trPr>
        <w:tc>
          <w:tcPr>
            <w:tcW w:w="1244" w:type="pct"/>
            <w:tcBorders>
              <w:top w:val="nil"/>
              <w:left w:val="nil"/>
              <w:bottom w:val="nil"/>
              <w:right w:val="nil"/>
            </w:tcBorders>
            <w:noWrap/>
          </w:tcPr>
          <w:p w:rsidRPr="009B4172" w:rsidR="009B4172" w:rsidP="009B4172" w:rsidRDefault="009B4172" w14:paraId="5991A621" w14:textId="77777777">
            <w:pPr>
              <w:spacing w:line="240" w:lineRule="auto"/>
              <w:rPr>
                <w:rFonts w:eastAsia="Verdana" w:cs="Verdana"/>
                <w:color w:val="000000" w:themeColor="text1"/>
                <w:szCs w:val="18"/>
              </w:rPr>
            </w:pPr>
            <w:r w:rsidRPr="009B4172">
              <w:rPr>
                <w:rFonts w:eastAsia="Verdana" w:cs="Verdana"/>
                <w:color w:val="000000" w:themeColor="text1"/>
                <w:szCs w:val="18"/>
              </w:rPr>
              <w:t>Subsidies EBN</w:t>
            </w:r>
          </w:p>
        </w:tc>
        <w:tc>
          <w:tcPr>
            <w:tcW w:w="3756" w:type="pct"/>
            <w:gridSpan w:val="4"/>
            <w:tcBorders>
              <w:top w:val="nil"/>
              <w:left w:val="nil"/>
              <w:bottom w:val="nil"/>
              <w:right w:val="nil"/>
            </w:tcBorders>
          </w:tcPr>
          <w:p w:rsidRPr="009B4172" w:rsidR="009B4172" w:rsidP="009B4172" w:rsidRDefault="009B4172" w14:paraId="439F2B10" w14:textId="77777777">
            <w:pPr>
              <w:spacing w:line="240" w:lineRule="auto"/>
              <w:rPr>
                <w:rFonts w:eastAsia="Verdana" w:cs="Verdana"/>
                <w:color w:val="000000" w:themeColor="text1"/>
                <w:szCs w:val="18"/>
              </w:rPr>
            </w:pPr>
            <w:r w:rsidRPr="009B4172">
              <w:rPr>
                <w:rFonts w:eastAsia="Verdana" w:cs="Verdana"/>
                <w:color w:val="000000" w:themeColor="text1"/>
                <w:szCs w:val="18"/>
              </w:rPr>
              <w:t>EBN heeft in 2019 € 9,8 miljoen subsidie ontvangen voor deelname aan de FEED-fase van het Porthos-project.</w:t>
            </w:r>
          </w:p>
          <w:p w:rsidRPr="009B4172" w:rsidR="009B4172" w:rsidP="009B4172" w:rsidRDefault="009B4172" w14:paraId="4C43CDF1" w14:textId="77777777">
            <w:pPr>
              <w:spacing w:line="240" w:lineRule="auto"/>
              <w:rPr>
                <w:rFonts w:eastAsia="Verdana" w:cs="Verdana"/>
                <w:color w:val="000000" w:themeColor="text1"/>
                <w:szCs w:val="18"/>
              </w:rPr>
            </w:pPr>
            <w:r w:rsidRPr="009B4172">
              <w:rPr>
                <w:rFonts w:eastAsia="Verdana" w:cs="Verdana"/>
                <w:color w:val="000000" w:themeColor="text1"/>
                <w:szCs w:val="18"/>
              </w:rPr>
              <w:t>EBN heeft in 2021 € 8,25 miljoen subsidie ontvangen voor deelname aan de pre-FEED fase van het Aramis-project.</w:t>
            </w:r>
            <w:r w:rsidRPr="009B4172">
              <w:rPr>
                <w:szCs w:val="18"/>
              </w:rPr>
              <w:br/>
            </w:r>
            <w:r w:rsidRPr="009B4172">
              <w:rPr>
                <w:rFonts w:eastAsia="Verdana" w:cs="Verdana"/>
                <w:color w:val="000000"/>
                <w:szCs w:val="18"/>
              </w:rPr>
              <w:t>EBN heeft in 2023 € 6,24 miljoen, in 2024 € 24,6 miljoen en in 2025 € 10,15 miljoen subsidie ontvangen voor de ontwikkeling van opslaglocaties in de Noordzee.</w:t>
            </w:r>
          </w:p>
        </w:tc>
      </w:tr>
      <w:tr w:rsidRPr="009B4172" w:rsidR="009B4172" w:rsidTr="00BA6AF9" w14:paraId="3C96AAC1" w14:textId="77777777">
        <w:trPr>
          <w:trHeight w:val="850"/>
        </w:trPr>
        <w:tc>
          <w:tcPr>
            <w:tcW w:w="1244" w:type="pct"/>
            <w:tcBorders>
              <w:top w:val="nil"/>
              <w:left w:val="nil"/>
              <w:bottom w:val="nil"/>
              <w:right w:val="nil"/>
            </w:tcBorders>
            <w:noWrap/>
          </w:tcPr>
          <w:p w:rsidRPr="009B4172" w:rsidR="009B4172" w:rsidP="009B4172" w:rsidRDefault="009B4172" w14:paraId="24C26B61" w14:textId="77777777">
            <w:pPr>
              <w:spacing w:line="240" w:lineRule="auto"/>
              <w:rPr>
                <w:rFonts w:eastAsia="Verdana" w:cs="Verdana"/>
                <w:color w:val="000000" w:themeColor="text1"/>
                <w:szCs w:val="18"/>
              </w:rPr>
            </w:pPr>
            <w:r w:rsidRPr="009B4172">
              <w:rPr>
                <w:rFonts w:eastAsia="Verdana" w:cs="Verdana"/>
                <w:color w:val="000000" w:themeColor="text1"/>
                <w:szCs w:val="18"/>
              </w:rPr>
              <w:t>Kapitaalstorting EBN grotere deelname Aramis</w:t>
            </w:r>
          </w:p>
        </w:tc>
        <w:tc>
          <w:tcPr>
            <w:tcW w:w="3756" w:type="pct"/>
            <w:gridSpan w:val="4"/>
            <w:tcBorders>
              <w:top w:val="nil"/>
              <w:left w:val="nil"/>
              <w:bottom w:val="nil"/>
              <w:right w:val="nil"/>
            </w:tcBorders>
          </w:tcPr>
          <w:p w:rsidRPr="009B4172" w:rsidR="009B4172" w:rsidP="009B4172" w:rsidRDefault="009B4172" w14:paraId="519E2FA5" w14:textId="3C41C7C2">
            <w:pPr>
              <w:spacing w:line="240" w:lineRule="auto"/>
              <w:rPr>
                <w:rFonts w:eastAsia="Verdana" w:cs="Verdana"/>
                <w:color w:val="000000" w:themeColor="text1"/>
                <w:szCs w:val="18"/>
              </w:rPr>
            </w:pPr>
            <w:r w:rsidRPr="009B4172">
              <w:rPr>
                <w:rFonts w:eastAsia="Verdana" w:cs="Verdana"/>
                <w:color w:val="000000" w:themeColor="text1"/>
                <w:szCs w:val="18"/>
              </w:rPr>
              <w:t>Er is € 639,2 miljoen gereserveerd op de begroting van het Klimaatfonds voor een kapitaalstorting aan EBN om verder deel te kunnen nemen aan de Aramis</w:t>
            </w:r>
            <w:r w:rsidR="003B1F1E">
              <w:rPr>
                <w:rFonts w:eastAsia="Verdana" w:cs="Verdana"/>
                <w:color w:val="000000" w:themeColor="text1"/>
                <w:szCs w:val="18"/>
              </w:rPr>
              <w:t>-</w:t>
            </w:r>
            <w:r w:rsidRPr="009B4172">
              <w:rPr>
                <w:rFonts w:eastAsia="Verdana" w:cs="Verdana"/>
                <w:color w:val="000000" w:themeColor="text1"/>
                <w:szCs w:val="18"/>
              </w:rPr>
              <w:t xml:space="preserve">buisleiding. De middelen worden pas overgemaakt op het moment dat het investeringsbesluit voor Aramis is genomen. </w:t>
            </w:r>
          </w:p>
        </w:tc>
      </w:tr>
      <w:tr w:rsidRPr="009B4172" w:rsidR="009B4172" w:rsidTr="003B1F1E" w14:paraId="3D0F5867" w14:textId="77777777">
        <w:trPr>
          <w:trHeight w:val="434"/>
        </w:trPr>
        <w:tc>
          <w:tcPr>
            <w:tcW w:w="1244" w:type="pct"/>
            <w:tcBorders>
              <w:top w:val="nil"/>
              <w:left w:val="nil"/>
              <w:bottom w:val="nil"/>
              <w:right w:val="nil"/>
            </w:tcBorders>
            <w:noWrap/>
          </w:tcPr>
          <w:p w:rsidRPr="009B4172" w:rsidR="009B4172" w:rsidP="009B4172" w:rsidRDefault="009B4172" w14:paraId="7B217178" w14:textId="77777777">
            <w:pPr>
              <w:spacing w:line="240" w:lineRule="auto"/>
              <w:rPr>
                <w:rFonts w:eastAsia="Verdana" w:cs="Verdana"/>
                <w:color w:val="000000" w:themeColor="text1"/>
                <w:szCs w:val="18"/>
              </w:rPr>
            </w:pPr>
            <w:r w:rsidRPr="009B4172">
              <w:rPr>
                <w:rFonts w:eastAsia="Verdana" w:cs="Verdana"/>
                <w:color w:val="000000" w:themeColor="text1"/>
                <w:szCs w:val="18"/>
              </w:rPr>
              <w:t>Incidentiele maatwerksubsidie</w:t>
            </w:r>
          </w:p>
        </w:tc>
        <w:tc>
          <w:tcPr>
            <w:tcW w:w="3756" w:type="pct"/>
            <w:gridSpan w:val="4"/>
            <w:tcBorders>
              <w:top w:val="nil"/>
              <w:left w:val="nil"/>
              <w:bottom w:val="nil"/>
              <w:right w:val="nil"/>
            </w:tcBorders>
          </w:tcPr>
          <w:p w:rsidRPr="009B4172" w:rsidR="009B4172" w:rsidP="009B4172" w:rsidRDefault="009B4172" w14:paraId="4D0B141C" w14:textId="0643926F">
            <w:pPr>
              <w:spacing w:line="240" w:lineRule="auto"/>
              <w:rPr>
                <w:rFonts w:eastAsia="Verdana" w:cs="Verdana"/>
                <w:color w:val="000000" w:themeColor="text1"/>
                <w:szCs w:val="18"/>
              </w:rPr>
            </w:pPr>
            <w:r w:rsidRPr="009B4172">
              <w:rPr>
                <w:rFonts w:eastAsia="Verdana" w:cs="Verdana"/>
                <w:color w:val="000000" w:themeColor="text1"/>
                <w:szCs w:val="18"/>
              </w:rPr>
              <w:t xml:space="preserve">Yara Sluiskil </w:t>
            </w:r>
            <w:r w:rsidR="003B1F1E">
              <w:rPr>
                <w:rFonts w:eastAsia="Verdana" w:cs="Verdana"/>
                <w:color w:val="000000" w:themeColor="text1"/>
                <w:szCs w:val="18"/>
              </w:rPr>
              <w:t xml:space="preserve">heeft een maatwerksubsidie gekregen van € 30 miljoen </w:t>
            </w:r>
            <w:r w:rsidRPr="009B4172">
              <w:rPr>
                <w:rFonts w:eastAsia="Verdana" w:cs="Verdana"/>
                <w:color w:val="000000" w:themeColor="text1"/>
                <w:szCs w:val="18"/>
              </w:rPr>
              <w:t>voor CO</w:t>
            </w:r>
            <w:r w:rsidRPr="003B1F1E">
              <w:rPr>
                <w:rFonts w:eastAsia="Verdana" w:cs="Verdana"/>
                <w:color w:val="000000" w:themeColor="text1"/>
                <w:szCs w:val="18"/>
                <w:vertAlign w:val="subscript"/>
              </w:rPr>
              <w:t>2</w:t>
            </w:r>
            <w:r w:rsidRPr="009B4172">
              <w:rPr>
                <w:rFonts w:eastAsia="Verdana" w:cs="Verdana"/>
                <w:color w:val="000000" w:themeColor="text1"/>
                <w:szCs w:val="18"/>
              </w:rPr>
              <w:t>-transport en -opslag (0,8 Mt/j) in Northern Lights (Kamerstuk 29826, nr. 199).</w:t>
            </w:r>
          </w:p>
        </w:tc>
      </w:tr>
      <w:tr w:rsidRPr="009B4172" w:rsidR="009B4172" w:rsidTr="00BA6AF9" w14:paraId="53440F79" w14:textId="77777777">
        <w:trPr>
          <w:trHeight w:val="300"/>
        </w:trPr>
        <w:tc>
          <w:tcPr>
            <w:tcW w:w="1244" w:type="pct"/>
            <w:tcBorders>
              <w:top w:val="nil"/>
              <w:left w:val="nil"/>
              <w:bottom w:val="nil"/>
              <w:right w:val="nil"/>
            </w:tcBorders>
            <w:noWrap/>
            <w:hideMark/>
          </w:tcPr>
          <w:p w:rsidRPr="003B1F1E" w:rsidR="009B4172" w:rsidP="009B4172" w:rsidRDefault="009B4172" w14:paraId="14F7E9FD" w14:textId="7908717E">
            <w:pPr>
              <w:spacing w:line="240" w:lineRule="auto"/>
              <w:rPr>
                <w:rFonts w:eastAsia="Verdana" w:cs="Verdana"/>
                <w:color w:val="000000" w:themeColor="text1"/>
                <w:szCs w:val="18"/>
              </w:rPr>
            </w:pPr>
            <w:r w:rsidRPr="009B4172">
              <w:rPr>
                <w:rFonts w:eastAsia="Verdana" w:cs="Verdana"/>
                <w:color w:val="000000" w:themeColor="text1"/>
                <w:szCs w:val="18"/>
              </w:rPr>
              <w:t>Energie-investeringsaftre</w:t>
            </w:r>
            <w:r w:rsidR="003B1F1E">
              <w:rPr>
                <w:rFonts w:eastAsia="Verdana" w:cs="Verdana"/>
                <w:color w:val="000000" w:themeColor="text1"/>
                <w:szCs w:val="18"/>
              </w:rPr>
              <w:t xml:space="preserve">k </w:t>
            </w:r>
            <w:r w:rsidRPr="009B4172">
              <w:rPr>
                <w:rFonts w:eastAsia="Verdana" w:cs="Verdana"/>
                <w:color w:val="000000" w:themeColor="text1"/>
                <w:szCs w:val="18"/>
              </w:rPr>
              <w:t xml:space="preserve">(EIA) </w:t>
            </w:r>
          </w:p>
        </w:tc>
        <w:tc>
          <w:tcPr>
            <w:tcW w:w="3756" w:type="pct"/>
            <w:gridSpan w:val="4"/>
            <w:tcBorders>
              <w:top w:val="nil"/>
              <w:left w:val="nil"/>
              <w:bottom w:val="nil"/>
              <w:right w:val="nil"/>
            </w:tcBorders>
            <w:hideMark/>
          </w:tcPr>
          <w:p w:rsidRPr="009B4172" w:rsidR="009B4172" w:rsidP="009B4172" w:rsidRDefault="009B4172" w14:paraId="05D83A5F" w14:textId="77777777">
            <w:pPr>
              <w:spacing w:line="240" w:lineRule="auto"/>
              <w:rPr>
                <w:rFonts w:eastAsia="Verdana" w:cs="Verdana"/>
                <w:color w:val="000000" w:themeColor="text1"/>
                <w:szCs w:val="18"/>
              </w:rPr>
            </w:pPr>
            <w:r w:rsidRPr="009B4172">
              <w:rPr>
                <w:rFonts w:eastAsia="Verdana" w:cs="Verdana"/>
                <w:color w:val="000000" w:themeColor="text1"/>
                <w:szCs w:val="18"/>
              </w:rPr>
              <w:t>Sinds 2019 hebben ca. 10 bedrijven voor 116 CCS-investeringen EIA aangevraagd. Van deze aanvragen wordt een aantal momenteel nog beoordeeld. Tot nu toe is voor deze investeringen € 65 miljoen aan EIA ‘uitgekeerd’. Als de overige aanvragen positief worden beoordeeld, kan dit oplopen tot € 83 miljoen. Het is niet mogelijk voor een bedrijf om tegelijk van de SDE++ en de EIA gebruik te maken.</w:t>
            </w:r>
          </w:p>
        </w:tc>
      </w:tr>
      <w:tr w:rsidRPr="009B4172" w:rsidR="009B4172" w:rsidTr="00BA6AF9" w14:paraId="51EB0D47" w14:textId="77777777">
        <w:trPr>
          <w:trHeight w:val="1679"/>
        </w:trPr>
        <w:tc>
          <w:tcPr>
            <w:tcW w:w="1244" w:type="pct"/>
            <w:tcBorders>
              <w:top w:val="nil"/>
              <w:left w:val="nil"/>
              <w:bottom w:val="nil"/>
              <w:right w:val="nil"/>
            </w:tcBorders>
            <w:noWrap/>
            <w:hideMark/>
          </w:tcPr>
          <w:p w:rsidRPr="009B4172" w:rsidR="009B4172" w:rsidP="009B4172" w:rsidRDefault="009B4172" w14:paraId="61F759D6" w14:textId="774BC1A1">
            <w:pPr>
              <w:spacing w:line="240" w:lineRule="auto"/>
              <w:rPr>
                <w:rFonts w:eastAsia="Verdana" w:cs="Verdana"/>
                <w:color w:val="000000"/>
                <w:szCs w:val="18"/>
              </w:rPr>
            </w:pPr>
            <w:r w:rsidRPr="009B4172">
              <w:rPr>
                <w:rFonts w:eastAsia="Verdana" w:cs="Verdana"/>
                <w:color w:val="000000" w:themeColor="text1"/>
                <w:szCs w:val="18"/>
              </w:rPr>
              <w:t xml:space="preserve">R&amp;D-subsidie CCS internationale </w:t>
            </w:r>
          </w:p>
          <w:p w:rsidRPr="009B4172" w:rsidR="009B4172" w:rsidP="009B4172" w:rsidRDefault="003B1F1E" w14:paraId="693E521D" w14:textId="139CF820">
            <w:pPr>
              <w:spacing w:line="240" w:lineRule="auto"/>
              <w:rPr>
                <w:rFonts w:eastAsia="Verdana" w:cs="Verdana"/>
                <w:color w:val="000000"/>
                <w:szCs w:val="18"/>
              </w:rPr>
            </w:pPr>
            <w:r>
              <w:rPr>
                <w:rFonts w:eastAsia="Verdana" w:cs="Verdana"/>
                <w:color w:val="000000" w:themeColor="text1"/>
                <w:szCs w:val="18"/>
              </w:rPr>
              <w:t>s</w:t>
            </w:r>
            <w:r w:rsidRPr="009B4172" w:rsidR="009B4172">
              <w:rPr>
                <w:rFonts w:eastAsia="Verdana" w:cs="Verdana"/>
                <w:color w:val="000000" w:themeColor="text1"/>
                <w:szCs w:val="18"/>
              </w:rPr>
              <w:t>amenwerkings</w:t>
            </w:r>
            <w:r>
              <w:rPr>
                <w:rFonts w:eastAsia="Verdana" w:cs="Verdana"/>
                <w:color w:val="000000" w:themeColor="text1"/>
                <w:szCs w:val="18"/>
              </w:rPr>
              <w:t>-</w:t>
            </w:r>
            <w:r w:rsidRPr="009B4172" w:rsidR="009B4172">
              <w:rPr>
                <w:rFonts w:eastAsia="Verdana" w:cs="Verdana"/>
                <w:color w:val="000000" w:themeColor="text1"/>
                <w:szCs w:val="18"/>
              </w:rPr>
              <w:t xml:space="preserve">verbanden </w:t>
            </w:r>
          </w:p>
        </w:tc>
        <w:tc>
          <w:tcPr>
            <w:tcW w:w="3756" w:type="pct"/>
            <w:gridSpan w:val="4"/>
            <w:tcBorders>
              <w:top w:val="nil"/>
              <w:left w:val="nil"/>
              <w:bottom w:val="nil"/>
              <w:right w:val="nil"/>
            </w:tcBorders>
            <w:hideMark/>
          </w:tcPr>
          <w:p w:rsidRPr="009B4172" w:rsidR="009B4172" w:rsidP="009B4172" w:rsidRDefault="009B4172" w14:paraId="16E1078B" w14:textId="53EC5A5C">
            <w:pPr>
              <w:spacing w:line="240" w:lineRule="auto"/>
              <w:rPr>
                <w:rFonts w:eastAsia="Verdana" w:cs="Verdana"/>
                <w:color w:val="000000" w:themeColor="text1"/>
                <w:szCs w:val="18"/>
              </w:rPr>
            </w:pPr>
            <w:r w:rsidRPr="009B4172">
              <w:rPr>
                <w:rFonts w:eastAsia="Verdana" w:cs="Verdana"/>
                <w:color w:val="000000" w:themeColor="text1"/>
                <w:szCs w:val="18"/>
              </w:rPr>
              <w:t>Tot 2022 gold de ACT</w:t>
            </w:r>
            <w:r w:rsidR="003B1F1E">
              <w:rPr>
                <w:rFonts w:eastAsia="Verdana" w:cs="Verdana"/>
                <w:color w:val="000000" w:themeColor="text1"/>
                <w:szCs w:val="18"/>
              </w:rPr>
              <w:t>-</w:t>
            </w:r>
            <w:r w:rsidRPr="009B4172">
              <w:rPr>
                <w:rFonts w:eastAsia="Verdana" w:cs="Verdana"/>
                <w:color w:val="000000" w:themeColor="text1"/>
                <w:szCs w:val="18"/>
              </w:rPr>
              <w:t>regeling (Accelerating CCS Technologies) waarvoor per twee jaar € 4 miljoen beschikbaar was. Vanuit deze regeling is aan projecten die zijn gestart vanaf 2020 in totaal € 6,6 miljoen aan subsidie verstrekt.</w:t>
            </w:r>
            <w:r w:rsidRPr="009B4172">
              <w:rPr>
                <w:szCs w:val="18"/>
              </w:rPr>
              <w:br/>
            </w:r>
            <w:r w:rsidRPr="009B4172">
              <w:rPr>
                <w:rFonts w:eastAsia="Verdana" w:cs="Verdana"/>
                <w:color w:val="000000" w:themeColor="text1"/>
                <w:szCs w:val="18"/>
              </w:rPr>
              <w:t xml:space="preserve">Sinds 2022 geldt de CETP-regeling (Clean Energy Technology Partnerships) waarvoor jaarlijks € 3 miljoen beschikbaar is. Vanuit deze regeling is tot op heden voor € 7 miljoen aan subsidie verstrekt. </w:t>
            </w:r>
          </w:p>
        </w:tc>
      </w:tr>
      <w:tr w:rsidRPr="009B4172" w:rsidR="009B4172" w:rsidTr="00BA6AF9" w14:paraId="51C10AF0" w14:textId="77777777">
        <w:trPr>
          <w:trHeight w:val="827"/>
        </w:trPr>
        <w:tc>
          <w:tcPr>
            <w:tcW w:w="1244" w:type="pct"/>
            <w:tcBorders>
              <w:top w:val="nil"/>
              <w:left w:val="nil"/>
              <w:bottom w:val="nil"/>
              <w:right w:val="nil"/>
            </w:tcBorders>
            <w:noWrap/>
            <w:hideMark/>
          </w:tcPr>
          <w:p w:rsidRPr="009B4172" w:rsidR="009B4172" w:rsidP="003B1F1E" w:rsidRDefault="009B4172" w14:paraId="7C47D7AF" w14:textId="113904E3">
            <w:pPr>
              <w:spacing w:line="240" w:lineRule="auto"/>
              <w:rPr>
                <w:rFonts w:eastAsia="Verdana" w:cs="Verdana"/>
                <w:color w:val="000000"/>
                <w:szCs w:val="18"/>
              </w:rPr>
            </w:pPr>
            <w:r w:rsidRPr="009B4172">
              <w:rPr>
                <w:rFonts w:eastAsia="Verdana" w:cs="Verdana"/>
                <w:color w:val="000000" w:themeColor="text1"/>
                <w:szCs w:val="18"/>
              </w:rPr>
              <w:t>Algemene innovatiesubsidie</w:t>
            </w:r>
            <w:r w:rsidR="003B1F1E">
              <w:rPr>
                <w:rFonts w:eastAsia="Verdana" w:cs="Verdana"/>
                <w:color w:val="000000" w:themeColor="text1"/>
                <w:szCs w:val="18"/>
              </w:rPr>
              <w:t>-</w:t>
            </w:r>
            <w:r w:rsidRPr="009B4172">
              <w:rPr>
                <w:rFonts w:eastAsia="Verdana" w:cs="Verdana"/>
                <w:color w:val="000000" w:themeColor="text1"/>
                <w:szCs w:val="18"/>
              </w:rPr>
              <w:t xml:space="preserve">regelingen </w:t>
            </w:r>
          </w:p>
        </w:tc>
        <w:tc>
          <w:tcPr>
            <w:tcW w:w="3756" w:type="pct"/>
            <w:gridSpan w:val="4"/>
            <w:tcBorders>
              <w:top w:val="nil"/>
              <w:left w:val="nil"/>
              <w:bottom w:val="nil"/>
              <w:right w:val="nil"/>
            </w:tcBorders>
            <w:hideMark/>
          </w:tcPr>
          <w:p w:rsidRPr="009B4172" w:rsidR="009B4172" w:rsidP="009B4172" w:rsidRDefault="003B1F1E" w14:paraId="6B2A530D" w14:textId="3DD61437">
            <w:pPr>
              <w:spacing w:line="240" w:lineRule="auto"/>
              <w:rPr>
                <w:rFonts w:eastAsia="Verdana" w:cs="Verdana"/>
                <w:color w:val="000000"/>
                <w:szCs w:val="18"/>
              </w:rPr>
            </w:pPr>
            <w:r>
              <w:rPr>
                <w:rFonts w:eastAsia="Verdana" w:cs="Verdana"/>
                <w:color w:val="000000" w:themeColor="text1"/>
                <w:szCs w:val="18"/>
              </w:rPr>
              <w:t>E</w:t>
            </w:r>
            <w:r w:rsidRPr="009B4172" w:rsidR="009B4172">
              <w:rPr>
                <w:rFonts w:eastAsia="Verdana" w:cs="Verdana"/>
                <w:color w:val="000000" w:themeColor="text1"/>
                <w:szCs w:val="18"/>
              </w:rPr>
              <w:t xml:space="preserve">r </w:t>
            </w:r>
            <w:r>
              <w:rPr>
                <w:rFonts w:eastAsia="Verdana" w:cs="Verdana"/>
                <w:color w:val="000000" w:themeColor="text1"/>
                <w:szCs w:val="18"/>
              </w:rPr>
              <w:t xml:space="preserve">zijn </w:t>
            </w:r>
            <w:r w:rsidRPr="009B4172" w:rsidR="009B4172">
              <w:rPr>
                <w:rFonts w:eastAsia="Verdana" w:cs="Verdana"/>
                <w:color w:val="000000" w:themeColor="text1"/>
                <w:szCs w:val="18"/>
              </w:rPr>
              <w:t>vier verschillende generieke innovatiesubsidie</w:t>
            </w:r>
            <w:r>
              <w:rPr>
                <w:rFonts w:eastAsia="Verdana" w:cs="Verdana"/>
                <w:color w:val="000000" w:themeColor="text1"/>
                <w:szCs w:val="18"/>
              </w:rPr>
              <w:t>-</w:t>
            </w:r>
            <w:r w:rsidRPr="009B4172" w:rsidR="009B4172">
              <w:rPr>
                <w:rFonts w:eastAsia="Verdana" w:cs="Verdana"/>
                <w:color w:val="000000" w:themeColor="text1"/>
                <w:szCs w:val="18"/>
              </w:rPr>
              <w:t>regelingen die openstaan voor veel technieken, waaronder CCS. Dit betreft de TSE, EKOO, DEI+ en de HER</w:t>
            </w:r>
            <w:r>
              <w:rPr>
                <w:rFonts w:eastAsia="Verdana" w:cs="Verdana"/>
                <w:color w:val="000000" w:themeColor="text1"/>
                <w:szCs w:val="18"/>
              </w:rPr>
              <w:t>-</w:t>
            </w:r>
            <w:r w:rsidRPr="009B4172" w:rsidR="009B4172">
              <w:rPr>
                <w:rFonts w:eastAsia="Verdana" w:cs="Verdana"/>
                <w:color w:val="000000" w:themeColor="text1"/>
                <w:szCs w:val="18"/>
              </w:rPr>
              <w:t>regeling. Er is vanuit deze regelingen € 28 miljoen aan subsidie verstrekt voor CCS-projecten met startdatum vanaf 2020.</w:t>
            </w:r>
          </w:p>
        </w:tc>
      </w:tr>
      <w:tr w:rsidRPr="009B4172" w:rsidR="009B4172" w:rsidTr="00BA6AF9" w14:paraId="2032A6B8" w14:textId="77777777">
        <w:trPr>
          <w:trHeight w:val="827"/>
        </w:trPr>
        <w:tc>
          <w:tcPr>
            <w:tcW w:w="1244" w:type="pct"/>
            <w:tcBorders>
              <w:top w:val="nil"/>
              <w:left w:val="nil"/>
              <w:bottom w:val="nil"/>
              <w:right w:val="nil"/>
            </w:tcBorders>
            <w:noWrap/>
          </w:tcPr>
          <w:p w:rsidRPr="009B4172" w:rsidR="009B4172" w:rsidP="009B4172" w:rsidRDefault="009B4172" w14:paraId="75CD84B5" w14:textId="78125B5F">
            <w:pPr>
              <w:spacing w:line="240" w:lineRule="auto"/>
              <w:rPr>
                <w:rFonts w:eastAsia="Verdana" w:cs="Verdana"/>
                <w:color w:val="000000" w:themeColor="text1"/>
                <w:szCs w:val="18"/>
              </w:rPr>
            </w:pPr>
            <w:r w:rsidRPr="009B4172">
              <w:rPr>
                <w:rFonts w:eastAsia="Verdana" w:cs="Verdana"/>
                <w:color w:val="000000" w:themeColor="text1"/>
                <w:szCs w:val="18"/>
              </w:rPr>
              <w:t>Diverse onderzoeks</w:t>
            </w:r>
            <w:r w:rsidR="003B1F1E">
              <w:rPr>
                <w:rFonts w:eastAsia="Verdana" w:cs="Verdana"/>
                <w:color w:val="000000" w:themeColor="text1"/>
                <w:szCs w:val="18"/>
              </w:rPr>
              <w:t>-</w:t>
            </w:r>
            <w:r w:rsidRPr="009B4172">
              <w:rPr>
                <w:rFonts w:eastAsia="Verdana" w:cs="Verdana"/>
                <w:color w:val="000000" w:themeColor="text1"/>
                <w:szCs w:val="18"/>
              </w:rPr>
              <w:t>opdrachten</w:t>
            </w:r>
          </w:p>
        </w:tc>
        <w:tc>
          <w:tcPr>
            <w:tcW w:w="3756" w:type="pct"/>
            <w:gridSpan w:val="4"/>
            <w:tcBorders>
              <w:top w:val="nil"/>
              <w:left w:val="nil"/>
              <w:bottom w:val="nil"/>
              <w:right w:val="nil"/>
            </w:tcBorders>
          </w:tcPr>
          <w:p w:rsidRPr="009B4172" w:rsidR="009B4172" w:rsidP="009B4172" w:rsidRDefault="009B4172" w14:paraId="686906B1" w14:textId="77777777">
            <w:pPr>
              <w:spacing w:line="240" w:lineRule="auto"/>
              <w:rPr>
                <w:rFonts w:eastAsia="Verdana" w:cs="Verdana"/>
                <w:color w:val="000000" w:themeColor="text1"/>
                <w:szCs w:val="18"/>
              </w:rPr>
            </w:pPr>
            <w:r w:rsidRPr="009B4172">
              <w:rPr>
                <w:rFonts w:eastAsia="Verdana" w:cs="Verdana"/>
                <w:color w:val="000000" w:themeColor="text1"/>
                <w:szCs w:val="18"/>
              </w:rPr>
              <w:t>Sinds 2025 is in totaal € 18,45 miljoen subsidie verleend aan onderzoeken naar diverse aspecten van CCS. De opdrachtnemers hiervan zijn (samenwerkingen tussen) TNO, DNV, RIVM en KNMI.</w:t>
            </w:r>
          </w:p>
        </w:tc>
      </w:tr>
      <w:tr w:rsidRPr="009B4172" w:rsidR="009B4172" w:rsidTr="00BA6AF9" w14:paraId="07A8E4D0" w14:textId="77777777">
        <w:trPr>
          <w:trHeight w:val="827"/>
        </w:trPr>
        <w:tc>
          <w:tcPr>
            <w:tcW w:w="1244" w:type="pct"/>
            <w:tcBorders>
              <w:top w:val="nil"/>
              <w:left w:val="nil"/>
              <w:bottom w:val="nil"/>
              <w:right w:val="nil"/>
            </w:tcBorders>
            <w:noWrap/>
          </w:tcPr>
          <w:p w:rsidRPr="009B4172" w:rsidR="009B4172" w:rsidP="009B4172" w:rsidRDefault="009B4172" w14:paraId="5232A255" w14:textId="77777777">
            <w:pPr>
              <w:spacing w:line="240" w:lineRule="auto"/>
              <w:rPr>
                <w:rFonts w:eastAsia="Verdana" w:cs="Verdana"/>
                <w:color w:val="000000" w:themeColor="text1"/>
                <w:szCs w:val="18"/>
              </w:rPr>
            </w:pPr>
            <w:r w:rsidRPr="009B4172">
              <w:rPr>
                <w:rFonts w:eastAsia="Verdana" w:cs="Verdana"/>
                <w:color w:val="000000" w:themeColor="text1"/>
                <w:szCs w:val="18"/>
              </w:rPr>
              <w:t>Volloopsubsidie Aramis</w:t>
            </w:r>
          </w:p>
        </w:tc>
        <w:tc>
          <w:tcPr>
            <w:tcW w:w="3756" w:type="pct"/>
            <w:gridSpan w:val="4"/>
            <w:tcBorders>
              <w:top w:val="nil"/>
              <w:left w:val="nil"/>
              <w:bottom w:val="nil"/>
              <w:right w:val="nil"/>
            </w:tcBorders>
          </w:tcPr>
          <w:p w:rsidRPr="009B4172" w:rsidR="009B4172" w:rsidP="009B4172" w:rsidRDefault="009B4172" w14:paraId="7B8A6746" w14:textId="7ABBFE74">
            <w:pPr>
              <w:spacing w:line="240" w:lineRule="auto"/>
              <w:rPr>
                <w:rFonts w:eastAsia="Verdana" w:cs="Verdana"/>
                <w:color w:val="000000" w:themeColor="text1"/>
                <w:szCs w:val="18"/>
              </w:rPr>
            </w:pPr>
            <w:r w:rsidRPr="009B4172">
              <w:rPr>
                <w:rFonts w:eastAsia="Verdana" w:cs="Verdana"/>
                <w:color w:val="000000" w:themeColor="text1"/>
                <w:szCs w:val="18"/>
              </w:rPr>
              <w:t>In 2025 heeft het kabinet besloten om middelen vrij te maken om het vollooprisico van de Aramis</w:t>
            </w:r>
            <w:r w:rsidR="003B1F1E">
              <w:rPr>
                <w:rFonts w:eastAsia="Verdana" w:cs="Verdana"/>
                <w:color w:val="000000" w:themeColor="text1"/>
                <w:szCs w:val="18"/>
              </w:rPr>
              <w:t>-</w:t>
            </w:r>
            <w:r w:rsidRPr="009B4172">
              <w:rPr>
                <w:rFonts w:eastAsia="Verdana" w:cs="Verdana"/>
                <w:color w:val="000000" w:themeColor="text1"/>
                <w:szCs w:val="18"/>
              </w:rPr>
              <w:t xml:space="preserve">zeeleiding en de terminal CO2next gedeeltelijk af te dekken. Hiervoor is € 662 miljoen gereserveerd op de begroting van het Klimaatfonds. </w:t>
            </w:r>
          </w:p>
        </w:tc>
      </w:tr>
      <w:tr w:rsidRPr="009B4172" w:rsidR="009B4172" w:rsidTr="00BA6AF9" w14:paraId="1F8A5C93" w14:textId="77777777">
        <w:trPr>
          <w:trHeight w:val="70"/>
        </w:trPr>
        <w:tc>
          <w:tcPr>
            <w:tcW w:w="1244" w:type="pct"/>
            <w:tcBorders>
              <w:top w:val="nil"/>
              <w:left w:val="nil"/>
              <w:bottom w:val="nil"/>
              <w:right w:val="nil"/>
            </w:tcBorders>
            <w:noWrap/>
            <w:hideMark/>
          </w:tcPr>
          <w:p w:rsidRPr="009B4172" w:rsidR="009B4172" w:rsidP="009B4172" w:rsidRDefault="009B4172" w14:paraId="755EC71E" w14:textId="77777777">
            <w:pPr>
              <w:spacing w:line="240" w:lineRule="auto"/>
              <w:rPr>
                <w:rFonts w:eastAsia="Verdana" w:cs="Verdana"/>
                <w:color w:val="000000"/>
                <w:szCs w:val="18"/>
              </w:rPr>
            </w:pPr>
            <w:r w:rsidRPr="009B4172">
              <w:rPr>
                <w:rFonts w:eastAsia="Verdana" w:cs="Verdana"/>
                <w:color w:val="000000" w:themeColor="text1"/>
                <w:szCs w:val="18"/>
              </w:rPr>
              <w:t>Garantieregeling Porthos</w:t>
            </w:r>
          </w:p>
        </w:tc>
        <w:tc>
          <w:tcPr>
            <w:tcW w:w="3756" w:type="pct"/>
            <w:gridSpan w:val="4"/>
            <w:tcBorders>
              <w:top w:val="nil"/>
              <w:left w:val="nil"/>
              <w:bottom w:val="nil"/>
              <w:right w:val="nil"/>
            </w:tcBorders>
            <w:hideMark/>
          </w:tcPr>
          <w:p w:rsidRPr="009B4172" w:rsidR="009B4172" w:rsidP="009B4172" w:rsidRDefault="009B4172" w14:paraId="5009B5A5" w14:textId="0DED5839">
            <w:pPr>
              <w:spacing w:line="240" w:lineRule="auto"/>
              <w:rPr>
                <w:rFonts w:eastAsia="Verdana" w:cs="Verdana"/>
                <w:color w:val="000000"/>
                <w:szCs w:val="18"/>
              </w:rPr>
            </w:pPr>
            <w:r w:rsidRPr="009B4172">
              <w:rPr>
                <w:rFonts w:eastAsia="Verdana" w:cs="Verdana"/>
                <w:color w:val="000000" w:themeColor="text1"/>
                <w:szCs w:val="18"/>
              </w:rPr>
              <w:t>In 2022 heeft het kabinet een garantie van maximaal € 175,6 miljoen verstrekt aan de initiatiefnemers van het CCS-project Porthos (EBN, Gas</w:t>
            </w:r>
            <w:r w:rsidR="003B1F1E">
              <w:rPr>
                <w:rFonts w:eastAsia="Verdana" w:cs="Verdana"/>
                <w:color w:val="000000" w:themeColor="text1"/>
                <w:szCs w:val="18"/>
              </w:rPr>
              <w:t>u</w:t>
            </w:r>
            <w:r w:rsidRPr="009B4172">
              <w:rPr>
                <w:rFonts w:eastAsia="Verdana" w:cs="Verdana"/>
                <w:color w:val="000000" w:themeColor="text1"/>
                <w:szCs w:val="18"/>
              </w:rPr>
              <w:t xml:space="preserve">nie en Havenbedrijf Rotterdam) om vertraging van het project en in het uiterste geval zelfs mogelijk afstel te voorkomen. Hiervoor hebben de initiatiefnemers een marktconforme premie van € 21,9 miljoen betaald in 2023. De garantieregeling is in 2023 vervallen en </w:t>
            </w:r>
            <w:r w:rsidR="003B1F1E">
              <w:rPr>
                <w:rFonts w:eastAsia="Verdana" w:cs="Verdana"/>
                <w:color w:val="000000" w:themeColor="text1"/>
                <w:szCs w:val="18"/>
              </w:rPr>
              <w:t>kan</w:t>
            </w:r>
            <w:r w:rsidRPr="009B4172">
              <w:rPr>
                <w:rFonts w:eastAsia="Verdana" w:cs="Verdana"/>
                <w:color w:val="000000" w:themeColor="text1"/>
                <w:szCs w:val="18"/>
              </w:rPr>
              <w:t xml:space="preserve"> niet meer worden ingeroepen door de partijen.  </w:t>
            </w:r>
          </w:p>
        </w:tc>
      </w:tr>
      <w:tr w:rsidRPr="009B4172" w:rsidR="009B4172" w:rsidTr="00281BFA" w14:paraId="1DF5B899" w14:textId="77777777">
        <w:trPr>
          <w:trHeight w:val="70"/>
        </w:trPr>
        <w:tc>
          <w:tcPr>
            <w:tcW w:w="1244" w:type="pct"/>
            <w:tcBorders>
              <w:top w:val="nil"/>
              <w:left w:val="nil"/>
              <w:bottom w:val="nil"/>
              <w:right w:val="nil"/>
            </w:tcBorders>
            <w:noWrap/>
          </w:tcPr>
          <w:p w:rsidRPr="009B4172" w:rsidR="009B4172" w:rsidP="009B4172" w:rsidRDefault="009B4172" w14:paraId="1A0E40E1" w14:textId="21A71C06">
            <w:pPr>
              <w:spacing w:line="240" w:lineRule="auto"/>
              <w:rPr>
                <w:rFonts w:eastAsia="Verdana" w:cs="Verdana"/>
                <w:color w:val="000000" w:themeColor="text1"/>
                <w:szCs w:val="18"/>
                <w:lang w:val="en-US"/>
              </w:rPr>
            </w:pPr>
            <w:r w:rsidRPr="009B4172">
              <w:rPr>
                <w:rFonts w:eastAsia="Verdana" w:cs="Verdana"/>
                <w:color w:val="000000" w:themeColor="text1"/>
                <w:szCs w:val="18"/>
                <w:lang w:val="en-US"/>
              </w:rPr>
              <w:t>Connecting Europe Facility</w:t>
            </w:r>
            <w:r w:rsidR="003B1F1E">
              <w:rPr>
                <w:rFonts w:eastAsia="Verdana" w:cs="Verdana"/>
                <w:color w:val="000000" w:themeColor="text1"/>
                <w:szCs w:val="18"/>
                <w:lang w:val="en-US"/>
              </w:rPr>
              <w:t xml:space="preserve"> (CEF)</w:t>
            </w:r>
            <w:r w:rsidRPr="009B4172">
              <w:rPr>
                <w:rFonts w:eastAsia="Verdana" w:cs="Verdana"/>
                <w:color w:val="000000" w:themeColor="text1"/>
                <w:szCs w:val="18"/>
                <w:lang w:val="en-US"/>
              </w:rPr>
              <w:t xml:space="preserve"> (Europese gelden)</w:t>
            </w:r>
          </w:p>
        </w:tc>
        <w:tc>
          <w:tcPr>
            <w:tcW w:w="3756" w:type="pct"/>
            <w:gridSpan w:val="4"/>
            <w:tcBorders>
              <w:top w:val="nil"/>
              <w:left w:val="nil"/>
              <w:bottom w:val="nil"/>
              <w:right w:val="nil"/>
            </w:tcBorders>
          </w:tcPr>
          <w:p w:rsidRPr="009B4172" w:rsidR="009B4172" w:rsidP="009B4172" w:rsidRDefault="009B4172" w14:paraId="2FDBCA89" w14:textId="195F6B10">
            <w:pPr>
              <w:spacing w:line="240" w:lineRule="auto"/>
              <w:rPr>
                <w:rFonts w:eastAsia="Verdana" w:cs="Verdana"/>
                <w:color w:val="000000" w:themeColor="text1"/>
                <w:szCs w:val="18"/>
              </w:rPr>
            </w:pPr>
            <w:r w:rsidRPr="009B4172">
              <w:rPr>
                <w:rFonts w:eastAsia="Verdana" w:cs="Verdana"/>
                <w:color w:val="000000" w:themeColor="text1"/>
                <w:szCs w:val="18"/>
              </w:rPr>
              <w:t>In 2022 en 2023 heeft de Europese Commissie CEF-subsidies toegekend aan Aramis (€ 124 miljoen, 2023) voor de realisatie van een open-</w:t>
            </w:r>
            <w:r w:rsidR="003B1F1E">
              <w:rPr>
                <w:rFonts w:eastAsia="Verdana" w:cs="Verdana"/>
                <w:color w:val="000000" w:themeColor="text1"/>
                <w:szCs w:val="18"/>
              </w:rPr>
              <w:t>toegang</w:t>
            </w:r>
            <w:r w:rsidRPr="009B4172">
              <w:rPr>
                <w:rFonts w:eastAsia="Verdana" w:cs="Verdana"/>
                <w:color w:val="000000" w:themeColor="text1"/>
                <w:szCs w:val="18"/>
              </w:rPr>
              <w:t xml:space="preserve"> CO</w:t>
            </w:r>
            <w:r w:rsidRPr="003B1F1E" w:rsidR="003B1F1E">
              <w:rPr>
                <w:rFonts w:eastAsia="Verdana" w:cs="Verdana"/>
                <w:color w:val="000000" w:themeColor="text1"/>
                <w:szCs w:val="18"/>
                <w:vertAlign w:val="subscript"/>
              </w:rPr>
              <w:t>2</w:t>
            </w:r>
            <w:r w:rsidRPr="009B4172">
              <w:rPr>
                <w:rFonts w:eastAsia="Verdana" w:cs="Verdana"/>
                <w:color w:val="000000" w:themeColor="text1"/>
                <w:szCs w:val="18"/>
              </w:rPr>
              <w:t>-transport</w:t>
            </w:r>
            <w:r w:rsidR="003B1F1E">
              <w:rPr>
                <w:rFonts w:eastAsia="Verdana" w:cs="Verdana"/>
                <w:color w:val="000000" w:themeColor="text1"/>
                <w:szCs w:val="18"/>
              </w:rPr>
              <w:t>leiding</w:t>
            </w:r>
            <w:r w:rsidRPr="009B4172">
              <w:rPr>
                <w:rFonts w:eastAsia="Verdana" w:cs="Verdana"/>
                <w:color w:val="000000" w:themeColor="text1"/>
                <w:szCs w:val="18"/>
              </w:rPr>
              <w:t>, CO2next (€33 m</w:t>
            </w:r>
            <w:r w:rsidR="003B1F1E">
              <w:rPr>
                <w:rFonts w:eastAsia="Verdana" w:cs="Verdana"/>
                <w:color w:val="000000" w:themeColor="text1"/>
                <w:szCs w:val="18"/>
              </w:rPr>
              <w:t>i</w:t>
            </w:r>
            <w:r w:rsidRPr="009B4172">
              <w:rPr>
                <w:rFonts w:eastAsia="Verdana" w:cs="Verdana"/>
                <w:color w:val="000000" w:themeColor="text1"/>
                <w:szCs w:val="18"/>
              </w:rPr>
              <w:t>l</w:t>
            </w:r>
            <w:r w:rsidR="003B1F1E">
              <w:rPr>
                <w:rFonts w:eastAsia="Verdana" w:cs="Verdana"/>
                <w:color w:val="000000" w:themeColor="text1"/>
                <w:szCs w:val="18"/>
              </w:rPr>
              <w:t>joe</w:t>
            </w:r>
            <w:r w:rsidRPr="009B4172">
              <w:rPr>
                <w:rFonts w:eastAsia="Verdana" w:cs="Verdana"/>
                <w:color w:val="000000" w:themeColor="text1"/>
                <w:szCs w:val="18"/>
              </w:rPr>
              <w:t>n, 2022) voor de ontwikkeling van een CO</w:t>
            </w:r>
            <w:r w:rsidRPr="003B1F1E" w:rsidR="003B1F1E">
              <w:rPr>
                <w:rFonts w:eastAsia="Verdana" w:cs="Verdana"/>
                <w:color w:val="000000" w:themeColor="text1"/>
                <w:szCs w:val="18"/>
                <w:vertAlign w:val="subscript"/>
              </w:rPr>
              <w:t>2</w:t>
            </w:r>
            <w:r w:rsidRPr="009B4172">
              <w:rPr>
                <w:rFonts w:eastAsia="Verdana" w:cs="Verdana"/>
                <w:color w:val="000000" w:themeColor="text1"/>
                <w:szCs w:val="18"/>
              </w:rPr>
              <w:t>-importterminal, en het Eni L10-project (€55 m</w:t>
            </w:r>
            <w:r w:rsidR="003B1F1E">
              <w:rPr>
                <w:rFonts w:eastAsia="Verdana" w:cs="Verdana"/>
                <w:color w:val="000000" w:themeColor="text1"/>
                <w:szCs w:val="18"/>
              </w:rPr>
              <w:t>i</w:t>
            </w:r>
            <w:r w:rsidRPr="009B4172">
              <w:rPr>
                <w:rFonts w:eastAsia="Verdana" w:cs="Verdana"/>
                <w:color w:val="000000" w:themeColor="text1"/>
                <w:szCs w:val="18"/>
              </w:rPr>
              <w:t>l</w:t>
            </w:r>
            <w:r w:rsidR="003B1F1E">
              <w:rPr>
                <w:rFonts w:eastAsia="Verdana" w:cs="Verdana"/>
                <w:color w:val="000000" w:themeColor="text1"/>
                <w:szCs w:val="18"/>
              </w:rPr>
              <w:t>joe</w:t>
            </w:r>
            <w:r w:rsidRPr="009B4172">
              <w:rPr>
                <w:rFonts w:eastAsia="Verdana" w:cs="Verdana"/>
                <w:color w:val="000000" w:themeColor="text1"/>
                <w:szCs w:val="18"/>
              </w:rPr>
              <w:t>n, 2023) voor de ontwikkeling van CO</w:t>
            </w:r>
            <w:r w:rsidRPr="003B1F1E" w:rsidR="003B1F1E">
              <w:rPr>
                <w:rFonts w:eastAsia="Verdana" w:cs="Verdana"/>
                <w:color w:val="000000" w:themeColor="text1"/>
                <w:szCs w:val="18"/>
                <w:vertAlign w:val="subscript"/>
              </w:rPr>
              <w:t>2</w:t>
            </w:r>
            <w:r w:rsidRPr="009B4172">
              <w:rPr>
                <w:rFonts w:eastAsia="Verdana" w:cs="Verdana"/>
                <w:color w:val="000000" w:themeColor="text1"/>
                <w:szCs w:val="18"/>
              </w:rPr>
              <w:t>-opslagcapaciteit in lege gasvelden</w:t>
            </w:r>
            <w:r w:rsidR="003B1F1E">
              <w:rPr>
                <w:rFonts w:eastAsia="Verdana" w:cs="Verdana"/>
                <w:color w:val="000000" w:themeColor="text1"/>
                <w:szCs w:val="18"/>
              </w:rPr>
              <w:t xml:space="preserve"> op zee</w:t>
            </w:r>
            <w:r w:rsidRPr="009B4172">
              <w:rPr>
                <w:rFonts w:eastAsia="Verdana" w:cs="Verdana"/>
                <w:color w:val="000000" w:themeColor="text1"/>
                <w:szCs w:val="18"/>
              </w:rPr>
              <w:t>.</w:t>
            </w:r>
          </w:p>
        </w:tc>
      </w:tr>
      <w:tr w:rsidRPr="009B4172" w:rsidR="009B4172" w:rsidTr="00281BFA" w14:paraId="118DDFFE" w14:textId="77777777">
        <w:trPr>
          <w:trHeight w:val="70"/>
        </w:trPr>
        <w:tc>
          <w:tcPr>
            <w:tcW w:w="1244" w:type="pct"/>
            <w:tcBorders>
              <w:top w:val="nil"/>
              <w:left w:val="nil"/>
              <w:bottom w:val="single" w:color="auto" w:sz="4" w:space="0"/>
              <w:right w:val="nil"/>
            </w:tcBorders>
            <w:noWrap/>
          </w:tcPr>
          <w:p w:rsidRPr="009B4172" w:rsidR="009B4172" w:rsidP="009B4172" w:rsidRDefault="009B4172" w14:paraId="76B77C5A" w14:textId="77777777">
            <w:pPr>
              <w:spacing w:line="240" w:lineRule="auto"/>
              <w:rPr>
                <w:rFonts w:eastAsia="Verdana" w:cs="Verdana"/>
                <w:color w:val="000000" w:themeColor="text1"/>
                <w:szCs w:val="18"/>
              </w:rPr>
            </w:pPr>
            <w:r w:rsidRPr="009B4172">
              <w:rPr>
                <w:rFonts w:eastAsia="Verdana" w:cs="Verdana"/>
                <w:color w:val="000000" w:themeColor="text1"/>
                <w:szCs w:val="18"/>
              </w:rPr>
              <w:t>Innovation Fund (Europese gelden)</w:t>
            </w:r>
          </w:p>
        </w:tc>
        <w:tc>
          <w:tcPr>
            <w:tcW w:w="3756" w:type="pct"/>
            <w:gridSpan w:val="4"/>
            <w:tcBorders>
              <w:top w:val="nil"/>
              <w:left w:val="nil"/>
              <w:bottom w:val="single" w:color="auto" w:sz="4" w:space="0"/>
              <w:right w:val="nil"/>
            </w:tcBorders>
          </w:tcPr>
          <w:p w:rsidRPr="009B4172" w:rsidR="009B4172" w:rsidP="009B4172" w:rsidRDefault="009B4172" w14:paraId="782A806D" w14:textId="616B0D44">
            <w:pPr>
              <w:spacing w:line="240" w:lineRule="auto"/>
              <w:rPr>
                <w:rFonts w:eastAsia="Verdana" w:cs="Verdana"/>
                <w:color w:val="000000" w:themeColor="text1"/>
                <w:szCs w:val="18"/>
              </w:rPr>
            </w:pPr>
            <w:r w:rsidRPr="009B4172">
              <w:rPr>
                <w:rFonts w:eastAsia="Verdana" w:cs="Verdana"/>
                <w:color w:val="000000" w:themeColor="text1"/>
                <w:szCs w:val="18"/>
              </w:rPr>
              <w:t>In 2023 heeft de Europese Commissie via het Innovation Fund €118 m</w:t>
            </w:r>
            <w:r w:rsidR="003B1F1E">
              <w:rPr>
                <w:rFonts w:eastAsia="Verdana" w:cs="Verdana"/>
                <w:color w:val="000000" w:themeColor="text1"/>
                <w:szCs w:val="18"/>
              </w:rPr>
              <w:t>i</w:t>
            </w:r>
            <w:r w:rsidRPr="009B4172">
              <w:rPr>
                <w:rFonts w:eastAsia="Verdana" w:cs="Verdana"/>
                <w:color w:val="000000" w:themeColor="text1"/>
                <w:szCs w:val="18"/>
              </w:rPr>
              <w:t>l</w:t>
            </w:r>
            <w:r w:rsidR="003B1F1E">
              <w:rPr>
                <w:rFonts w:eastAsia="Verdana" w:cs="Verdana"/>
                <w:color w:val="000000" w:themeColor="text1"/>
                <w:szCs w:val="18"/>
              </w:rPr>
              <w:t>joe</w:t>
            </w:r>
            <w:r w:rsidRPr="009B4172">
              <w:rPr>
                <w:rFonts w:eastAsia="Verdana" w:cs="Verdana"/>
                <w:color w:val="000000" w:themeColor="text1"/>
                <w:szCs w:val="18"/>
              </w:rPr>
              <w:t>n aan subsidies toegekend voor de ontwikkeling van de opslagvelden</w:t>
            </w:r>
            <w:r w:rsidR="003B1F1E">
              <w:rPr>
                <w:rFonts w:eastAsia="Verdana" w:cs="Verdana"/>
                <w:color w:val="000000" w:themeColor="text1"/>
                <w:szCs w:val="18"/>
              </w:rPr>
              <w:t xml:space="preserve"> op zee</w:t>
            </w:r>
            <w:r w:rsidRPr="009B4172">
              <w:rPr>
                <w:rFonts w:eastAsia="Verdana" w:cs="Verdana"/>
                <w:color w:val="000000" w:themeColor="text1"/>
                <w:szCs w:val="18"/>
              </w:rPr>
              <w:t xml:space="preserve"> van Shell (K14) en TotalEnergies (L4A). Deze projecten zijn gericht op het demonstreren van veilige en schaalbare permanente CO</w:t>
            </w:r>
            <w:r w:rsidRPr="003B1F1E" w:rsidR="003B1F1E">
              <w:rPr>
                <w:rFonts w:eastAsia="Verdana" w:cs="Verdana"/>
                <w:color w:val="000000" w:themeColor="text1"/>
                <w:szCs w:val="18"/>
                <w:vertAlign w:val="subscript"/>
              </w:rPr>
              <w:t>2</w:t>
            </w:r>
            <w:r w:rsidRPr="009B4172">
              <w:rPr>
                <w:rFonts w:eastAsia="Verdana" w:cs="Verdana"/>
                <w:color w:val="000000" w:themeColor="text1"/>
                <w:szCs w:val="18"/>
              </w:rPr>
              <w:t>-opslag als onderdeel van de Europese CCS-keten.</w:t>
            </w:r>
          </w:p>
        </w:tc>
      </w:tr>
    </w:tbl>
    <w:p w:rsidR="009B4172" w:rsidRDefault="009B4172" w14:paraId="67DD5785" w14:textId="77777777">
      <w:pPr>
        <w:spacing w:line="240" w:lineRule="auto"/>
      </w:pPr>
    </w:p>
    <w:p w:rsidR="003B60AA" w:rsidRDefault="003B60AA" w14:paraId="2A5A06F0" w14:textId="1675E889">
      <w:pPr>
        <w:spacing w:line="240" w:lineRule="auto"/>
      </w:pPr>
      <w:r>
        <w:t>5</w:t>
      </w:r>
    </w:p>
    <w:p w:rsidR="003B60AA" w:rsidP="003B60AA" w:rsidRDefault="003B60AA" w14:paraId="3A11BA8A" w14:textId="6DBAA573">
      <w:pPr>
        <w:spacing w:line="240" w:lineRule="auto"/>
      </w:pPr>
      <w:r>
        <w:t>Welke exacte definitie hanteert u voor “koolstofarme” of “blauwe” waterstof in termen van maximale ketenemissies per kilogram waterstof?</w:t>
      </w:r>
    </w:p>
    <w:p w:rsidR="00A50CF6" w:rsidP="00810C93" w:rsidRDefault="00A50CF6" w14:paraId="21259180" w14:textId="77777777"/>
    <w:p w:rsidR="00D22441" w:rsidP="00810C93" w:rsidRDefault="004A2B4E" w14:paraId="394B99C4" w14:textId="05CD6AB5">
      <w:r>
        <w:t>Antwoord</w:t>
      </w:r>
    </w:p>
    <w:p w:rsidR="004A2B4E" w:rsidP="004A2B4E" w:rsidRDefault="004A2B4E" w14:paraId="12C26DC1" w14:textId="17BA3EC5">
      <w:r>
        <w:t>De Europese Unie heeft een geharmoniseerd EU-raamwerk opgesteld voor het definiëren van koolstofarme brandstoffen waaronder “koolstofarme waterstof” (</w:t>
      </w:r>
      <w:r w:rsidR="00026C2F">
        <w:t>g</w:t>
      </w:r>
      <w:r>
        <w:t xml:space="preserve">edelegeerde </w:t>
      </w:r>
      <w:r w:rsidR="00026C2F">
        <w:t>v</w:t>
      </w:r>
      <w:r>
        <w:t xml:space="preserve">erordening (EU) 2025/2359). Kernpunt hierin is dat ten minste 70% broeikasgasemissiereductie in de productieketen moet worden gerealiseerd. </w:t>
      </w:r>
    </w:p>
    <w:p w:rsidR="004A2B4E" w:rsidP="004A2B4E" w:rsidRDefault="004A2B4E" w14:paraId="2D20F7AA" w14:textId="2AF5EE7E">
      <w:r>
        <w:t xml:space="preserve">Met de term “blauwe waterstof” wordt </w:t>
      </w:r>
      <w:r w:rsidR="007F7037">
        <w:t xml:space="preserve">over het algemeen </w:t>
      </w:r>
      <w:r>
        <w:t xml:space="preserve">gerefereerd aan waterstof geproduceerd uit fossiele grondstoffen (aardgas of anders) met toepassing van CCS. Deze term is niet </w:t>
      </w:r>
      <w:r w:rsidR="007F7037">
        <w:t xml:space="preserve">specifiek </w:t>
      </w:r>
      <w:r>
        <w:t>gedefinieerd. Om deze reden spreekt het kabinet over koolstofarme waterstof in plaats van blauwe waterstof.</w:t>
      </w:r>
    </w:p>
    <w:p w:rsidR="004A2B4E" w:rsidP="00810C93" w:rsidRDefault="004A2B4E" w14:paraId="5320A108" w14:textId="77777777"/>
    <w:p w:rsidR="003B60AA" w:rsidP="003B60AA" w:rsidRDefault="003B60AA" w14:paraId="3315DF87" w14:textId="72EA5CDC">
      <w:r>
        <w:t>6</w:t>
      </w:r>
    </w:p>
    <w:p w:rsidR="003B60AA" w:rsidP="003B60AA" w:rsidRDefault="003B60AA" w14:paraId="692D1508" w14:textId="4ABA1C3D">
      <w:r>
        <w:t>Op welke wijze worden methaanemissies in de aardgasketen, emissies uit compressie en transport en verschillen tussen binnenlands en geïmporteerd gas in die definitie en toetsing meegenomen?</w:t>
      </w:r>
    </w:p>
    <w:p w:rsidR="003B60AA" w:rsidP="003B60AA" w:rsidRDefault="003B60AA" w14:paraId="08371951" w14:textId="77777777"/>
    <w:p w:rsidR="004A2B4E" w:rsidP="003B60AA" w:rsidRDefault="004A2B4E" w14:paraId="2753B344" w14:textId="5F3A994A">
      <w:r>
        <w:t>Antwoord</w:t>
      </w:r>
    </w:p>
    <w:p w:rsidR="004A2B4E" w:rsidP="00026C2F" w:rsidRDefault="00026C2F" w14:paraId="036C44C4" w14:textId="37CB1A16">
      <w:r>
        <w:t>De voornoemde gedelegeerde verordening neemt methaanemissies in de keten expliciet mee in de berekening van de totale broeikasgasemissies van koolstofarme waterstof. Daarbij wordt onderscheid gemaakt tussen aardgas geproduceerd in de EU en aardgas geïmporteerd van buiten de EU. Daarnaast kent de verordening een onderscheid tussen productie van koolstofarme waterstof in een geïntegreerd productieproces (‘incorporated process’) en andere productie. In de verordening zijn standaardwaarden vastgesteld voor emissies van broeikasgassen in de keten. Voor een deel moeten deze worden toegepast, voor een deel is er ook ruimte voor het gebruik van eigen meetgegevens. Voor LNG geldt dat de emissies van vervloeiing, transport en hervergassing expliciet zijn uitgesloten van deze standaardwaarden en afzonderlijk moeten worden bepaald. De verordening verwijst voor de bepaling van methaanemissies bij productie en transport van buiten de EU naar de Methaanverordening. Als onderdeel daarvan wordt naar verwachting in 2027 een database uitgebracht met methaanemissies bij transport. Producenten mogen in de tussentijd terugvallen op literatuurwaarden. De verwachting is echter dat eventuele investeringsbeslissingen pas volgen wanneer de uiteindelijke database is vastgesteld.</w:t>
      </w:r>
    </w:p>
    <w:p w:rsidR="004A2B4E" w:rsidP="003B60AA" w:rsidRDefault="004A2B4E" w14:paraId="5EE31F36" w14:textId="77777777"/>
    <w:p w:rsidR="003B60AA" w:rsidP="003B60AA" w:rsidRDefault="003B60AA" w14:paraId="018CCFB1" w14:textId="14B389EE">
      <w:r>
        <w:t>7</w:t>
      </w:r>
    </w:p>
    <w:p w:rsidR="003B60AA" w:rsidP="003B60AA" w:rsidRDefault="003B60AA" w14:paraId="12086F7A" w14:textId="1FAD670F">
      <w:r>
        <w:t>Hanteert u bij CO</w:t>
      </w:r>
      <w:r w:rsidRPr="003B60AA">
        <w:rPr>
          <w:vertAlign w:val="subscript"/>
        </w:rPr>
        <w:t>2</w:t>
      </w:r>
      <w:r>
        <w:t>-afvang als maatstaf de totale emissiereductie op installatieniveau, of volstaat afvang op afzonderlijke deelstromen? Kunt u dit precies toelichten?</w:t>
      </w:r>
    </w:p>
    <w:p w:rsidR="003B60AA" w:rsidP="003B60AA" w:rsidRDefault="003B60AA" w14:paraId="0BC37DF6" w14:textId="77777777"/>
    <w:p w:rsidR="00026C2F" w:rsidP="003B60AA" w:rsidRDefault="00026C2F" w14:paraId="4CE1743E" w14:textId="1B5BFC1B">
      <w:r>
        <w:t>Antwoord</w:t>
      </w:r>
    </w:p>
    <w:p w:rsidR="00026C2F" w:rsidP="003B60AA" w:rsidRDefault="00026C2F" w14:paraId="015EB30E" w14:textId="57BF46FE">
      <w:r w:rsidRPr="00026C2F">
        <w:t>De SDE++, het belangrijkste instrument voor het stimuleren van grootschalige CO</w:t>
      </w:r>
      <w:r w:rsidRPr="00026C2F">
        <w:rPr>
          <w:vertAlign w:val="subscript"/>
        </w:rPr>
        <w:t>2</w:t>
      </w:r>
      <w:r w:rsidRPr="00026C2F">
        <w:t>-reductie, verleent subsidie aan de projecten die het meest kosteneffectief CO</w:t>
      </w:r>
      <w:r w:rsidRPr="00026C2F">
        <w:rPr>
          <w:vertAlign w:val="subscript"/>
        </w:rPr>
        <w:t>2</w:t>
      </w:r>
      <w:r w:rsidRPr="00026C2F">
        <w:t xml:space="preserve"> reduceren. Het Planbureau voor de Leefomgeving, dat over de belangrijkste parameters van de SDE++ adviseert, kijkt hiervoor naar de scope 1 en scope 2 emissies van de verschillende technologieën die voor SDE++-subsidie in aanmerking komen. Voor CO</w:t>
      </w:r>
      <w:r w:rsidRPr="00026C2F">
        <w:rPr>
          <w:vertAlign w:val="subscript"/>
        </w:rPr>
        <w:t>2</w:t>
      </w:r>
      <w:r w:rsidRPr="00026C2F">
        <w:t>-afvang betekent dit dat ook de emissies van de energie die nodig is voor het afvangen en eventueel comprimeren of vervloeien van CO</w:t>
      </w:r>
      <w:r w:rsidRPr="00026C2F">
        <w:rPr>
          <w:vertAlign w:val="subscript"/>
        </w:rPr>
        <w:t>2</w:t>
      </w:r>
      <w:r w:rsidRPr="00026C2F">
        <w:t xml:space="preserve"> wordt meegenomen bij de berekening van de CO</w:t>
      </w:r>
      <w:r w:rsidRPr="00026C2F">
        <w:rPr>
          <w:vertAlign w:val="subscript"/>
        </w:rPr>
        <w:t>2</w:t>
      </w:r>
      <w:r w:rsidRPr="00026C2F">
        <w:t>-reductie per opgeslagen ton CO</w:t>
      </w:r>
      <w:r w:rsidRPr="00026C2F">
        <w:rPr>
          <w:vertAlign w:val="subscript"/>
        </w:rPr>
        <w:t>2</w:t>
      </w:r>
      <w:r w:rsidRPr="00026C2F">
        <w:t>.</w:t>
      </w:r>
    </w:p>
    <w:p w:rsidR="003B60AA" w:rsidP="003B60AA" w:rsidRDefault="003B60AA" w14:paraId="0CD9B204" w14:textId="77777777"/>
    <w:p w:rsidR="003B60AA" w:rsidP="003B60AA" w:rsidRDefault="003B60AA" w14:paraId="68A95B4F" w14:textId="1A1D592C">
      <w:r>
        <w:t>8</w:t>
      </w:r>
    </w:p>
    <w:p w:rsidR="003B60AA" w:rsidP="003B60AA" w:rsidRDefault="003B60AA" w14:paraId="4420CFAF" w14:textId="384FCB98">
      <w:r>
        <w:t>Welke eisen gelden voor permanente opslag, monitoring, aansprakelijkheid, eventuele lekkages en langjarige nazorg van opgeslagen CO</w:t>
      </w:r>
      <w:r w:rsidRPr="003B60AA">
        <w:rPr>
          <w:vertAlign w:val="subscript"/>
        </w:rPr>
        <w:t>2</w:t>
      </w:r>
      <w:r>
        <w:t>?</w:t>
      </w:r>
    </w:p>
    <w:p w:rsidR="003B60AA" w:rsidP="003B60AA" w:rsidRDefault="003B60AA" w14:paraId="7C4F63B6" w14:textId="77777777"/>
    <w:p w:rsidR="003B60AA" w:rsidP="003B60AA" w:rsidRDefault="00026C2F" w14:paraId="6F1432F3" w14:textId="059A65AE">
      <w:r>
        <w:t>Antwoord</w:t>
      </w:r>
    </w:p>
    <w:p w:rsidR="00026C2F" w:rsidP="003B60AA" w:rsidRDefault="00281BFA" w14:paraId="2954A9AF" w14:textId="08B52E4C">
      <w:r w:rsidRPr="00281BFA">
        <w:t>Dergelijke eisen zijn vastgelegd in onder andere de Mijnbouwwet en de EU-ETS-richtlijn (</w:t>
      </w:r>
      <w:r>
        <w:t xml:space="preserve">Richtlijn </w:t>
      </w:r>
      <w:r w:rsidRPr="00281BFA">
        <w:t>2003/87/EG). Deze wet- en regelgeving bepaalt bijvoorbeeld dat vergunningen voor CO</w:t>
      </w:r>
      <w:r w:rsidRPr="00281BFA">
        <w:rPr>
          <w:vertAlign w:val="subscript"/>
        </w:rPr>
        <w:t>2</w:t>
      </w:r>
      <w:r w:rsidRPr="00281BFA">
        <w:t>-opslag alleen worden verleend indien de risico's van CO</w:t>
      </w:r>
      <w:r w:rsidRPr="00281BFA">
        <w:rPr>
          <w:vertAlign w:val="subscript"/>
        </w:rPr>
        <w:t>2</w:t>
      </w:r>
      <w:r w:rsidRPr="00281BFA">
        <w:t>-opslag – zoals het weglekken van CO</w:t>
      </w:r>
      <w:r w:rsidRPr="00281BFA">
        <w:rPr>
          <w:vertAlign w:val="subscript"/>
        </w:rPr>
        <w:t>2</w:t>
      </w:r>
      <w:r w:rsidRPr="00281BFA">
        <w:t xml:space="preserve"> – voldoende zijn geborgd. Vervolgens zijn de exploitant van het transportsysteem en de opslagvergunninghouder verantwoordelijk voor respectievelijk de CO</w:t>
      </w:r>
      <w:r w:rsidRPr="00281BFA">
        <w:rPr>
          <w:vertAlign w:val="subscript"/>
        </w:rPr>
        <w:t>2</w:t>
      </w:r>
      <w:r w:rsidRPr="00281BFA">
        <w:t xml:space="preserve"> die </w:t>
      </w:r>
      <w:r>
        <w:t xml:space="preserve">wordt </w:t>
      </w:r>
      <w:r w:rsidRPr="00281BFA">
        <w:t>getransporteerd en opgeslagen. Nadat het opslagveld gevuld is, wordt deze door de vergunninghouder afgesloten en gemonitord gedurende een periode van (in beginsel) 20 jaar. Daarna, en pas als genoegzaam is aangetoond dat de CO</w:t>
      </w:r>
      <w:r w:rsidRPr="00281BFA">
        <w:rPr>
          <w:vertAlign w:val="subscript"/>
        </w:rPr>
        <w:t>2</w:t>
      </w:r>
      <w:r w:rsidRPr="00281BFA">
        <w:t xml:space="preserve"> goed is opgeslagen, wordt de vergunning ingetrokken en gaat het beheer en de verantwoordelijkheid voor de opslaglocatie over op de Staat. De voormalig vergunninghouder is verplicht te voorzien in de kosten voor het beheer gedurende een periode van 30 jaar. Daarnaast gelden de aansprakelijkheidsbepalingen van het Burgerlijk Wetboek. Hierin is bepaald dat de Staat kosten op de voormalig vergunninghouder kan verhalen indien er onzorgvuldig is gehandeld voorafgaand aan de intrekking van vergunning.</w:t>
      </w:r>
    </w:p>
    <w:p w:rsidR="00281BFA" w:rsidP="003B60AA" w:rsidRDefault="00281BFA" w14:paraId="023FFBD4" w14:textId="77777777"/>
    <w:p w:rsidR="003B60AA" w:rsidP="003B60AA" w:rsidRDefault="003B60AA" w14:paraId="39CC56F9" w14:textId="56BAA643">
      <w:r>
        <w:t>9</w:t>
      </w:r>
    </w:p>
    <w:p w:rsidR="003B60AA" w:rsidP="003B60AA" w:rsidRDefault="003B60AA" w14:paraId="6F316599" w14:textId="730C1B60">
      <w:r>
        <w:t>Kunt u per industriecluster aangeven waar u blauwe waterstof nog als reële transitieroute ziet, met welke orde van grootte aan volumes, voor welke periode en onder welke afbouwvoorwaarden?</w:t>
      </w:r>
    </w:p>
    <w:p w:rsidR="003B60AA" w:rsidP="003B60AA" w:rsidRDefault="003B60AA" w14:paraId="39FEA037" w14:textId="77777777"/>
    <w:p w:rsidR="003B60AA" w:rsidP="003B60AA" w:rsidRDefault="00026C2F" w14:paraId="64E91148" w14:textId="3F7164B1">
      <w:r>
        <w:t>Antwoord</w:t>
      </w:r>
    </w:p>
    <w:p w:rsidR="00026C2F" w:rsidP="00026C2F" w:rsidRDefault="00026C2F" w14:paraId="26FDA066" w14:textId="11D2E5AE">
      <w:r>
        <w:t>Koolstofarme waterstof vormt een reële transitieroute met een aanzienlijk emissiereductiepotentieel bij het verduurzamen van onvermijdelijke reststromen</w:t>
      </w:r>
      <w:r w:rsidR="007C1D59">
        <w:t xml:space="preserve"> overeenkomstig de voornoemde beleidsverkenning</w:t>
      </w:r>
      <w:r w:rsidR="007C1D59">
        <w:rPr>
          <w:rStyle w:val="Voetnootmarkering"/>
        </w:rPr>
        <w:footnoteReference w:id="4"/>
      </w:r>
      <w:r>
        <w:t>. Vanwege de lage ketenemissies, de bijdrage aan strategische onafhankelijkheid en de rol in een circulaire economie, blijven deze stromen op de lange termijn relevanter dan aardgasroutes. Om deze ontwikkeling te stimuleren, wordt de SDE++-ronde 2026 uitgebreid voor productie van koolstofarme waterstof uit restgassen en restafval.</w:t>
      </w:r>
    </w:p>
    <w:p w:rsidR="00026C2F" w:rsidP="00026C2F" w:rsidRDefault="00026C2F" w14:paraId="6AFF3D7F" w14:textId="0F041270">
      <w:r>
        <w:t>De totale potentiële CO</w:t>
      </w:r>
      <w:r w:rsidRPr="008A0C75">
        <w:rPr>
          <w:vertAlign w:val="subscript"/>
        </w:rPr>
        <w:t>2</w:t>
      </w:r>
      <w:r>
        <w:t xml:space="preserve">-reductie via koolstofarme waterstof bij bestaande installaties en via reststromen wordt geschat op ruwweg 15 </w:t>
      </w:r>
      <w:r w:rsidR="008A0C75">
        <w:t>mega</w:t>
      </w:r>
      <w:r>
        <w:t>ton. Het grootste deel van dit potentieel bevindt zich in de clusters Rotterdam-Moerdijk en Zeeland, met gezamenlijk circa 700 k</w:t>
      </w:r>
      <w:r w:rsidR="008A0C75">
        <w:t>ilo</w:t>
      </w:r>
      <w:r>
        <w:t>ton waterstofproductie uit restgassen. Daarnaast is er een initiatief op Chemelot voor de productie van 55 k</w:t>
      </w:r>
      <w:r w:rsidR="008A0C75">
        <w:t>ilo</w:t>
      </w:r>
      <w:r>
        <w:t xml:space="preserve">ton koolstofarme waterstof uit restafval. De </w:t>
      </w:r>
      <w:r w:rsidR="008A0C75">
        <w:t>potentiële</w:t>
      </w:r>
      <w:r>
        <w:t xml:space="preserve"> vraag in de clusters Noord-Nederland, Noordzeekanaalgebied en cluster 6 wordt lager ingeschat. Het betreft hier met name processen op hoge temperatuur die uitdagend of niet te elektrificeren zijn. De omvang hiervan is onzeker, mede omdat groen gas of </w:t>
      </w:r>
      <w:r w:rsidR="008A0C75">
        <w:t>hybride technologieën</w:t>
      </w:r>
      <w:r>
        <w:t xml:space="preserve"> alternatieven kunnen zijn. Aangezien volumes op clusterniveau herleidbaar </w:t>
      </w:r>
      <w:r w:rsidR="008A0C75">
        <w:t xml:space="preserve">kunnen </w:t>
      </w:r>
      <w:r>
        <w:t xml:space="preserve">zijn tot individuele bedrijven en projecten, </w:t>
      </w:r>
      <w:r w:rsidR="008A0C75">
        <w:t>worden</w:t>
      </w:r>
      <w:r>
        <w:t xml:space="preserve"> deze niet gedeeld.</w:t>
      </w:r>
    </w:p>
    <w:p w:rsidR="00026C2F" w:rsidP="00026C2F" w:rsidRDefault="00E33F6C" w14:paraId="68F8BB04" w14:textId="3DD39A51">
      <w:r>
        <w:br/>
      </w:r>
      <w:r w:rsidR="00026C2F">
        <w:t xml:space="preserve">Er zijn inmiddels al investeringsbeslissingen genomen voor verduurzaming van productie-installaties voor grijze waterstof, die ruim 3 </w:t>
      </w:r>
      <w:r w:rsidR="008A0C75">
        <w:t>mega</w:t>
      </w:r>
      <w:r w:rsidR="00026C2F">
        <w:t>ton CO</w:t>
      </w:r>
      <w:r w:rsidRPr="008A0C75" w:rsidR="008A0C75">
        <w:rPr>
          <w:vertAlign w:val="subscript"/>
        </w:rPr>
        <w:t>2</w:t>
      </w:r>
      <w:r w:rsidR="00026C2F">
        <w:t>-reductie opleveren. Hierbij wordt 50–60% van de CO</w:t>
      </w:r>
      <w:r w:rsidRPr="008A0C75" w:rsidR="008A0C75">
        <w:rPr>
          <w:vertAlign w:val="subscript"/>
        </w:rPr>
        <w:t>2</w:t>
      </w:r>
      <w:r w:rsidR="00026C2F">
        <w:t>-emissies afgevangen, waardoor de geproduceerde waterstof doorgaans niet voldoet aan de Europese definitie van koolstofarme waterstof</w:t>
      </w:r>
      <w:r w:rsidR="008A0C75">
        <w:t xml:space="preserve"> (zie beantwoording vraag 5)</w:t>
      </w:r>
      <w:r w:rsidR="00026C2F">
        <w:t>. De Europese Commissie stelt dit echter niet als voorwaarde voor subsidie, aangezien alleen de CCS-component wordt vergoed. Dit geldt ook voor koolstofarme waterstof uit reststromen. Voor eventuele steun aan nieuwe productie van koolstofarme waterstof uit aardgas is de verwachting dat wel aan deze definitie moet worden voldaan</w:t>
      </w:r>
      <w:r w:rsidR="008A0C75">
        <w:t>.</w:t>
      </w:r>
    </w:p>
    <w:p w:rsidR="003B60AA" w:rsidP="003B60AA" w:rsidRDefault="003B60AA" w14:paraId="305F9E77" w14:textId="77777777"/>
    <w:p w:rsidR="003B60AA" w:rsidP="003B60AA" w:rsidRDefault="003B60AA" w14:paraId="551381F0" w14:textId="119005F6">
      <w:r>
        <w:t>10</w:t>
      </w:r>
    </w:p>
    <w:p w:rsidR="003B60AA" w:rsidP="003B60AA" w:rsidRDefault="003B60AA" w14:paraId="686CA8A1" w14:textId="5EEB0AFB">
      <w:r>
        <w:t>Klopt het dat het kabinet in februari 2025 voor ammoniakproductie een uitzonderingspercentage van 60% consulteerde, mede rekening houdend met CCS en andere vormen van koolstofarme waterstof? Op basis van welke aannames over kosten, volumes en beschikbaarheid is dat percentage gekozen?</w:t>
      </w:r>
    </w:p>
    <w:p w:rsidR="003B60AA" w:rsidP="003B60AA" w:rsidRDefault="003B60AA" w14:paraId="564AA1E4" w14:textId="77777777"/>
    <w:p w:rsidR="008A0C75" w:rsidP="003B60AA" w:rsidRDefault="008A0C75" w14:paraId="62360EB3" w14:textId="1EB6FDAA">
      <w:r>
        <w:t>Antwoord</w:t>
      </w:r>
    </w:p>
    <w:p w:rsidR="008A0C75" w:rsidP="003B60AA" w:rsidRDefault="001F784D" w14:paraId="42A315DD" w14:textId="3F633261">
      <w:r>
        <w:t xml:space="preserve">Op </w:t>
      </w:r>
      <w:r w:rsidR="008646B8">
        <w:t>29</w:t>
      </w:r>
      <w:r>
        <w:t xml:space="preserve"> april jl. is het wetsvoorstel </w:t>
      </w:r>
      <w:r w:rsidRPr="001F784D">
        <w:t>jaarverplichting hernieuwbare brandstoffen van niet-biologische oorsprong in de industrie</w:t>
      </w:r>
      <w:r>
        <w:t xml:space="preserve"> </w:t>
      </w:r>
      <w:r w:rsidR="008646B8">
        <w:t>bij</w:t>
      </w:r>
      <w:r>
        <w:t xml:space="preserve"> de Kamer </w:t>
      </w:r>
      <w:r w:rsidR="008646B8">
        <w:t>ingediend</w:t>
      </w:r>
      <w:r>
        <w:t>. Hierin is opgenomen dat h</w:t>
      </w:r>
      <w:r w:rsidRPr="008A0C75" w:rsidR="008A0C75">
        <w:t xml:space="preserve">et kabinet voornemens </w:t>
      </w:r>
      <w:r>
        <w:t xml:space="preserve">is </w:t>
      </w:r>
      <w:r w:rsidRPr="008A0C75" w:rsidR="008A0C75">
        <w:t>om de ammoniaksector voor 60% uit te zonderen van de</w:t>
      </w:r>
      <w:r>
        <w:t>ze</w:t>
      </w:r>
      <w:r w:rsidRPr="008A0C75" w:rsidR="008A0C75">
        <w:t xml:space="preserve"> voorgenomen jaarverplichting. In de achterliggende periode heeft het kabinet de Kamer verscheidene keren geïnformeerd over deze ammoniakuitzondering met inbegrip van de overweging van het percentage van 60% en het niet kunnen uitvoeren van de aangenomen motie om de ammoniaksector volledig vrij te stellen. Hiervoor verwijs ik naar de </w:t>
      </w:r>
      <w:r w:rsidR="008A0C75">
        <w:t>Kamerbrief “V</w:t>
      </w:r>
      <w:r w:rsidRPr="008A0C75" w:rsidR="008A0C75">
        <w:t>oortgang waterstofbeleid</w:t>
      </w:r>
      <w:r w:rsidR="008A0C75">
        <w:t>”</w:t>
      </w:r>
      <w:r w:rsidRPr="008A0C75" w:rsidR="008A0C75">
        <w:t xml:space="preserve"> d.d. 14 juli 2025</w:t>
      </w:r>
      <w:r w:rsidR="00E33F6C">
        <w:rPr>
          <w:rStyle w:val="Voetnootmarkering"/>
        </w:rPr>
        <w:footnoteReference w:id="5"/>
      </w:r>
      <w:r w:rsidRPr="008A0C75" w:rsidR="008A0C75">
        <w:t xml:space="preserve"> die onder meer ingaat op de motie van Flach c.s. over de volledige vrijstelling van de ammoniaksector</w:t>
      </w:r>
      <w:r w:rsidR="00E33F6C">
        <w:rPr>
          <w:rStyle w:val="Voetnootmarkering"/>
        </w:rPr>
        <w:footnoteReference w:id="6"/>
      </w:r>
      <w:r w:rsidRPr="008A0C75" w:rsidR="008A0C75">
        <w:t xml:space="preserve">. Reden voor het gedeeltelijk uitzonderen is gelegen in de beperkte technische haalbaarheid om over te stappen op hernieuwbare waterstof, zoals nader onderbouwd in de memorie van toelichting bij het </w:t>
      </w:r>
      <w:r w:rsidR="005D1B1F">
        <w:t xml:space="preserve">voornoemd </w:t>
      </w:r>
      <w:r w:rsidRPr="008A0C75" w:rsidR="008A0C75">
        <w:t>wetsvoorstel jaarverplichting</w:t>
      </w:r>
      <w:r w:rsidR="005D1B1F">
        <w:t xml:space="preserve"> </w:t>
      </w:r>
      <w:r w:rsidRPr="001F784D" w:rsidR="005D1B1F">
        <w:t>hernieuwbare brandstoffen van niet-biologische oorsprong in de industrie</w:t>
      </w:r>
      <w:r w:rsidRPr="008A0C75" w:rsidR="008A0C75">
        <w:t xml:space="preserve">. Ammoniakproducenten kunnen op andere wijze hun productieprocessen verduurzamen. Yara Sluiskil </w:t>
      </w:r>
      <w:r w:rsidR="008A0C75">
        <w:t xml:space="preserve">gaat </w:t>
      </w:r>
      <w:r w:rsidRPr="008A0C75" w:rsidR="008A0C75">
        <w:t>jaarlijks 0,8 megaton CO</w:t>
      </w:r>
      <w:r w:rsidRPr="008A0C75" w:rsidR="008A0C75">
        <w:rPr>
          <w:vertAlign w:val="subscript"/>
        </w:rPr>
        <w:t>2</w:t>
      </w:r>
      <w:r w:rsidRPr="008A0C75" w:rsidR="008A0C75">
        <w:t xml:space="preserve"> afvangen voor opslag in Noorwegen, ondersteund door een maatwerksubsidie van € 30 miljoen. OCI verkent de inzet van koolstofarme waterstof uit afvalvergassing via het FUREC-project van RWE</w:t>
      </w:r>
      <w:r w:rsidR="00E33F6C">
        <w:t xml:space="preserve">. </w:t>
      </w:r>
      <w:r w:rsidRPr="008A0C75" w:rsidR="008A0C75">
        <w:t xml:space="preserve">Over nadere financiële gegevens </w:t>
      </w:r>
      <w:r w:rsidR="008A0C75">
        <w:t>worden</w:t>
      </w:r>
      <w:r w:rsidRPr="008A0C75" w:rsidR="008A0C75">
        <w:t xml:space="preserve"> geen uitspraken gedaan gezien het om bedrijfsgevoelige gegevens gaat.</w:t>
      </w:r>
    </w:p>
    <w:p w:rsidR="003B60AA" w:rsidP="003B60AA" w:rsidRDefault="003B60AA" w14:paraId="2A509627" w14:textId="77777777"/>
    <w:p w:rsidR="003B60AA" w:rsidP="003B60AA" w:rsidRDefault="003B60AA" w14:paraId="2B8E1D87" w14:textId="6B8BF791">
      <w:r>
        <w:t>11</w:t>
      </w:r>
    </w:p>
    <w:p w:rsidR="003B60AA" w:rsidP="003B60AA" w:rsidRDefault="003B60AA" w14:paraId="060F933F" w14:textId="220BCE08">
      <w:r>
        <w:t>Hoe voorkomt u dat tijdelijke inzet op blauwe waterstof feitelijk leidt tot langdurige fossiele lock-in, verdringing van elektrificatie of vertraging van groene waterstof?</w:t>
      </w:r>
    </w:p>
    <w:p w:rsidR="003B60AA" w:rsidP="003B60AA" w:rsidRDefault="003B60AA" w14:paraId="501684DD" w14:textId="77777777"/>
    <w:p w:rsidR="003B60AA" w:rsidP="003B60AA" w:rsidRDefault="008A0C75" w14:paraId="483D8CE8" w14:textId="207DE58D">
      <w:r>
        <w:t>Antwoord</w:t>
      </w:r>
    </w:p>
    <w:p w:rsidR="008A0C75" w:rsidP="008A0C75" w:rsidRDefault="008A0C75" w14:paraId="6302A37C" w14:textId="62C1F3DD">
      <w:r>
        <w:t xml:space="preserve">Het kabinet ziet koolstofarme waterstof als een transitietechnologie voor emissiereductie. Voor de routes waarop het kabinet zich richt, is het risico op fossiele lock-in beperkt. De grootste potentie ligt in de verduurzaming van onvermijdelijke restgassen in de petrochemie. Omdat deze stromen inherent zijn aan het productieproces en in de toekomst ook een biogene oorsprong kunnen krijgen, leiden zij niet tot nieuwe fossiele afhankelijkheden. Ook voor de productie van waterstof uit restafval kan er een rol op lange termijn blijven. Bestaande waterstoffabrieken (smr-installaties) die op aardgas draaien worden ondertussen geleidelijk uitgefaseerd, gedreven door de opschaling van hernieuwbare waterstof, de resterende emissies bij toepassing van CCS en de krimp van de fossiele raffinagesector waar zij nu aan leveren. De door het kabinet voorgestelde toenemende verplichtingen voor hernieuwbare waterstof in de industrie en het vervoer versterken deze beweging weg van productie op basis van fossiel. </w:t>
      </w:r>
    </w:p>
    <w:p w:rsidR="008A0C75" w:rsidP="008A0C75" w:rsidRDefault="008A0C75" w14:paraId="57AD6EB8" w14:textId="05AB095F">
      <w:r>
        <w:t>Het kabinet beschouwt elektrificatie als de voorkeursroute waar dat technisch en economisch haalbaar is en verwacht dat koolstofarme waterstof zich zal concentreren in sectoren zonder reëel elektrisch alternatief. Het ligt niet voor de hand om in sectoren waar elektrificatie op termijn de logische oplossing is alternatieve transitiepaden te volgen</w:t>
      </w:r>
      <w:r w:rsidR="00E33F6C">
        <w:t xml:space="preserve">. </w:t>
      </w:r>
    </w:p>
    <w:p w:rsidR="008A0C75" w:rsidP="003B60AA" w:rsidRDefault="008A0C75" w14:paraId="17D68E92" w14:textId="77777777"/>
    <w:p w:rsidR="003B60AA" w:rsidP="00281BFA" w:rsidRDefault="003B60AA" w14:paraId="1E908B24" w14:textId="40C42376">
      <w:pPr>
        <w:keepNext/>
      </w:pPr>
      <w:r>
        <w:t>12</w:t>
      </w:r>
    </w:p>
    <w:p w:rsidR="00D22441" w:rsidP="003B60AA" w:rsidRDefault="003B60AA" w14:paraId="2456CBDF" w14:textId="6B1F796D">
      <w:r>
        <w:t>Bent u bereid de Kamer voortaan jaarlijks te informeren over de kosten, emissiereductie, capture rate, benuttingsgraad van CO</w:t>
      </w:r>
      <w:r w:rsidRPr="003B60AA">
        <w:rPr>
          <w:vertAlign w:val="subscript"/>
        </w:rPr>
        <w:t>2</w:t>
      </w:r>
      <w:r>
        <w:t>-infrastructuur en het publieke risicoprofiel van projecten die samenhangen met blauwe waterstof?</w:t>
      </w:r>
    </w:p>
    <w:p w:rsidR="00292EB2" w:rsidRDefault="00292EB2" w14:paraId="30D7F16B" w14:textId="77777777">
      <w:pPr>
        <w:spacing w:line="240" w:lineRule="auto"/>
      </w:pPr>
    </w:p>
    <w:p w:rsidR="00187A02" w:rsidRDefault="00187A02" w14:paraId="15C1B08F" w14:textId="36AF5747">
      <w:pPr>
        <w:spacing w:line="240" w:lineRule="auto"/>
      </w:pPr>
      <w:r>
        <w:t>Antwoord</w:t>
      </w:r>
    </w:p>
    <w:p w:rsidR="00D22441" w:rsidP="00810C93" w:rsidRDefault="00281BFA" w14:paraId="675573AE" w14:textId="4913D6CB">
      <w:r w:rsidRPr="00281BFA">
        <w:t>Deze informatie is al grotendeels via openbare rapporten beschikbaar. De jaarlijkse rapportage van de interviews met de Top</w:t>
      </w:r>
      <w:r>
        <w:t>-</w:t>
      </w:r>
      <w:r w:rsidRPr="00281BFA">
        <w:t>60 uitstoters, het dashboard Klimaatbeleid en de Klimaat</w:t>
      </w:r>
      <w:r>
        <w:t>-</w:t>
      </w:r>
      <w:r w:rsidRPr="00281BFA">
        <w:t xml:space="preserve"> en Energieverkenning (KEV) geven inzicht in de (verwachte) emissiereductie en capture rate, en daarmee ook de verwachte benuttingsgraad van Nederlandse infrastructuurprojecten als Porthos en Aramis. De kosten van de CCS- en </w:t>
      </w:r>
      <w:r>
        <w:t>koolstofarme</w:t>
      </w:r>
      <w:r w:rsidRPr="00281BFA">
        <w:t xml:space="preserve"> waterstofprojecten zijn doorgaans vertrouwelijk</w:t>
      </w:r>
      <w:r>
        <w:t xml:space="preserve">; </w:t>
      </w:r>
      <w:r w:rsidRPr="00281BFA">
        <w:t xml:space="preserve">publieke kosten en risico’s kunnen </w:t>
      </w:r>
      <w:r>
        <w:t xml:space="preserve">worden </w:t>
      </w:r>
      <w:r w:rsidRPr="00281BFA">
        <w:t xml:space="preserve">gedeeld met </w:t>
      </w:r>
      <w:r>
        <w:t>uw</w:t>
      </w:r>
      <w:r w:rsidRPr="00281BFA">
        <w:t xml:space="preserve"> Kamer.</w:t>
      </w:r>
    </w:p>
    <w:p w:rsidR="00DE7F94" w:rsidP="00810C93" w:rsidRDefault="00DE7F94" w14:paraId="48A6128B" w14:textId="77777777"/>
    <w:sectPr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F409" w14:textId="77777777" w:rsidR="004C5B2E" w:rsidRDefault="004C5B2E">
      <w:r>
        <w:separator/>
      </w:r>
    </w:p>
    <w:p w14:paraId="6B8DDB27" w14:textId="77777777" w:rsidR="004C5B2E" w:rsidRDefault="004C5B2E"/>
  </w:endnote>
  <w:endnote w:type="continuationSeparator" w:id="0">
    <w:p w14:paraId="4CC073F4" w14:textId="77777777" w:rsidR="004C5B2E" w:rsidRDefault="004C5B2E">
      <w:r>
        <w:continuationSeparator/>
      </w:r>
    </w:p>
    <w:p w14:paraId="0E2D3A1A" w14:textId="77777777" w:rsidR="004C5B2E" w:rsidRDefault="004C5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9BB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444D0" w14:paraId="30634574" w14:textId="77777777" w:rsidTr="00CA6A25">
      <w:trPr>
        <w:trHeight w:hRule="exact" w:val="240"/>
      </w:trPr>
      <w:tc>
        <w:tcPr>
          <w:tcW w:w="7601" w:type="dxa"/>
        </w:tcPr>
        <w:p w14:paraId="226D962D" w14:textId="77777777" w:rsidR="00527BD4" w:rsidRDefault="00527BD4" w:rsidP="003F1F6B">
          <w:pPr>
            <w:pStyle w:val="Huisstijl-Rubricering"/>
          </w:pPr>
        </w:p>
      </w:tc>
      <w:tc>
        <w:tcPr>
          <w:tcW w:w="2156" w:type="dxa"/>
        </w:tcPr>
        <w:p w14:paraId="61270121" w14:textId="7B67B5F7" w:rsidR="00527BD4" w:rsidRPr="00645414" w:rsidRDefault="00880A6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8862FB">
            <w:t>9</w:t>
          </w:r>
          <w:r w:rsidR="00721AE1">
            <w:fldChar w:fldCharType="end"/>
          </w:r>
        </w:p>
      </w:tc>
    </w:tr>
  </w:tbl>
  <w:p w14:paraId="6B6C2D4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444D0" w14:paraId="73D4278A" w14:textId="77777777" w:rsidTr="00CA6A25">
      <w:trPr>
        <w:trHeight w:hRule="exact" w:val="240"/>
      </w:trPr>
      <w:tc>
        <w:tcPr>
          <w:tcW w:w="7601" w:type="dxa"/>
        </w:tcPr>
        <w:p w14:paraId="7BD21C69" w14:textId="77777777" w:rsidR="00527BD4" w:rsidRDefault="00527BD4" w:rsidP="008C356D">
          <w:pPr>
            <w:pStyle w:val="Huisstijl-Rubricering"/>
          </w:pPr>
        </w:p>
      </w:tc>
      <w:tc>
        <w:tcPr>
          <w:tcW w:w="2170" w:type="dxa"/>
        </w:tcPr>
        <w:p w14:paraId="4698ED4B" w14:textId="6A460646" w:rsidR="00527BD4" w:rsidRPr="00ED539E" w:rsidRDefault="00880A6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8862FB">
            <w:t>9</w:t>
          </w:r>
          <w:r w:rsidR="00405C2A">
            <w:fldChar w:fldCharType="end"/>
          </w:r>
        </w:p>
      </w:tc>
    </w:tr>
  </w:tbl>
  <w:p w14:paraId="2CFDDC69" w14:textId="77777777" w:rsidR="00527BD4" w:rsidRPr="00BC3B53" w:rsidRDefault="00527BD4" w:rsidP="008C356D">
    <w:pPr>
      <w:pStyle w:val="Voettekst"/>
      <w:spacing w:line="240" w:lineRule="auto"/>
      <w:rPr>
        <w:sz w:val="2"/>
        <w:szCs w:val="2"/>
      </w:rPr>
    </w:pPr>
  </w:p>
  <w:p w14:paraId="21FD649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954C" w14:textId="77777777" w:rsidR="004C5B2E" w:rsidRDefault="004C5B2E">
      <w:r>
        <w:separator/>
      </w:r>
    </w:p>
    <w:p w14:paraId="1A665396" w14:textId="77777777" w:rsidR="004C5B2E" w:rsidRDefault="004C5B2E"/>
  </w:footnote>
  <w:footnote w:type="continuationSeparator" w:id="0">
    <w:p w14:paraId="64DAA205" w14:textId="77777777" w:rsidR="004C5B2E" w:rsidRDefault="004C5B2E">
      <w:r>
        <w:continuationSeparator/>
      </w:r>
    </w:p>
    <w:p w14:paraId="32867E72" w14:textId="77777777" w:rsidR="004C5B2E" w:rsidRDefault="004C5B2E"/>
  </w:footnote>
  <w:footnote w:id="1">
    <w:p w14:paraId="3B7525CB" w14:textId="71596C3F" w:rsidR="003B60AA" w:rsidRDefault="003B60AA">
      <w:pPr>
        <w:pStyle w:val="Voetnoottekst"/>
      </w:pPr>
      <w:r>
        <w:rPr>
          <w:rStyle w:val="Voetnootmarkering"/>
        </w:rPr>
        <w:footnoteRef/>
      </w:r>
      <w:r>
        <w:t xml:space="preserve"> </w:t>
      </w:r>
      <w:r w:rsidRPr="003B60AA">
        <w:t>Kamerstuk 32 813, nr. 1529</w:t>
      </w:r>
    </w:p>
  </w:footnote>
  <w:footnote w:id="2">
    <w:p w14:paraId="31BC0573" w14:textId="25F0BA10" w:rsidR="003B60AA" w:rsidRDefault="003B60AA">
      <w:pPr>
        <w:pStyle w:val="Voetnoottekst"/>
      </w:pPr>
      <w:r>
        <w:rPr>
          <w:rStyle w:val="Voetnootmarkering"/>
        </w:rPr>
        <w:footnoteRef/>
      </w:r>
      <w:r>
        <w:t xml:space="preserve"> </w:t>
      </w:r>
      <w:r w:rsidRPr="003B60AA">
        <w:t xml:space="preserve">Klimaat- en Energienota 2025 </w:t>
      </w:r>
      <w:r>
        <w:t>(</w:t>
      </w:r>
      <w:r w:rsidRPr="003B60AA">
        <w:t>https://www.tweedekamer.nl/kamerstukken/detail?id=2025D39522&amp;did=2025D39522)</w:t>
      </w:r>
    </w:p>
  </w:footnote>
  <w:footnote w:id="3">
    <w:p w14:paraId="57FF7A6F" w14:textId="5F7D4E56" w:rsidR="003B60AA" w:rsidRDefault="003B60AA">
      <w:pPr>
        <w:pStyle w:val="Voetnoottekst"/>
      </w:pPr>
      <w:r>
        <w:rPr>
          <w:rStyle w:val="Voetnootmarkering"/>
        </w:rPr>
        <w:footnoteRef/>
      </w:r>
      <w:r>
        <w:t xml:space="preserve"> </w:t>
      </w:r>
      <w:r w:rsidRPr="003B60AA">
        <w:t>Ontwerp Meerjarenprogramma Klimaat- en energiefonds 2027 (https://www.rijksoverheid.nl/documenten/rapporten/2026/03/27/bijlage-ontwerp-meerjarenprogramma-2027-klimaat-en-energiefonds-docx)</w:t>
      </w:r>
    </w:p>
  </w:footnote>
  <w:footnote w:id="4">
    <w:p w14:paraId="2743C8D5" w14:textId="77777777" w:rsidR="007C1D59" w:rsidRDefault="007C1D59" w:rsidP="007C1D59">
      <w:pPr>
        <w:pStyle w:val="Voetnoottekst"/>
      </w:pPr>
      <w:r>
        <w:rPr>
          <w:rStyle w:val="Voetnootmarkering"/>
        </w:rPr>
        <w:footnoteRef/>
      </w:r>
      <w:r>
        <w:t xml:space="preserve"> Kamerstuk 32 813, nr. 1529</w:t>
      </w:r>
    </w:p>
  </w:footnote>
  <w:footnote w:id="5">
    <w:p w14:paraId="7C10F744" w14:textId="161DD4CE" w:rsidR="00E33F6C" w:rsidRDefault="00E33F6C">
      <w:pPr>
        <w:pStyle w:val="Voetnoottekst"/>
      </w:pPr>
      <w:r>
        <w:rPr>
          <w:rStyle w:val="Voetnootmarkering"/>
        </w:rPr>
        <w:footnoteRef/>
      </w:r>
      <w:r>
        <w:t xml:space="preserve"> </w:t>
      </w:r>
      <w:r w:rsidRPr="008A0C75">
        <w:t>Kamerstuk 32 813, nr. 1529</w:t>
      </w:r>
    </w:p>
  </w:footnote>
  <w:footnote w:id="6">
    <w:p w14:paraId="6677AFF0" w14:textId="6D50B4A4" w:rsidR="00E33F6C" w:rsidRDefault="00E33F6C">
      <w:pPr>
        <w:pStyle w:val="Voetnoottekst"/>
      </w:pPr>
      <w:r>
        <w:rPr>
          <w:rStyle w:val="Voetnootmarkering"/>
        </w:rPr>
        <w:footnoteRef/>
      </w:r>
      <w:r>
        <w:t xml:space="preserve"> </w:t>
      </w:r>
      <w:r w:rsidRPr="008A0C75">
        <w:t>Kamerstuk 31 239, nr. 419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444D0" w14:paraId="05A27B66" w14:textId="77777777" w:rsidTr="00A50CF6">
      <w:tc>
        <w:tcPr>
          <w:tcW w:w="2156" w:type="dxa"/>
        </w:tcPr>
        <w:p w14:paraId="1648E5BF" w14:textId="77777777" w:rsidR="00527BD4" w:rsidRPr="005819CE" w:rsidRDefault="00880A64" w:rsidP="00A50CF6">
          <w:pPr>
            <w:pStyle w:val="Huisstijl-Adres"/>
            <w:rPr>
              <w:b/>
            </w:rPr>
          </w:pPr>
          <w:r>
            <w:rPr>
              <w:b/>
            </w:rPr>
            <w:t>Directoraat-generaal Realisatie Groene Groei</w:t>
          </w:r>
          <w:r w:rsidRPr="005819CE">
            <w:rPr>
              <w:b/>
            </w:rPr>
            <w:br/>
          </w:r>
        </w:p>
      </w:tc>
    </w:tr>
    <w:tr w:rsidR="007444D0" w14:paraId="439680C0" w14:textId="77777777" w:rsidTr="00A50CF6">
      <w:trPr>
        <w:trHeight w:hRule="exact" w:val="200"/>
      </w:trPr>
      <w:tc>
        <w:tcPr>
          <w:tcW w:w="2156" w:type="dxa"/>
        </w:tcPr>
        <w:p w14:paraId="4564B592" w14:textId="77777777" w:rsidR="00527BD4" w:rsidRPr="005819CE" w:rsidRDefault="00527BD4" w:rsidP="00A50CF6"/>
      </w:tc>
    </w:tr>
    <w:tr w:rsidR="007444D0" w14:paraId="0D83671E" w14:textId="77777777" w:rsidTr="00502512">
      <w:trPr>
        <w:trHeight w:hRule="exact" w:val="774"/>
      </w:trPr>
      <w:tc>
        <w:tcPr>
          <w:tcW w:w="2156" w:type="dxa"/>
        </w:tcPr>
        <w:p w14:paraId="7FD61000" w14:textId="77777777" w:rsidR="00527BD4" w:rsidRDefault="00880A64" w:rsidP="003A5290">
          <w:pPr>
            <w:pStyle w:val="Huisstijl-Kopje"/>
          </w:pPr>
          <w:r>
            <w:t>Ons kenmerk</w:t>
          </w:r>
        </w:p>
        <w:p w14:paraId="53A8DE0E" w14:textId="77777777" w:rsidR="00880A64" w:rsidRPr="00880A64" w:rsidRDefault="00880A64" w:rsidP="00880A64">
          <w:pPr>
            <w:pStyle w:val="Huisstijl-Kopje"/>
          </w:pPr>
          <w:r>
            <w:rPr>
              <w:b w:val="0"/>
            </w:rPr>
            <w:t>KGG_DGRGG</w:t>
          </w:r>
          <w:r w:rsidR="00C561C7">
            <w:rPr>
              <w:b w:val="0"/>
            </w:rPr>
            <w:t>/</w:t>
          </w:r>
          <w:r w:rsidRPr="00880A64">
            <w:rPr>
              <w:b w:val="0"/>
              <w:bCs/>
            </w:rPr>
            <w:t>105990320</w:t>
          </w:r>
        </w:p>
        <w:p w14:paraId="5230D06D" w14:textId="105BA48B" w:rsidR="00502512" w:rsidRPr="00502512" w:rsidRDefault="00502512" w:rsidP="003A5290">
          <w:pPr>
            <w:pStyle w:val="Huisstijl-Kopje"/>
            <w:rPr>
              <w:b w:val="0"/>
            </w:rPr>
          </w:pPr>
        </w:p>
        <w:p w14:paraId="35B8CC53" w14:textId="77777777" w:rsidR="00527BD4" w:rsidRPr="005819CE" w:rsidRDefault="00527BD4" w:rsidP="00361A56">
          <w:pPr>
            <w:pStyle w:val="Huisstijl-Kopje"/>
          </w:pPr>
        </w:p>
      </w:tc>
    </w:tr>
  </w:tbl>
  <w:p w14:paraId="0517B102" w14:textId="77777777" w:rsidR="00527BD4" w:rsidRDefault="00527BD4" w:rsidP="008C356D">
    <w:pPr>
      <w:pStyle w:val="Koptekst"/>
      <w:rPr>
        <w:rFonts w:cs="Verdana-Bold"/>
        <w:b/>
        <w:bCs/>
        <w:smallCaps/>
        <w:szCs w:val="18"/>
      </w:rPr>
    </w:pPr>
  </w:p>
  <w:p w14:paraId="78EE5BA9" w14:textId="77777777" w:rsidR="00527BD4" w:rsidRDefault="00527BD4" w:rsidP="008C356D"/>
  <w:p w14:paraId="6B3F5C9A" w14:textId="77777777" w:rsidR="00527BD4" w:rsidRPr="00740712" w:rsidRDefault="00527BD4" w:rsidP="008C356D"/>
  <w:p w14:paraId="78D063AC" w14:textId="77777777" w:rsidR="00527BD4" w:rsidRPr="00217880" w:rsidRDefault="00527BD4" w:rsidP="008C356D">
    <w:pPr>
      <w:spacing w:line="0" w:lineRule="atLeast"/>
      <w:rPr>
        <w:sz w:val="2"/>
        <w:szCs w:val="2"/>
      </w:rPr>
    </w:pPr>
  </w:p>
  <w:p w14:paraId="6D8CB4B1" w14:textId="77777777" w:rsidR="00527BD4" w:rsidRDefault="00527BD4" w:rsidP="004F44C2">
    <w:pPr>
      <w:pStyle w:val="Koptekst"/>
      <w:rPr>
        <w:rFonts w:cs="Verdana-Bold"/>
        <w:b/>
        <w:bCs/>
        <w:smallCaps/>
        <w:szCs w:val="18"/>
      </w:rPr>
    </w:pPr>
  </w:p>
  <w:p w14:paraId="49FCEA34" w14:textId="77777777" w:rsidR="00527BD4" w:rsidRDefault="00527BD4" w:rsidP="004F44C2"/>
  <w:p w14:paraId="06B1A922" w14:textId="77777777" w:rsidR="00527BD4" w:rsidRPr="00740712" w:rsidRDefault="00527BD4" w:rsidP="004F44C2"/>
  <w:p w14:paraId="68B2217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444D0" w14:paraId="49155027" w14:textId="77777777" w:rsidTr="00751A6A">
      <w:trPr>
        <w:trHeight w:val="2636"/>
      </w:trPr>
      <w:tc>
        <w:tcPr>
          <w:tcW w:w="737" w:type="dxa"/>
        </w:tcPr>
        <w:p w14:paraId="429E5546" w14:textId="77777777" w:rsidR="00527BD4" w:rsidRDefault="00527BD4" w:rsidP="00D0609E">
          <w:pPr>
            <w:framePr w:w="6340" w:h="2750" w:hRule="exact" w:hSpace="180" w:wrap="around" w:vAnchor="page" w:hAnchor="text" w:x="3873" w:y="-140"/>
            <w:spacing w:line="240" w:lineRule="auto"/>
          </w:pPr>
        </w:p>
      </w:tc>
      <w:tc>
        <w:tcPr>
          <w:tcW w:w="5156" w:type="dxa"/>
        </w:tcPr>
        <w:p w14:paraId="4F3A2E9A" w14:textId="77777777" w:rsidR="00527BD4" w:rsidRDefault="00880A64"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386D609" wp14:editId="16CE08CA">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61AB16D" w14:textId="77777777" w:rsidR="00F4553F" w:rsidRDefault="00F4553F" w:rsidP="00651CEE">
          <w:pPr>
            <w:framePr w:w="6340" w:h="2750" w:hRule="exact" w:hSpace="180" w:wrap="around" w:vAnchor="page" w:hAnchor="text" w:x="3873" w:y="-140"/>
            <w:spacing w:line="240" w:lineRule="auto"/>
          </w:pPr>
        </w:p>
      </w:tc>
    </w:tr>
  </w:tbl>
  <w:p w14:paraId="51B0D2CA" w14:textId="77777777" w:rsidR="00527BD4" w:rsidRDefault="00527BD4" w:rsidP="00D0609E">
    <w:pPr>
      <w:framePr w:w="6340" w:h="2750" w:hRule="exact" w:hSpace="180" w:wrap="around" w:vAnchor="page" w:hAnchor="text" w:x="3873" w:y="-140"/>
    </w:pPr>
  </w:p>
  <w:p w14:paraId="07937B6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444D0" w:rsidRPr="00C561C7" w14:paraId="2E872A25" w14:textId="77777777" w:rsidTr="00A50CF6">
      <w:tc>
        <w:tcPr>
          <w:tcW w:w="2160" w:type="dxa"/>
        </w:tcPr>
        <w:p w14:paraId="3FF301F4" w14:textId="77777777" w:rsidR="00527BD4" w:rsidRPr="005819CE" w:rsidRDefault="00880A64" w:rsidP="00A50CF6">
          <w:pPr>
            <w:pStyle w:val="Huisstijl-Adres"/>
            <w:rPr>
              <w:b/>
            </w:rPr>
          </w:pPr>
          <w:r>
            <w:rPr>
              <w:b/>
            </w:rPr>
            <w:t>Directoraat-generaal Realisatie Groene Groei</w:t>
          </w:r>
          <w:r w:rsidRPr="005819CE">
            <w:rPr>
              <w:b/>
            </w:rPr>
            <w:br/>
          </w:r>
        </w:p>
        <w:p w14:paraId="689EC30F" w14:textId="77777777" w:rsidR="00527BD4" w:rsidRPr="00BE5ED9" w:rsidRDefault="00880A64" w:rsidP="00A50CF6">
          <w:pPr>
            <w:pStyle w:val="Huisstijl-Adres"/>
          </w:pPr>
          <w:r>
            <w:rPr>
              <w:b/>
            </w:rPr>
            <w:t>Bezoekadres</w:t>
          </w:r>
          <w:r>
            <w:rPr>
              <w:b/>
            </w:rPr>
            <w:br/>
          </w:r>
          <w:r>
            <w:t>Bezuidenhoutseweg 73</w:t>
          </w:r>
          <w:r w:rsidRPr="005819CE">
            <w:br/>
          </w:r>
          <w:r>
            <w:t>2594 AC Den Haag</w:t>
          </w:r>
        </w:p>
        <w:p w14:paraId="2DADF2FD" w14:textId="77777777" w:rsidR="00EF495B" w:rsidRDefault="00880A64" w:rsidP="0098788A">
          <w:pPr>
            <w:pStyle w:val="Huisstijl-Adres"/>
          </w:pPr>
          <w:r>
            <w:rPr>
              <w:b/>
            </w:rPr>
            <w:t>Postadres</w:t>
          </w:r>
          <w:r>
            <w:rPr>
              <w:b/>
            </w:rPr>
            <w:br/>
          </w:r>
          <w:r>
            <w:t>Postbus 20401</w:t>
          </w:r>
          <w:r w:rsidRPr="005819CE">
            <w:br/>
            <w:t>2500 E</w:t>
          </w:r>
          <w:r>
            <w:t>K</w:t>
          </w:r>
          <w:r w:rsidRPr="005819CE">
            <w:t xml:space="preserve"> Den Haag</w:t>
          </w:r>
        </w:p>
        <w:p w14:paraId="054F93E7" w14:textId="77777777" w:rsidR="00EF495B" w:rsidRPr="005B3814" w:rsidRDefault="00880A64" w:rsidP="0098788A">
          <w:pPr>
            <w:pStyle w:val="Huisstijl-Adres"/>
          </w:pPr>
          <w:r>
            <w:rPr>
              <w:b/>
            </w:rPr>
            <w:t>Overheidsidentificatienr</w:t>
          </w:r>
          <w:r>
            <w:rPr>
              <w:b/>
            </w:rPr>
            <w:br/>
          </w:r>
          <w:r w:rsidRPr="005B3814">
            <w:t>00000001003214369000</w:t>
          </w:r>
        </w:p>
        <w:p w14:paraId="73E18A65" w14:textId="58C6C8A5" w:rsidR="00527BD4" w:rsidRPr="00C561C7" w:rsidRDefault="00880A6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7444D0" w:rsidRPr="00C561C7" w14:paraId="5395CA73" w14:textId="77777777" w:rsidTr="00A50CF6">
      <w:trPr>
        <w:trHeight w:hRule="exact" w:val="200"/>
      </w:trPr>
      <w:tc>
        <w:tcPr>
          <w:tcW w:w="2160" w:type="dxa"/>
        </w:tcPr>
        <w:p w14:paraId="1268A52F" w14:textId="77777777" w:rsidR="00527BD4" w:rsidRPr="002C524F" w:rsidRDefault="00527BD4" w:rsidP="00A50CF6"/>
      </w:tc>
    </w:tr>
    <w:tr w:rsidR="007444D0" w14:paraId="04DF965F" w14:textId="77777777" w:rsidTr="00A50CF6">
      <w:tc>
        <w:tcPr>
          <w:tcW w:w="2160" w:type="dxa"/>
        </w:tcPr>
        <w:p w14:paraId="34847778" w14:textId="77777777" w:rsidR="000C0163" w:rsidRPr="005819CE" w:rsidRDefault="00880A64" w:rsidP="000C0163">
          <w:pPr>
            <w:pStyle w:val="Huisstijl-Kopje"/>
          </w:pPr>
          <w:r>
            <w:t>Ons kenmerk</w:t>
          </w:r>
          <w:r w:rsidRPr="005819CE">
            <w:t xml:space="preserve"> </w:t>
          </w:r>
        </w:p>
        <w:p w14:paraId="58E7FA54" w14:textId="77777777" w:rsidR="000C0163" w:rsidRPr="005819CE" w:rsidRDefault="00880A64" w:rsidP="000C0163">
          <w:pPr>
            <w:pStyle w:val="Huisstijl-Gegeven"/>
          </w:pPr>
          <w:r>
            <w:t>KGG_DGRGG</w:t>
          </w:r>
          <w:r w:rsidR="00926AE2">
            <w:t xml:space="preserve"> / </w:t>
          </w:r>
          <w:r>
            <w:t>105990320</w:t>
          </w:r>
        </w:p>
        <w:p w14:paraId="567B4A25" w14:textId="77777777" w:rsidR="00527BD4" w:rsidRPr="005819CE" w:rsidRDefault="00880A64" w:rsidP="00A50CF6">
          <w:pPr>
            <w:pStyle w:val="Huisstijl-Kopje"/>
          </w:pPr>
          <w:r>
            <w:t>Uw kenmerk</w:t>
          </w:r>
        </w:p>
        <w:p w14:paraId="52D86148" w14:textId="77777777" w:rsidR="00527BD4" w:rsidRPr="005819CE" w:rsidRDefault="00880A64" w:rsidP="00A50CF6">
          <w:pPr>
            <w:pStyle w:val="Huisstijl-Gegeven"/>
          </w:pPr>
          <w:r>
            <w:t>2026Z06931</w:t>
          </w:r>
        </w:p>
        <w:p w14:paraId="1E6E3478" w14:textId="77777777" w:rsidR="00527BD4" w:rsidRPr="005819CE" w:rsidRDefault="00527BD4" w:rsidP="00C561C7">
          <w:pPr>
            <w:pStyle w:val="Huisstijl-Kopje"/>
          </w:pPr>
        </w:p>
      </w:tc>
    </w:tr>
  </w:tbl>
  <w:p w14:paraId="1098658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444D0" w14:paraId="3A64F3E0" w14:textId="77777777" w:rsidTr="007610AA">
      <w:trPr>
        <w:trHeight w:val="400"/>
      </w:trPr>
      <w:tc>
        <w:tcPr>
          <w:tcW w:w="7520" w:type="dxa"/>
          <w:gridSpan w:val="2"/>
        </w:tcPr>
        <w:p w14:paraId="417B8332" w14:textId="77777777" w:rsidR="00527BD4" w:rsidRPr="00BC3B53" w:rsidRDefault="00880A64" w:rsidP="00A50CF6">
          <w:pPr>
            <w:pStyle w:val="Huisstijl-Retouradres"/>
          </w:pPr>
          <w:r>
            <w:t>&gt; Retouradres Postbus 20401 2500 EK Den Haag</w:t>
          </w:r>
        </w:p>
      </w:tc>
    </w:tr>
    <w:tr w:rsidR="007444D0" w14:paraId="0A27D48E" w14:textId="77777777" w:rsidTr="007610AA">
      <w:tc>
        <w:tcPr>
          <w:tcW w:w="7520" w:type="dxa"/>
          <w:gridSpan w:val="2"/>
        </w:tcPr>
        <w:p w14:paraId="4DECA2A1" w14:textId="77777777" w:rsidR="00527BD4" w:rsidRPr="00983E8F" w:rsidRDefault="00527BD4" w:rsidP="00A50CF6">
          <w:pPr>
            <w:pStyle w:val="Huisstijl-Rubricering"/>
          </w:pPr>
        </w:p>
      </w:tc>
    </w:tr>
    <w:tr w:rsidR="007444D0" w14:paraId="0273FF7E" w14:textId="77777777" w:rsidTr="007610AA">
      <w:trPr>
        <w:trHeight w:hRule="exact" w:val="2440"/>
      </w:trPr>
      <w:tc>
        <w:tcPr>
          <w:tcW w:w="7520" w:type="dxa"/>
          <w:gridSpan w:val="2"/>
        </w:tcPr>
        <w:p w14:paraId="35120BCD" w14:textId="77777777" w:rsidR="00527BD4" w:rsidRDefault="00880A64" w:rsidP="00A50CF6">
          <w:pPr>
            <w:pStyle w:val="Huisstijl-NAW"/>
          </w:pPr>
          <w:r>
            <w:t xml:space="preserve">De Voorzitter van de Tweede Kamer </w:t>
          </w:r>
        </w:p>
        <w:p w14:paraId="105B8481" w14:textId="77777777" w:rsidR="00D87195" w:rsidRDefault="00880A64" w:rsidP="00D87195">
          <w:pPr>
            <w:pStyle w:val="Huisstijl-NAW"/>
          </w:pPr>
          <w:r>
            <w:t>der Staten-Generaal</w:t>
          </w:r>
        </w:p>
        <w:p w14:paraId="21F6F1DA" w14:textId="77777777" w:rsidR="00EA0F13" w:rsidRDefault="00880A64" w:rsidP="00EA0F13">
          <w:pPr>
            <w:rPr>
              <w:szCs w:val="18"/>
            </w:rPr>
          </w:pPr>
          <w:r>
            <w:rPr>
              <w:szCs w:val="18"/>
            </w:rPr>
            <w:t>Prinses Irenestraat 6</w:t>
          </w:r>
        </w:p>
        <w:p w14:paraId="19A8F963" w14:textId="77777777" w:rsidR="00985E56" w:rsidRDefault="00880A64" w:rsidP="00EA0F13">
          <w:r>
            <w:rPr>
              <w:szCs w:val="18"/>
            </w:rPr>
            <w:t>2595 BD  DEN HAAG</w:t>
          </w:r>
        </w:p>
      </w:tc>
    </w:tr>
    <w:tr w:rsidR="007444D0" w14:paraId="78E98B11" w14:textId="77777777" w:rsidTr="007610AA">
      <w:trPr>
        <w:trHeight w:hRule="exact" w:val="400"/>
      </w:trPr>
      <w:tc>
        <w:tcPr>
          <w:tcW w:w="7520" w:type="dxa"/>
          <w:gridSpan w:val="2"/>
        </w:tcPr>
        <w:p w14:paraId="371D44E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444D0" w14:paraId="2773049D" w14:textId="77777777" w:rsidTr="007610AA">
      <w:trPr>
        <w:trHeight w:val="240"/>
      </w:trPr>
      <w:tc>
        <w:tcPr>
          <w:tcW w:w="900" w:type="dxa"/>
        </w:tcPr>
        <w:p w14:paraId="3288F5A6" w14:textId="77777777" w:rsidR="00527BD4" w:rsidRPr="007709EF" w:rsidRDefault="00880A64" w:rsidP="00A50CF6">
          <w:pPr>
            <w:rPr>
              <w:szCs w:val="18"/>
            </w:rPr>
          </w:pPr>
          <w:r>
            <w:rPr>
              <w:szCs w:val="18"/>
            </w:rPr>
            <w:t>Datum</w:t>
          </w:r>
        </w:p>
      </w:tc>
      <w:tc>
        <w:tcPr>
          <w:tcW w:w="6620" w:type="dxa"/>
        </w:tcPr>
        <w:p w14:paraId="4B44BF7D" w14:textId="61F5D18E" w:rsidR="00527BD4" w:rsidRPr="007709EF" w:rsidRDefault="007F7ED5" w:rsidP="00A50CF6">
          <w:r>
            <w:t>26 mei 2026</w:t>
          </w:r>
        </w:p>
      </w:tc>
    </w:tr>
    <w:tr w:rsidR="007444D0" w14:paraId="2A4DC650" w14:textId="77777777" w:rsidTr="007610AA">
      <w:trPr>
        <w:trHeight w:val="240"/>
      </w:trPr>
      <w:tc>
        <w:tcPr>
          <w:tcW w:w="900" w:type="dxa"/>
        </w:tcPr>
        <w:p w14:paraId="0284CB96" w14:textId="77777777" w:rsidR="00527BD4" w:rsidRPr="007709EF" w:rsidRDefault="00880A64" w:rsidP="00A50CF6">
          <w:pPr>
            <w:rPr>
              <w:szCs w:val="18"/>
            </w:rPr>
          </w:pPr>
          <w:r>
            <w:rPr>
              <w:szCs w:val="18"/>
            </w:rPr>
            <w:t>Betreft</w:t>
          </w:r>
        </w:p>
      </w:tc>
      <w:tc>
        <w:tcPr>
          <w:tcW w:w="6620" w:type="dxa"/>
        </w:tcPr>
        <w:p w14:paraId="3B82F715" w14:textId="77777777" w:rsidR="00527BD4" w:rsidRPr="007709EF" w:rsidRDefault="00880A64" w:rsidP="00A50CF6">
          <w:r>
            <w:t>Blauwe waterstof, CO</w:t>
          </w:r>
          <w:r w:rsidRPr="003B60AA">
            <w:rPr>
              <w:vertAlign w:val="subscript"/>
            </w:rPr>
            <w:t>2</w:t>
          </w:r>
          <w:r>
            <w:t>-opslag en publiek risico</w:t>
          </w:r>
        </w:p>
      </w:tc>
    </w:tr>
  </w:tbl>
  <w:p w14:paraId="04BDA1D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63EB61A">
      <w:start w:val="1"/>
      <w:numFmt w:val="bullet"/>
      <w:pStyle w:val="Lijstopsomteken"/>
      <w:lvlText w:val="•"/>
      <w:lvlJc w:val="left"/>
      <w:pPr>
        <w:tabs>
          <w:tab w:val="num" w:pos="227"/>
        </w:tabs>
        <w:ind w:left="227" w:hanging="227"/>
      </w:pPr>
      <w:rPr>
        <w:rFonts w:ascii="Verdana" w:hAnsi="Verdana" w:hint="default"/>
        <w:sz w:val="18"/>
        <w:szCs w:val="18"/>
      </w:rPr>
    </w:lvl>
    <w:lvl w:ilvl="1" w:tplc="750A9140" w:tentative="1">
      <w:start w:val="1"/>
      <w:numFmt w:val="bullet"/>
      <w:lvlText w:val="o"/>
      <w:lvlJc w:val="left"/>
      <w:pPr>
        <w:tabs>
          <w:tab w:val="num" w:pos="1440"/>
        </w:tabs>
        <w:ind w:left="1440" w:hanging="360"/>
      </w:pPr>
      <w:rPr>
        <w:rFonts w:ascii="Courier New" w:hAnsi="Courier New" w:cs="Courier New" w:hint="default"/>
      </w:rPr>
    </w:lvl>
    <w:lvl w:ilvl="2" w:tplc="D072220C" w:tentative="1">
      <w:start w:val="1"/>
      <w:numFmt w:val="bullet"/>
      <w:lvlText w:val=""/>
      <w:lvlJc w:val="left"/>
      <w:pPr>
        <w:tabs>
          <w:tab w:val="num" w:pos="2160"/>
        </w:tabs>
        <w:ind w:left="2160" w:hanging="360"/>
      </w:pPr>
      <w:rPr>
        <w:rFonts w:ascii="Wingdings" w:hAnsi="Wingdings" w:hint="default"/>
      </w:rPr>
    </w:lvl>
    <w:lvl w:ilvl="3" w:tplc="74126678" w:tentative="1">
      <w:start w:val="1"/>
      <w:numFmt w:val="bullet"/>
      <w:lvlText w:val=""/>
      <w:lvlJc w:val="left"/>
      <w:pPr>
        <w:tabs>
          <w:tab w:val="num" w:pos="2880"/>
        </w:tabs>
        <w:ind w:left="2880" w:hanging="360"/>
      </w:pPr>
      <w:rPr>
        <w:rFonts w:ascii="Symbol" w:hAnsi="Symbol" w:hint="default"/>
      </w:rPr>
    </w:lvl>
    <w:lvl w:ilvl="4" w:tplc="96B4102E" w:tentative="1">
      <w:start w:val="1"/>
      <w:numFmt w:val="bullet"/>
      <w:lvlText w:val="o"/>
      <w:lvlJc w:val="left"/>
      <w:pPr>
        <w:tabs>
          <w:tab w:val="num" w:pos="3600"/>
        </w:tabs>
        <w:ind w:left="3600" w:hanging="360"/>
      </w:pPr>
      <w:rPr>
        <w:rFonts w:ascii="Courier New" w:hAnsi="Courier New" w:cs="Courier New" w:hint="default"/>
      </w:rPr>
    </w:lvl>
    <w:lvl w:ilvl="5" w:tplc="FCAE3A0A" w:tentative="1">
      <w:start w:val="1"/>
      <w:numFmt w:val="bullet"/>
      <w:lvlText w:val=""/>
      <w:lvlJc w:val="left"/>
      <w:pPr>
        <w:tabs>
          <w:tab w:val="num" w:pos="4320"/>
        </w:tabs>
        <w:ind w:left="4320" w:hanging="360"/>
      </w:pPr>
      <w:rPr>
        <w:rFonts w:ascii="Wingdings" w:hAnsi="Wingdings" w:hint="default"/>
      </w:rPr>
    </w:lvl>
    <w:lvl w:ilvl="6" w:tplc="141E0D24" w:tentative="1">
      <w:start w:val="1"/>
      <w:numFmt w:val="bullet"/>
      <w:lvlText w:val=""/>
      <w:lvlJc w:val="left"/>
      <w:pPr>
        <w:tabs>
          <w:tab w:val="num" w:pos="5040"/>
        </w:tabs>
        <w:ind w:left="5040" w:hanging="360"/>
      </w:pPr>
      <w:rPr>
        <w:rFonts w:ascii="Symbol" w:hAnsi="Symbol" w:hint="default"/>
      </w:rPr>
    </w:lvl>
    <w:lvl w:ilvl="7" w:tplc="827A0B4E" w:tentative="1">
      <w:start w:val="1"/>
      <w:numFmt w:val="bullet"/>
      <w:lvlText w:val="o"/>
      <w:lvlJc w:val="left"/>
      <w:pPr>
        <w:tabs>
          <w:tab w:val="num" w:pos="5760"/>
        </w:tabs>
        <w:ind w:left="5760" w:hanging="360"/>
      </w:pPr>
      <w:rPr>
        <w:rFonts w:ascii="Courier New" w:hAnsi="Courier New" w:cs="Courier New" w:hint="default"/>
      </w:rPr>
    </w:lvl>
    <w:lvl w:ilvl="8" w:tplc="1EFAE8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2A4600E">
      <w:start w:val="1"/>
      <w:numFmt w:val="bullet"/>
      <w:pStyle w:val="Lijstopsomteken2"/>
      <w:lvlText w:val="–"/>
      <w:lvlJc w:val="left"/>
      <w:pPr>
        <w:tabs>
          <w:tab w:val="num" w:pos="227"/>
        </w:tabs>
        <w:ind w:left="227" w:firstLine="0"/>
      </w:pPr>
      <w:rPr>
        <w:rFonts w:ascii="Verdana" w:hAnsi="Verdana" w:hint="default"/>
      </w:rPr>
    </w:lvl>
    <w:lvl w:ilvl="1" w:tplc="8B526DC0" w:tentative="1">
      <w:start w:val="1"/>
      <w:numFmt w:val="bullet"/>
      <w:lvlText w:val="o"/>
      <w:lvlJc w:val="left"/>
      <w:pPr>
        <w:tabs>
          <w:tab w:val="num" w:pos="1440"/>
        </w:tabs>
        <w:ind w:left="1440" w:hanging="360"/>
      </w:pPr>
      <w:rPr>
        <w:rFonts w:ascii="Courier New" w:hAnsi="Courier New" w:cs="Courier New" w:hint="default"/>
      </w:rPr>
    </w:lvl>
    <w:lvl w:ilvl="2" w:tplc="CB064658" w:tentative="1">
      <w:start w:val="1"/>
      <w:numFmt w:val="bullet"/>
      <w:lvlText w:val=""/>
      <w:lvlJc w:val="left"/>
      <w:pPr>
        <w:tabs>
          <w:tab w:val="num" w:pos="2160"/>
        </w:tabs>
        <w:ind w:left="2160" w:hanging="360"/>
      </w:pPr>
      <w:rPr>
        <w:rFonts w:ascii="Wingdings" w:hAnsi="Wingdings" w:hint="default"/>
      </w:rPr>
    </w:lvl>
    <w:lvl w:ilvl="3" w:tplc="2C840A0A" w:tentative="1">
      <w:start w:val="1"/>
      <w:numFmt w:val="bullet"/>
      <w:lvlText w:val=""/>
      <w:lvlJc w:val="left"/>
      <w:pPr>
        <w:tabs>
          <w:tab w:val="num" w:pos="2880"/>
        </w:tabs>
        <w:ind w:left="2880" w:hanging="360"/>
      </w:pPr>
      <w:rPr>
        <w:rFonts w:ascii="Symbol" w:hAnsi="Symbol" w:hint="default"/>
      </w:rPr>
    </w:lvl>
    <w:lvl w:ilvl="4" w:tplc="A53C66B8" w:tentative="1">
      <w:start w:val="1"/>
      <w:numFmt w:val="bullet"/>
      <w:lvlText w:val="o"/>
      <w:lvlJc w:val="left"/>
      <w:pPr>
        <w:tabs>
          <w:tab w:val="num" w:pos="3600"/>
        </w:tabs>
        <w:ind w:left="3600" w:hanging="360"/>
      </w:pPr>
      <w:rPr>
        <w:rFonts w:ascii="Courier New" w:hAnsi="Courier New" w:cs="Courier New" w:hint="default"/>
      </w:rPr>
    </w:lvl>
    <w:lvl w:ilvl="5" w:tplc="11240E9E" w:tentative="1">
      <w:start w:val="1"/>
      <w:numFmt w:val="bullet"/>
      <w:lvlText w:val=""/>
      <w:lvlJc w:val="left"/>
      <w:pPr>
        <w:tabs>
          <w:tab w:val="num" w:pos="4320"/>
        </w:tabs>
        <w:ind w:left="4320" w:hanging="360"/>
      </w:pPr>
      <w:rPr>
        <w:rFonts w:ascii="Wingdings" w:hAnsi="Wingdings" w:hint="default"/>
      </w:rPr>
    </w:lvl>
    <w:lvl w:ilvl="6" w:tplc="13864AFE" w:tentative="1">
      <w:start w:val="1"/>
      <w:numFmt w:val="bullet"/>
      <w:lvlText w:val=""/>
      <w:lvlJc w:val="left"/>
      <w:pPr>
        <w:tabs>
          <w:tab w:val="num" w:pos="5040"/>
        </w:tabs>
        <w:ind w:left="5040" w:hanging="360"/>
      </w:pPr>
      <w:rPr>
        <w:rFonts w:ascii="Symbol" w:hAnsi="Symbol" w:hint="default"/>
      </w:rPr>
    </w:lvl>
    <w:lvl w:ilvl="7" w:tplc="62502534" w:tentative="1">
      <w:start w:val="1"/>
      <w:numFmt w:val="bullet"/>
      <w:lvlText w:val="o"/>
      <w:lvlJc w:val="left"/>
      <w:pPr>
        <w:tabs>
          <w:tab w:val="num" w:pos="5760"/>
        </w:tabs>
        <w:ind w:left="5760" w:hanging="360"/>
      </w:pPr>
      <w:rPr>
        <w:rFonts w:ascii="Courier New" w:hAnsi="Courier New" w:cs="Courier New" w:hint="default"/>
      </w:rPr>
    </w:lvl>
    <w:lvl w:ilvl="8" w:tplc="90C2E9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38045010">
    <w:abstractNumId w:val="10"/>
  </w:num>
  <w:num w:numId="2" w16cid:durableId="891576503">
    <w:abstractNumId w:val="7"/>
  </w:num>
  <w:num w:numId="3" w16cid:durableId="1024406984">
    <w:abstractNumId w:val="6"/>
  </w:num>
  <w:num w:numId="4" w16cid:durableId="1770587879">
    <w:abstractNumId w:val="5"/>
  </w:num>
  <w:num w:numId="5" w16cid:durableId="1582328847">
    <w:abstractNumId w:val="4"/>
  </w:num>
  <w:num w:numId="6" w16cid:durableId="1264996829">
    <w:abstractNumId w:val="8"/>
  </w:num>
  <w:num w:numId="7" w16cid:durableId="281234286">
    <w:abstractNumId w:val="3"/>
  </w:num>
  <w:num w:numId="8" w16cid:durableId="965624515">
    <w:abstractNumId w:val="2"/>
  </w:num>
  <w:num w:numId="9" w16cid:durableId="591665158">
    <w:abstractNumId w:val="1"/>
  </w:num>
  <w:num w:numId="10" w16cid:durableId="1860509845">
    <w:abstractNumId w:val="0"/>
  </w:num>
  <w:num w:numId="11" w16cid:durableId="2146578966">
    <w:abstractNumId w:val="9"/>
  </w:num>
  <w:num w:numId="12" w16cid:durableId="522666400">
    <w:abstractNumId w:val="11"/>
  </w:num>
  <w:num w:numId="13" w16cid:durableId="948857392">
    <w:abstractNumId w:val="13"/>
  </w:num>
  <w:num w:numId="14" w16cid:durableId="15146112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C2F"/>
    <w:rsid w:val="00033CDD"/>
    <w:rsid w:val="00034A84"/>
    <w:rsid w:val="00035E67"/>
    <w:rsid w:val="000366F3"/>
    <w:rsid w:val="00042A5B"/>
    <w:rsid w:val="00056704"/>
    <w:rsid w:val="0006024D"/>
    <w:rsid w:val="00071F28"/>
    <w:rsid w:val="00074079"/>
    <w:rsid w:val="00077F31"/>
    <w:rsid w:val="00092799"/>
    <w:rsid w:val="00092C5F"/>
    <w:rsid w:val="00096680"/>
    <w:rsid w:val="000A0F36"/>
    <w:rsid w:val="000A174A"/>
    <w:rsid w:val="000A3E0A"/>
    <w:rsid w:val="000A65AC"/>
    <w:rsid w:val="000A7159"/>
    <w:rsid w:val="000B3074"/>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3434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87A02"/>
    <w:rsid w:val="00196B8B"/>
    <w:rsid w:val="001A2BEA"/>
    <w:rsid w:val="001A368F"/>
    <w:rsid w:val="001A6D93"/>
    <w:rsid w:val="001C32EC"/>
    <w:rsid w:val="001C38BD"/>
    <w:rsid w:val="001C4D5A"/>
    <w:rsid w:val="001E34C6"/>
    <w:rsid w:val="001E5581"/>
    <w:rsid w:val="001F3C70"/>
    <w:rsid w:val="001F784D"/>
    <w:rsid w:val="00200D88"/>
    <w:rsid w:val="002012D4"/>
    <w:rsid w:val="00201F68"/>
    <w:rsid w:val="00212F2A"/>
    <w:rsid w:val="00214F2B"/>
    <w:rsid w:val="00217880"/>
    <w:rsid w:val="00222D66"/>
    <w:rsid w:val="00224A8A"/>
    <w:rsid w:val="00225675"/>
    <w:rsid w:val="002309A8"/>
    <w:rsid w:val="002317D4"/>
    <w:rsid w:val="00236CFE"/>
    <w:rsid w:val="002428E3"/>
    <w:rsid w:val="00243031"/>
    <w:rsid w:val="0025042A"/>
    <w:rsid w:val="00260BAF"/>
    <w:rsid w:val="00263155"/>
    <w:rsid w:val="002650F7"/>
    <w:rsid w:val="00273F3B"/>
    <w:rsid w:val="00274DB7"/>
    <w:rsid w:val="00275984"/>
    <w:rsid w:val="00280F74"/>
    <w:rsid w:val="00281BFA"/>
    <w:rsid w:val="002822CA"/>
    <w:rsid w:val="00286998"/>
    <w:rsid w:val="0029019C"/>
    <w:rsid w:val="00291AB7"/>
    <w:rsid w:val="00292EB2"/>
    <w:rsid w:val="0029422B"/>
    <w:rsid w:val="002A0938"/>
    <w:rsid w:val="002A4811"/>
    <w:rsid w:val="002A4CF3"/>
    <w:rsid w:val="002B153C"/>
    <w:rsid w:val="002B52FC"/>
    <w:rsid w:val="002C2830"/>
    <w:rsid w:val="002C524F"/>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406DA"/>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53E"/>
    <w:rsid w:val="00393696"/>
    <w:rsid w:val="00393963"/>
    <w:rsid w:val="00395575"/>
    <w:rsid w:val="00395672"/>
    <w:rsid w:val="003A06C8"/>
    <w:rsid w:val="003A0D7C"/>
    <w:rsid w:val="003A5290"/>
    <w:rsid w:val="003B0155"/>
    <w:rsid w:val="003B1F1E"/>
    <w:rsid w:val="003B60AA"/>
    <w:rsid w:val="003B7EE7"/>
    <w:rsid w:val="003C2CCB"/>
    <w:rsid w:val="003D39EC"/>
    <w:rsid w:val="003D5DED"/>
    <w:rsid w:val="003E20DC"/>
    <w:rsid w:val="003E3DD5"/>
    <w:rsid w:val="003F07C6"/>
    <w:rsid w:val="003F1F6B"/>
    <w:rsid w:val="003F3757"/>
    <w:rsid w:val="003F38BD"/>
    <w:rsid w:val="003F44B7"/>
    <w:rsid w:val="004008E9"/>
    <w:rsid w:val="00405C2A"/>
    <w:rsid w:val="00410731"/>
    <w:rsid w:val="0041266F"/>
    <w:rsid w:val="00413D48"/>
    <w:rsid w:val="00423A19"/>
    <w:rsid w:val="00441AC2"/>
    <w:rsid w:val="0044249B"/>
    <w:rsid w:val="0045023C"/>
    <w:rsid w:val="00451A5B"/>
    <w:rsid w:val="00452BCD"/>
    <w:rsid w:val="00452CEA"/>
    <w:rsid w:val="00465B52"/>
    <w:rsid w:val="0046708E"/>
    <w:rsid w:val="00467130"/>
    <w:rsid w:val="00472A65"/>
    <w:rsid w:val="00474463"/>
    <w:rsid w:val="00474B75"/>
    <w:rsid w:val="00474F3C"/>
    <w:rsid w:val="00483F0B"/>
    <w:rsid w:val="00496319"/>
    <w:rsid w:val="00497279"/>
    <w:rsid w:val="004A163B"/>
    <w:rsid w:val="004A2B4E"/>
    <w:rsid w:val="004A670A"/>
    <w:rsid w:val="004B2F0C"/>
    <w:rsid w:val="004B5465"/>
    <w:rsid w:val="004B6517"/>
    <w:rsid w:val="004B70F0"/>
    <w:rsid w:val="004C21A8"/>
    <w:rsid w:val="004C5B2E"/>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6F3"/>
    <w:rsid w:val="005B3814"/>
    <w:rsid w:val="005B463E"/>
    <w:rsid w:val="005C34E1"/>
    <w:rsid w:val="005C3FE0"/>
    <w:rsid w:val="005C740C"/>
    <w:rsid w:val="005D1B1F"/>
    <w:rsid w:val="005D625B"/>
    <w:rsid w:val="005E6FDA"/>
    <w:rsid w:val="005F0D54"/>
    <w:rsid w:val="005F62D3"/>
    <w:rsid w:val="005F6D11"/>
    <w:rsid w:val="00600CF0"/>
    <w:rsid w:val="00601C67"/>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320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44D0"/>
    <w:rsid w:val="00747885"/>
    <w:rsid w:val="00751A6A"/>
    <w:rsid w:val="00754FBF"/>
    <w:rsid w:val="007610AA"/>
    <w:rsid w:val="007709EF"/>
    <w:rsid w:val="00782701"/>
    <w:rsid w:val="00783559"/>
    <w:rsid w:val="0079551B"/>
    <w:rsid w:val="00797AA5"/>
    <w:rsid w:val="007A26BD"/>
    <w:rsid w:val="007A4105"/>
    <w:rsid w:val="007B4503"/>
    <w:rsid w:val="007C1D59"/>
    <w:rsid w:val="007C406E"/>
    <w:rsid w:val="007C5183"/>
    <w:rsid w:val="007C7573"/>
    <w:rsid w:val="007E2B20"/>
    <w:rsid w:val="007F3645"/>
    <w:rsid w:val="007F439C"/>
    <w:rsid w:val="007F5331"/>
    <w:rsid w:val="007F7037"/>
    <w:rsid w:val="007F7ED5"/>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4C6B"/>
    <w:rsid w:val="008553C7"/>
    <w:rsid w:val="00857FEB"/>
    <w:rsid w:val="008601AF"/>
    <w:rsid w:val="00860CB8"/>
    <w:rsid w:val="008646B8"/>
    <w:rsid w:val="00872271"/>
    <w:rsid w:val="00880A64"/>
    <w:rsid w:val="00883137"/>
    <w:rsid w:val="008862FB"/>
    <w:rsid w:val="00894A3B"/>
    <w:rsid w:val="008A0C75"/>
    <w:rsid w:val="008A1F5D"/>
    <w:rsid w:val="008A28F5"/>
    <w:rsid w:val="008B1198"/>
    <w:rsid w:val="008B3471"/>
    <w:rsid w:val="008B3929"/>
    <w:rsid w:val="008B4125"/>
    <w:rsid w:val="008B4280"/>
    <w:rsid w:val="008B4CB3"/>
    <w:rsid w:val="008B567B"/>
    <w:rsid w:val="008B735A"/>
    <w:rsid w:val="008B7B24"/>
    <w:rsid w:val="008C0747"/>
    <w:rsid w:val="008C356D"/>
    <w:rsid w:val="008C7118"/>
    <w:rsid w:val="008D43B5"/>
    <w:rsid w:val="008E0B3F"/>
    <w:rsid w:val="008E49AD"/>
    <w:rsid w:val="008E698E"/>
    <w:rsid w:val="008F2584"/>
    <w:rsid w:val="008F3246"/>
    <w:rsid w:val="008F3C1B"/>
    <w:rsid w:val="008F508C"/>
    <w:rsid w:val="00900E1A"/>
    <w:rsid w:val="00901BE9"/>
    <w:rsid w:val="0090271B"/>
    <w:rsid w:val="00910642"/>
    <w:rsid w:val="00910DDF"/>
    <w:rsid w:val="0092316D"/>
    <w:rsid w:val="00923CBD"/>
    <w:rsid w:val="00926AE2"/>
    <w:rsid w:val="00930B13"/>
    <w:rsid w:val="009311C8"/>
    <w:rsid w:val="00933376"/>
    <w:rsid w:val="00933A2F"/>
    <w:rsid w:val="00962C44"/>
    <w:rsid w:val="00965442"/>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4172"/>
    <w:rsid w:val="009C3F20"/>
    <w:rsid w:val="009C7CA1"/>
    <w:rsid w:val="009D043D"/>
    <w:rsid w:val="009D42C9"/>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C5A"/>
    <w:rsid w:val="00A41FE2"/>
    <w:rsid w:val="00A46FEF"/>
    <w:rsid w:val="00A47948"/>
    <w:rsid w:val="00A50CF6"/>
    <w:rsid w:val="00A5305C"/>
    <w:rsid w:val="00A56946"/>
    <w:rsid w:val="00A6170E"/>
    <w:rsid w:val="00A63B8C"/>
    <w:rsid w:val="00A715F8"/>
    <w:rsid w:val="00A77F6F"/>
    <w:rsid w:val="00A831FD"/>
    <w:rsid w:val="00A83352"/>
    <w:rsid w:val="00A850A2"/>
    <w:rsid w:val="00A8691D"/>
    <w:rsid w:val="00A91FA3"/>
    <w:rsid w:val="00A922C6"/>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0F05"/>
    <w:rsid w:val="00B531DD"/>
    <w:rsid w:val="00B55014"/>
    <w:rsid w:val="00B55136"/>
    <w:rsid w:val="00B62232"/>
    <w:rsid w:val="00B70BF3"/>
    <w:rsid w:val="00B71DC2"/>
    <w:rsid w:val="00B849F5"/>
    <w:rsid w:val="00B91CFC"/>
    <w:rsid w:val="00B93893"/>
    <w:rsid w:val="00BA1397"/>
    <w:rsid w:val="00BA51E1"/>
    <w:rsid w:val="00BA6AF9"/>
    <w:rsid w:val="00BA7BE8"/>
    <w:rsid w:val="00BA7E0A"/>
    <w:rsid w:val="00BC2C00"/>
    <w:rsid w:val="00BC3B53"/>
    <w:rsid w:val="00BC3B96"/>
    <w:rsid w:val="00BC4AE3"/>
    <w:rsid w:val="00BC554A"/>
    <w:rsid w:val="00BC5B28"/>
    <w:rsid w:val="00BD2370"/>
    <w:rsid w:val="00BE3F88"/>
    <w:rsid w:val="00BE4756"/>
    <w:rsid w:val="00BE5ED9"/>
    <w:rsid w:val="00BE7B41"/>
    <w:rsid w:val="00C04992"/>
    <w:rsid w:val="00C15A91"/>
    <w:rsid w:val="00C206F1"/>
    <w:rsid w:val="00C217E1"/>
    <w:rsid w:val="00C219B1"/>
    <w:rsid w:val="00C4015B"/>
    <w:rsid w:val="00C40C60"/>
    <w:rsid w:val="00C435ED"/>
    <w:rsid w:val="00C5258E"/>
    <w:rsid w:val="00C530C9"/>
    <w:rsid w:val="00C561C7"/>
    <w:rsid w:val="00C619A7"/>
    <w:rsid w:val="00C73D5F"/>
    <w:rsid w:val="00C82AFE"/>
    <w:rsid w:val="00C83DBC"/>
    <w:rsid w:val="00C84169"/>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30F5"/>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3F6C"/>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A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3B60AA"/>
    <w:rPr>
      <w:vertAlign w:val="superscript"/>
    </w:rPr>
  </w:style>
  <w:style w:type="character" w:styleId="Onopgelostemelding">
    <w:name w:val="Unresolved Mention"/>
    <w:basedOn w:val="Standaardalinea-lettertype"/>
    <w:uiPriority w:val="99"/>
    <w:semiHidden/>
    <w:unhideWhenUsed/>
    <w:rsid w:val="008A0C75"/>
    <w:rPr>
      <w:color w:val="605E5C"/>
      <w:shd w:val="clear" w:color="auto" w:fill="E1DFDD"/>
    </w:rPr>
  </w:style>
  <w:style w:type="paragraph" w:styleId="Revisie">
    <w:name w:val="Revision"/>
    <w:hidden/>
    <w:uiPriority w:val="99"/>
    <w:semiHidden/>
    <w:rsid w:val="007F7037"/>
    <w:rPr>
      <w:rFonts w:ascii="Verdana" w:hAnsi="Verdana"/>
      <w:sz w:val="18"/>
      <w:szCs w:val="24"/>
      <w:lang w:val="nl-NL" w:eastAsia="nl-NL"/>
    </w:rPr>
  </w:style>
  <w:style w:type="character" w:styleId="Verwijzingopmerking">
    <w:name w:val="annotation reference"/>
    <w:basedOn w:val="Standaardalinea-lettertype"/>
    <w:semiHidden/>
    <w:unhideWhenUsed/>
    <w:rsid w:val="007F7037"/>
    <w:rPr>
      <w:sz w:val="16"/>
      <w:szCs w:val="16"/>
    </w:rPr>
  </w:style>
  <w:style w:type="paragraph" w:styleId="Tekstopmerking">
    <w:name w:val="annotation text"/>
    <w:basedOn w:val="Standaard"/>
    <w:link w:val="TekstopmerkingChar"/>
    <w:unhideWhenUsed/>
    <w:rsid w:val="007F7037"/>
    <w:pPr>
      <w:spacing w:line="240" w:lineRule="auto"/>
    </w:pPr>
    <w:rPr>
      <w:sz w:val="20"/>
      <w:szCs w:val="20"/>
    </w:rPr>
  </w:style>
  <w:style w:type="character" w:customStyle="1" w:styleId="TekstopmerkingChar">
    <w:name w:val="Tekst opmerking Char"/>
    <w:basedOn w:val="Standaardalinea-lettertype"/>
    <w:link w:val="Tekstopmerking"/>
    <w:rsid w:val="007F703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F7037"/>
    <w:rPr>
      <w:b/>
      <w:bCs/>
    </w:rPr>
  </w:style>
  <w:style w:type="character" w:customStyle="1" w:styleId="OnderwerpvanopmerkingChar">
    <w:name w:val="Onderwerp van opmerking Char"/>
    <w:basedOn w:val="TekstopmerkingChar"/>
    <w:link w:val="Onderwerpvanopmerking"/>
    <w:semiHidden/>
    <w:rsid w:val="007F703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2970</ap:Words>
  <ap:Characters>16336</ap:Characters>
  <ap:DocSecurity>0</ap:DocSecurity>
  <ap:Lines>136</ap:Lines>
  <ap:Paragraphs>38</ap:Paragraphs>
  <ap:ScaleCrop>false</ap:ScaleCrop>
  <ap:LinksUpToDate>false</ap:LinksUpToDate>
  <ap:CharactersWithSpaces>19268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2026-05-26T15:08:00.0000000Z</dcterms:created>
  <dcterms:modified xsi:type="dcterms:W3CDTF">2026-05-26T15:09:00.0000000Z</dcterms:modified>
  <dc:description>------------------------</dc:description>
  <dc:subject/>
  <keywords/>
  <version/>
  <category/>
</coreProperties>
</file>