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A7F" w:rsidP="00800A7F" w:rsidRDefault="00800A7F" w14:paraId="0E24BBDC" w14:textId="77777777">
      <w:r w:rsidRPr="00663AFF">
        <w:t>Geachte Voorzitter</w:t>
      </w:r>
      <w:r>
        <w:t>,</w:t>
      </w:r>
    </w:p>
    <w:p w:rsidRPr="00663AFF" w:rsidR="00800A7F" w:rsidP="00800A7F" w:rsidRDefault="00800A7F" w14:paraId="32478D83" w14:textId="77777777"/>
    <w:p w:rsidR="00800A7F" w:rsidP="00800A7F" w:rsidRDefault="00800A7F" w14:paraId="7E0CA2F8" w14:textId="31ED0ECB">
      <w:r w:rsidRPr="00663AFF">
        <w:t xml:space="preserve">In de Comptabiliteitswet 2016 is bepaald dat subsidieregelingen een vervaltermijn van maximaal vijf jaar bevatten. De huidige vervaldatum van de subsidiemodule Indirecte emissiekosten ETS (IKC ETS) is 31 december </w:t>
      </w:r>
      <w:r w:rsidRPr="00705DA0">
        <w:t>2026. In het coalitieakkoord</w:t>
      </w:r>
      <w:r>
        <w:t xml:space="preserve"> </w:t>
      </w:r>
      <w:r w:rsidRPr="00705DA0">
        <w:t xml:space="preserve">van 2026 is budget voor de subsidiejaren </w:t>
      </w:r>
      <w:r w:rsidRPr="00663AFF">
        <w:t>2026 tot en met</w:t>
      </w:r>
      <w:r>
        <w:t xml:space="preserve"> </w:t>
      </w:r>
      <w:r w:rsidRPr="00663AFF">
        <w:t>2035</w:t>
      </w:r>
      <w:r>
        <w:t xml:space="preserve"> </w:t>
      </w:r>
      <w:r w:rsidRPr="00663AFF">
        <w:t>aangekondigd. Er staat op dit moment daarom een openstelling gepland voor</w:t>
      </w:r>
      <w:r>
        <w:t xml:space="preserve"> </w:t>
      </w:r>
      <w:r w:rsidRPr="00663AFF">
        <w:t>medio 2026. Daarom wordt voorgesteld de subsidiemodule voor een periode van vijf jaar te verlengen. Openstelling van de subsidiemodule in de jaren na 2030</w:t>
      </w:r>
      <w:r>
        <w:t xml:space="preserve"> </w:t>
      </w:r>
      <w:r w:rsidRPr="00663AFF">
        <w:t>is</w:t>
      </w:r>
      <w:r>
        <w:t xml:space="preserve"> </w:t>
      </w:r>
      <w:r w:rsidRPr="00663AFF">
        <w:t>afhankelijk van besluitvorming van de Europese Commissie over het al dan niet meerjarig verlengen van de IKC ETS. </w:t>
      </w:r>
    </w:p>
    <w:p w:rsidR="00800A7F" w:rsidP="00800A7F" w:rsidRDefault="00800A7F" w14:paraId="45D4EFC4" w14:textId="77777777"/>
    <w:p w:rsidR="00800A7F" w:rsidP="00800A7F" w:rsidRDefault="00800A7F" w14:paraId="14FF0CCB" w14:textId="652C6525">
      <w:r w:rsidRPr="00663AFF">
        <w:t>Deze voorlegging geschiedt in het kader van de voorhangprocedure, bedoeld in artikel 4.10, zevende lid, van de Comptabiliteitswet 2016. Dit artikel noemt een termijn van 30 dagen en biedt uw Kamer de gelegenheid zich uit te spreken over de</w:t>
      </w:r>
      <w:r>
        <w:t xml:space="preserve"> </w:t>
      </w:r>
      <w:r w:rsidRPr="00663AFF">
        <w:t>verlenging. </w:t>
      </w:r>
    </w:p>
    <w:p w:rsidRPr="00663AFF" w:rsidR="00800A7F" w:rsidP="00800A7F" w:rsidRDefault="00800A7F" w14:paraId="179A9261" w14:textId="77777777"/>
    <w:p w:rsidRPr="00663AFF" w:rsidR="00800A7F" w:rsidP="00800A7F" w:rsidRDefault="00800A7F" w14:paraId="1FEE436B" w14:textId="21463381">
      <w:r w:rsidRPr="00663AFF">
        <w:t>De subsidiemodule is reeds </w:t>
      </w:r>
      <w:r>
        <w:t xml:space="preserve">in </w:t>
      </w:r>
      <w:r w:rsidRPr="00663AFF">
        <w:t>2023 geëvalueerd, waarover uw Kamer per brief van maart 2023 is geïnformeerd</w:t>
      </w:r>
      <w:r>
        <w:t>.</w:t>
      </w:r>
      <w:r>
        <w:rPr>
          <w:rStyle w:val="Voetnootmarkering"/>
        </w:rPr>
        <w:footnoteReference w:id="1"/>
      </w:r>
      <w:r w:rsidRPr="00663AFF">
        <w:t> Deze beleidsevaluatie en het voortduren van het daarin beschreven risico op</w:t>
      </w:r>
      <w:r>
        <w:t xml:space="preserve"> weglekken van productie en CO</w:t>
      </w:r>
      <w:r w:rsidRPr="005261F5">
        <w:rPr>
          <w:vertAlign w:val="subscript"/>
        </w:rPr>
        <w:t>2</w:t>
      </w:r>
      <w:r>
        <w:t xml:space="preserve"> emissies naar </w:t>
      </w:r>
      <w:r w:rsidRPr="00A40219">
        <w:t>landen buiten Europa waar de CO</w:t>
      </w:r>
      <w:r w:rsidRPr="00A40219">
        <w:rPr>
          <w:vertAlign w:val="subscript"/>
        </w:rPr>
        <w:t>2</w:t>
      </w:r>
      <w:r w:rsidRPr="00A40219">
        <w:rPr>
          <w:rFonts w:cs="Arial"/>
        </w:rPr>
        <w:t xml:space="preserve"> -uitstoot </w:t>
      </w:r>
      <w:r w:rsidRPr="00A40219">
        <w:t xml:space="preserve">niet of niet in dezelfde mate is </w:t>
      </w:r>
      <w:proofErr w:type="spellStart"/>
      <w:r w:rsidRPr="00A40219">
        <w:t>beprijsd</w:t>
      </w:r>
      <w:proofErr w:type="spellEnd"/>
      <w:r>
        <w:t xml:space="preserve"> </w:t>
      </w:r>
      <w:r w:rsidRPr="0014172F">
        <w:t>(</w:t>
      </w:r>
      <w:r w:rsidRPr="005261F5">
        <w:t>carbon</w:t>
      </w:r>
      <w:r>
        <w:t xml:space="preserve"> </w:t>
      </w:r>
      <w:proofErr w:type="spellStart"/>
      <w:r w:rsidRPr="005261F5">
        <w:t>leakage</w:t>
      </w:r>
      <w:proofErr w:type="spellEnd"/>
      <w:r w:rsidRPr="005261F5">
        <w:t>)</w:t>
      </w:r>
      <w:r w:rsidRPr="0014172F">
        <w:t>,</w:t>
      </w:r>
      <w:r w:rsidRPr="00663AFF">
        <w:t xml:space="preserve"> vormt de basis voor de verlenging van de IKC ETS.</w:t>
      </w:r>
      <w:r>
        <w:t xml:space="preserve"> </w:t>
      </w:r>
      <w:r w:rsidRPr="00663AFF">
        <w:t>Daarnaast</w:t>
      </w:r>
      <w:r>
        <w:t xml:space="preserve"> </w:t>
      </w:r>
      <w:r w:rsidRPr="00663AFF">
        <w:t>is</w:t>
      </w:r>
      <w:r>
        <w:t xml:space="preserve"> </w:t>
      </w:r>
      <w:r w:rsidRPr="00663AFF">
        <w:t>uw</w:t>
      </w:r>
      <w:r>
        <w:t xml:space="preserve"> </w:t>
      </w:r>
      <w:r w:rsidRPr="00663AFF">
        <w:t>Kamer per brief van juli 2025 geïnformeerd over de onderbouwing van de</w:t>
      </w:r>
      <w:r>
        <w:t xml:space="preserve"> </w:t>
      </w:r>
      <w:r w:rsidRPr="00663AFF">
        <w:t>doeltreffendheid, doelmatigheid en evaluatie van de voortzetting indirecte kostencompensatie ETS, conform artikel 3.1 van de Comptabiliteitswet.</w:t>
      </w:r>
      <w:r>
        <w:rPr>
          <w:rStyle w:val="Voetnootmarkering"/>
        </w:rPr>
        <w:footnoteReference w:id="2"/>
      </w:r>
      <w:r w:rsidRPr="00663AFF">
        <w:t> </w:t>
      </w:r>
    </w:p>
    <w:p w:rsidR="00800A7F" w:rsidP="00800A7F" w:rsidRDefault="00800A7F" w14:paraId="129D31D9" w14:textId="77777777">
      <w:pPr>
        <w:rPr>
          <w:b/>
          <w:bCs/>
        </w:rPr>
      </w:pPr>
    </w:p>
    <w:p w:rsidRPr="00663AFF" w:rsidR="00800A7F" w:rsidP="00800A7F" w:rsidRDefault="00800A7F" w14:paraId="338DFA5F" w14:textId="77777777">
      <w:r w:rsidRPr="00663AFF">
        <w:rPr>
          <w:b/>
          <w:bCs/>
        </w:rPr>
        <w:t>Achtergrond subsidieregeling Indirecte Kostencompensatie ETS</w:t>
      </w:r>
      <w:r w:rsidRPr="00663AFF">
        <w:t> </w:t>
      </w:r>
    </w:p>
    <w:p w:rsidRPr="00663AFF" w:rsidR="00800A7F" w:rsidP="00800A7F" w:rsidRDefault="00800A7F" w14:paraId="68CACC40" w14:textId="59F7FF75">
      <w:r w:rsidRPr="00663AFF">
        <w:t>Europese elektriciteitsproducenten zijn onder het Europese</w:t>
      </w:r>
      <w:r>
        <w:t xml:space="preserve"> </w:t>
      </w:r>
      <w:r w:rsidRPr="00663AFF">
        <w:t>emissiehandelssysteem (EU ETS) verplicht om voor hun CO₂-uitstoot emissierechten</w:t>
      </w:r>
      <w:r>
        <w:t xml:space="preserve"> </w:t>
      </w:r>
      <w:r w:rsidRPr="00663AFF">
        <w:t xml:space="preserve">in te leveren. De kosten hiervan berekenen ze door in de elektriciteitsprijzen. Europese bedrijven krijgen hierdoor te maken met hogere elektriciteitskosten. Zij kunnen hierdoor een concurrentienadeel ondervinden, </w:t>
      </w:r>
      <w:r w:rsidRPr="00663AFF">
        <w:lastRenderedPageBreak/>
        <w:t xml:space="preserve">indien zij concurreren met ondernemingen uit landen buiten Europa die geen hogere </w:t>
      </w:r>
      <w:r w:rsidRPr="0014172F">
        <w:t>elektriciteitsprijzen kennen als gevolg van een emissiehandelssysteem. Dit brengt het risico op </w:t>
      </w:r>
      <w:r w:rsidRPr="005261F5">
        <w:t>carbon </w:t>
      </w:r>
      <w:proofErr w:type="spellStart"/>
      <w:r w:rsidRPr="005261F5">
        <w:t>leakage</w:t>
      </w:r>
      <w:proofErr w:type="spellEnd"/>
      <w:r w:rsidRPr="0014172F">
        <w:t> met zich</w:t>
      </w:r>
      <w:r>
        <w:t>.</w:t>
      </w:r>
      <w:r w:rsidRPr="0014172F">
        <w:t> Om deze </w:t>
      </w:r>
      <w:r w:rsidRPr="005261F5">
        <w:t>carbon </w:t>
      </w:r>
      <w:proofErr w:type="spellStart"/>
      <w:r w:rsidRPr="005261F5">
        <w:t>leakage</w:t>
      </w:r>
      <w:proofErr w:type="spellEnd"/>
      <w:r w:rsidRPr="0014172F">
        <w:t> te voorkomen, worden bedrijven uit enkele specifieke sectoren, waar het risico op </w:t>
      </w:r>
      <w:r w:rsidRPr="005261F5">
        <w:t>carbon </w:t>
      </w:r>
      <w:proofErr w:type="spellStart"/>
      <w:r w:rsidRPr="005261F5">
        <w:t>leakage</w:t>
      </w:r>
      <w:proofErr w:type="spellEnd"/>
      <w:r w:rsidRPr="0014172F">
        <w:t> speelt, gecompenseerd voor deze indirecte ETS-kosten: de indirecte kostencompensatie ETS. Daarnaast draagt de IKC ETS bij aan een gelijker</w:t>
      </w:r>
      <w:r>
        <w:t xml:space="preserve"> </w:t>
      </w:r>
      <w:r w:rsidRPr="0014172F">
        <w:t>speelveld met andere Europese landen die ook IKC ETS verstrekken.</w:t>
      </w:r>
      <w:r w:rsidRPr="00663AFF">
        <w:t>  </w:t>
      </w:r>
      <w:r w:rsidRPr="00663AFF">
        <w:br/>
        <w:t> </w:t>
      </w:r>
      <w:r w:rsidRPr="00663AFF">
        <w:br/>
      </w:r>
      <w:r w:rsidRPr="00663AFF">
        <w:rPr>
          <w:b/>
          <w:bCs/>
        </w:rPr>
        <w:t>Wijziging van staatssteunrichtsnoeren</w:t>
      </w:r>
      <w:r w:rsidRPr="00663AFF">
        <w:t> </w:t>
      </w:r>
    </w:p>
    <w:p w:rsidRPr="00663AFF" w:rsidR="00800A7F" w:rsidP="00800A7F" w:rsidRDefault="00800A7F" w14:paraId="470AA6DD" w14:textId="74B43F6B">
      <w:r w:rsidRPr="00663AFF">
        <w:t>Op 23 december 2025 presenteerde de Europese Commissie nieuwe richtsnoeren voor deze specifieke vorm van staatssteun (IKC-richtsnoeren).</w:t>
      </w:r>
      <w:r>
        <w:rPr>
          <w:rStyle w:val="Voetnootmarkering"/>
        </w:rPr>
        <w:footnoteReference w:id="3"/>
      </w:r>
      <w:r w:rsidRPr="00663AFF">
        <w:t> In deze</w:t>
      </w:r>
      <w:r>
        <w:t xml:space="preserve"> </w:t>
      </w:r>
      <w:r w:rsidRPr="00663AFF">
        <w:t>IKC-richtsnoeren staan de voorwaarden opgenomen waaronder de indirecte kostencompensatie ETS gegeven mag worden en is de lijst met sectoren die in aanmerking komen voor steun</w:t>
      </w:r>
      <w:r>
        <w:t xml:space="preserve"> vanwege het risico op carbon </w:t>
      </w:r>
      <w:proofErr w:type="spellStart"/>
      <w:r>
        <w:t>leakage</w:t>
      </w:r>
      <w:proofErr w:type="spellEnd"/>
      <w:r w:rsidRPr="00663AFF">
        <w:t> uitgebreid met</w:t>
      </w:r>
      <w:r>
        <w:t xml:space="preserve"> 22 </w:t>
      </w:r>
      <w:r w:rsidRPr="00663AFF">
        <w:t>nieuwe (sub)sectoren. Conform de IKC-richtsnoeren ben ik voornemens</w:t>
      </w:r>
      <w:r>
        <w:t xml:space="preserve"> </w:t>
      </w:r>
      <w:r w:rsidRPr="00663AFF">
        <w:t>deze</w:t>
      </w:r>
      <w:r>
        <w:t xml:space="preserve"> </w:t>
      </w:r>
      <w:r w:rsidRPr="00663AFF">
        <w:t xml:space="preserve">uitbreiding van sectoren over te nemen. Hiervoor is </w:t>
      </w:r>
      <w:r>
        <w:t xml:space="preserve">nog wel </w:t>
      </w:r>
      <w:r w:rsidRPr="00663AFF">
        <w:t>formele goedkeuring van de Europese Commissie nodig</w:t>
      </w:r>
      <w:r>
        <w:t xml:space="preserve">, het proces hiervoor loopt. </w:t>
      </w:r>
      <w:r w:rsidRPr="00144E0E">
        <w:t>Onder voorbehoud van d</w:t>
      </w:r>
      <w:r>
        <w:t>ie</w:t>
      </w:r>
      <w:r w:rsidRPr="00144E0E">
        <w:t xml:space="preserve"> goedkeuring is het kabinet voornemens de volgende subsidieronde dit jaar te openen, zoals eerder met uw Kamer is gedeeld.</w:t>
      </w:r>
    </w:p>
    <w:p w:rsidRPr="00663AFF" w:rsidR="00800A7F" w:rsidP="00800A7F" w:rsidRDefault="00800A7F" w14:paraId="7EB05089" w14:textId="77777777">
      <w:r w:rsidRPr="00663AFF">
        <w:t> </w:t>
      </w:r>
    </w:p>
    <w:p w:rsidR="00800A7F" w:rsidP="00800A7F" w:rsidRDefault="00800A7F" w14:paraId="4D0E9952" w14:textId="77777777">
      <w:r w:rsidRPr="00663AFF">
        <w:t>Mede namens de Staatssecretaris van Klimaat en Groene Groei,</w:t>
      </w:r>
    </w:p>
    <w:p w:rsidR="00800A7F" w:rsidP="00800A7F" w:rsidRDefault="00800A7F" w14:paraId="441CBAE0" w14:textId="77777777"/>
    <w:p w:rsidR="00800A7F" w:rsidP="00800A7F" w:rsidRDefault="00800A7F" w14:paraId="1D3A0648" w14:textId="77777777">
      <w:pPr>
        <w:pStyle w:val="Normaalweb"/>
        <w:spacing w:before="0" w:beforeAutospacing="0" w:after="0" w:afterAutospacing="0" w:line="240" w:lineRule="atLeast"/>
        <w:rPr>
          <w:rFonts w:ascii="Verdana" w:hAnsi="Verdana"/>
          <w:sz w:val="18"/>
          <w:szCs w:val="18"/>
        </w:rPr>
      </w:pPr>
    </w:p>
    <w:p w:rsidR="00800A7F" w:rsidP="00800A7F" w:rsidRDefault="00800A7F" w14:paraId="369F04D4" w14:textId="77777777">
      <w:pPr>
        <w:pStyle w:val="Normaalweb"/>
        <w:spacing w:before="0" w:beforeAutospacing="0" w:after="0" w:afterAutospacing="0" w:line="240" w:lineRule="atLeast"/>
        <w:rPr>
          <w:rFonts w:ascii="Verdana" w:hAnsi="Verdana"/>
          <w:sz w:val="18"/>
          <w:szCs w:val="18"/>
        </w:rPr>
      </w:pPr>
    </w:p>
    <w:p w:rsidR="00800A7F" w:rsidP="00800A7F" w:rsidRDefault="00800A7F" w14:paraId="0D890E36" w14:textId="77777777">
      <w:pPr>
        <w:pStyle w:val="Normaalweb"/>
        <w:spacing w:before="0" w:beforeAutospacing="0" w:after="0" w:afterAutospacing="0" w:line="240" w:lineRule="atLeast"/>
        <w:rPr>
          <w:rFonts w:ascii="Verdana" w:hAnsi="Verdana"/>
          <w:sz w:val="18"/>
          <w:szCs w:val="18"/>
        </w:rPr>
      </w:pPr>
    </w:p>
    <w:p w:rsidR="00800A7F" w:rsidP="00800A7F" w:rsidRDefault="00800A7F" w14:paraId="5DF2F53F" w14:textId="77777777">
      <w:pPr>
        <w:pStyle w:val="Normaalweb"/>
        <w:spacing w:before="0" w:beforeAutospacing="0" w:after="0" w:afterAutospacing="0" w:line="240" w:lineRule="atLeast"/>
        <w:rPr>
          <w:rFonts w:ascii="Verdana" w:hAnsi="Verdana"/>
          <w:sz w:val="18"/>
          <w:szCs w:val="18"/>
        </w:rPr>
      </w:pPr>
      <w:proofErr w:type="spellStart"/>
      <w:r>
        <w:rPr>
          <w:rFonts w:ascii="Verdana" w:hAnsi="Verdana"/>
          <w:sz w:val="18"/>
          <w:szCs w:val="18"/>
        </w:rPr>
        <w:t>Stientje</w:t>
      </w:r>
      <w:proofErr w:type="spellEnd"/>
      <w:r>
        <w:rPr>
          <w:rFonts w:ascii="Verdana" w:hAnsi="Verdana"/>
          <w:sz w:val="18"/>
          <w:szCs w:val="18"/>
        </w:rPr>
        <w:t xml:space="preserve"> van Veldhoven-van der Meer</w:t>
      </w:r>
    </w:p>
    <w:p w:rsidRPr="0026042A" w:rsidR="00BD2D73" w:rsidP="00800A7F" w:rsidRDefault="00800A7F" w14:paraId="26443707" w14:textId="22952A5F">
      <w:pPr>
        <w:pStyle w:val="Normaalweb"/>
        <w:spacing w:before="0" w:beforeAutospacing="0" w:after="0" w:afterAutospacing="0" w:line="240" w:lineRule="atLeast"/>
      </w:pPr>
      <w:r>
        <w:t>Minister van Klimaat en Groene Groei</w:t>
      </w:r>
    </w:p>
    <w:sectPr w:rsidRPr="0026042A"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DB63" w14:textId="77777777" w:rsidR="00D57BC2" w:rsidRDefault="00D57BC2">
      <w:r>
        <w:separator/>
      </w:r>
    </w:p>
    <w:p w14:paraId="0598355E" w14:textId="77777777" w:rsidR="00D57BC2" w:rsidRDefault="00D57BC2"/>
  </w:endnote>
  <w:endnote w:type="continuationSeparator" w:id="0">
    <w:p w14:paraId="3BC5D465" w14:textId="77777777" w:rsidR="00D57BC2" w:rsidRDefault="00D57BC2">
      <w:r>
        <w:continuationSeparator/>
      </w:r>
    </w:p>
    <w:p w14:paraId="2F71EC14" w14:textId="77777777" w:rsidR="00D57BC2" w:rsidRDefault="00D57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1A4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14BCA" w14:paraId="7AF70844" w14:textId="77777777" w:rsidTr="00CA6A25">
      <w:trPr>
        <w:trHeight w:hRule="exact" w:val="240"/>
      </w:trPr>
      <w:tc>
        <w:tcPr>
          <w:tcW w:w="7601" w:type="dxa"/>
        </w:tcPr>
        <w:p w14:paraId="14EB2F5B" w14:textId="77777777" w:rsidR="00527BD4" w:rsidRDefault="00527BD4" w:rsidP="003F1F6B">
          <w:pPr>
            <w:pStyle w:val="Huisstijl-Rubricering"/>
          </w:pPr>
        </w:p>
      </w:tc>
      <w:tc>
        <w:tcPr>
          <w:tcW w:w="2156" w:type="dxa"/>
        </w:tcPr>
        <w:p w14:paraId="1D8463D8" w14:textId="1C8019BC" w:rsidR="00527BD4" w:rsidRPr="00645414" w:rsidRDefault="005261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63641">
            <w:t>2</w:t>
          </w:r>
          <w:r w:rsidR="004425CC">
            <w:fldChar w:fldCharType="end"/>
          </w:r>
        </w:p>
      </w:tc>
    </w:tr>
  </w:tbl>
  <w:p w14:paraId="72051EB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14BCA" w14:paraId="6A74C21A" w14:textId="77777777" w:rsidTr="00CA6A25">
      <w:trPr>
        <w:trHeight w:hRule="exact" w:val="240"/>
      </w:trPr>
      <w:tc>
        <w:tcPr>
          <w:tcW w:w="7601" w:type="dxa"/>
        </w:tcPr>
        <w:p w14:paraId="584A5357" w14:textId="77777777" w:rsidR="00527BD4" w:rsidRDefault="00527BD4" w:rsidP="008C356D">
          <w:pPr>
            <w:pStyle w:val="Huisstijl-Rubricering"/>
          </w:pPr>
        </w:p>
      </w:tc>
      <w:tc>
        <w:tcPr>
          <w:tcW w:w="2170" w:type="dxa"/>
        </w:tcPr>
        <w:p w14:paraId="366C0E7E" w14:textId="2E23AA7F" w:rsidR="00527BD4" w:rsidRPr="00ED539E" w:rsidRDefault="005261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063641">
            <w:t>2</w:t>
          </w:r>
          <w:r w:rsidR="00A13FBD">
            <w:fldChar w:fldCharType="end"/>
          </w:r>
        </w:p>
      </w:tc>
    </w:tr>
  </w:tbl>
  <w:p w14:paraId="1C47407B" w14:textId="77777777" w:rsidR="00527BD4" w:rsidRPr="00BC3B53" w:rsidRDefault="00527BD4" w:rsidP="008C356D">
    <w:pPr>
      <w:pStyle w:val="Voettekst"/>
      <w:spacing w:line="240" w:lineRule="auto"/>
      <w:rPr>
        <w:sz w:val="2"/>
        <w:szCs w:val="2"/>
      </w:rPr>
    </w:pPr>
  </w:p>
  <w:p w14:paraId="74816AC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985C" w14:textId="77777777" w:rsidR="00D57BC2" w:rsidRDefault="00D57BC2">
      <w:r>
        <w:separator/>
      </w:r>
    </w:p>
    <w:p w14:paraId="00E1BE31" w14:textId="77777777" w:rsidR="00D57BC2" w:rsidRDefault="00D57BC2"/>
  </w:footnote>
  <w:footnote w:type="continuationSeparator" w:id="0">
    <w:p w14:paraId="094EADE8" w14:textId="77777777" w:rsidR="00D57BC2" w:rsidRDefault="00D57BC2">
      <w:r>
        <w:continuationSeparator/>
      </w:r>
    </w:p>
    <w:p w14:paraId="2A7258DA" w14:textId="77777777" w:rsidR="00D57BC2" w:rsidRDefault="00D57BC2"/>
  </w:footnote>
  <w:footnote w:id="1">
    <w:p w14:paraId="7231098C" w14:textId="77777777" w:rsidR="00800A7F" w:rsidRDefault="00800A7F" w:rsidP="00800A7F">
      <w:pPr>
        <w:pStyle w:val="Voetnoottekst"/>
      </w:pPr>
      <w:r>
        <w:rPr>
          <w:rStyle w:val="Voetnootmarkering"/>
        </w:rPr>
        <w:footnoteRef/>
      </w:r>
      <w:r>
        <w:t xml:space="preserve"> </w:t>
      </w:r>
      <w:hyperlink r:id="rId1" w:tgtFrame="_blank" w:history="1">
        <w:r w:rsidRPr="00663AFF">
          <w:rPr>
            <w:rStyle w:val="Hyperlink"/>
          </w:rPr>
          <w:t>Beleidsevaluatie subsidieregeling indirecte emissiekosten EU ETS</w:t>
        </w:r>
      </w:hyperlink>
      <w:r w:rsidRPr="00663AFF">
        <w:t> </w:t>
      </w:r>
    </w:p>
  </w:footnote>
  <w:footnote w:id="2">
    <w:p w14:paraId="5E48460E" w14:textId="77777777" w:rsidR="00800A7F" w:rsidRDefault="00800A7F" w:rsidP="00800A7F">
      <w:pPr>
        <w:pStyle w:val="Voetnoottekst"/>
      </w:pPr>
      <w:r>
        <w:rPr>
          <w:rStyle w:val="Voetnootmarkering"/>
        </w:rPr>
        <w:footnoteRef/>
      </w:r>
      <w:r>
        <w:t xml:space="preserve"> </w:t>
      </w:r>
      <w:r w:rsidRPr="00B26298">
        <w:t>Kamerstukken II 2024/25, 33043, nr. 11</w:t>
      </w:r>
      <w:r>
        <w:t>7</w:t>
      </w:r>
    </w:p>
  </w:footnote>
  <w:footnote w:id="3">
    <w:p w14:paraId="15B46D37" w14:textId="77777777" w:rsidR="00800A7F" w:rsidRDefault="00800A7F" w:rsidP="00800A7F">
      <w:pPr>
        <w:pStyle w:val="Voetnoottekst"/>
      </w:pPr>
      <w:r>
        <w:rPr>
          <w:rStyle w:val="Voetnootmarkering"/>
        </w:rPr>
        <w:footnoteRef/>
      </w:r>
      <w:r>
        <w:t xml:space="preserve"> </w:t>
      </w:r>
      <w:r w:rsidRPr="00663AFF">
        <w:t>Mededeling van de Commissie van 5 januari 2026 tot wijziging van de richtsnoeren betreffende bepaalde staatssteunmaatregelen in het kader van het systeem voor de handel in broeikasgasemissierechten na 2021 (</w:t>
      </w:r>
      <w:proofErr w:type="spellStart"/>
      <w:r w:rsidRPr="00663AFF">
        <w:t>PbEU</w:t>
      </w:r>
      <w:proofErr w:type="spellEnd"/>
      <w:r w:rsidRPr="00663AFF">
        <w:t> C 2026/196).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14BCA" w14:paraId="54F75215" w14:textId="77777777" w:rsidTr="00A50CF6">
      <w:tc>
        <w:tcPr>
          <w:tcW w:w="2156" w:type="dxa"/>
        </w:tcPr>
        <w:p w14:paraId="2C410205" w14:textId="77777777" w:rsidR="00527BD4" w:rsidRPr="005819CE" w:rsidRDefault="005261F5" w:rsidP="00A50CF6">
          <w:pPr>
            <w:pStyle w:val="Huisstijl-Adres"/>
            <w:rPr>
              <w:b/>
            </w:rPr>
          </w:pPr>
          <w:r>
            <w:rPr>
              <w:b/>
            </w:rPr>
            <w:t>Directoraat-generaal Realisatie Groene Groei</w:t>
          </w:r>
          <w:r w:rsidRPr="005819CE">
            <w:rPr>
              <w:b/>
            </w:rPr>
            <w:br/>
          </w:r>
          <w:r>
            <w:t>Directie Verduurzaming Industrie</w:t>
          </w:r>
        </w:p>
      </w:tc>
    </w:tr>
    <w:tr w:rsidR="00B14BCA" w14:paraId="4B599413" w14:textId="77777777" w:rsidTr="00A50CF6">
      <w:trPr>
        <w:trHeight w:hRule="exact" w:val="200"/>
      </w:trPr>
      <w:tc>
        <w:tcPr>
          <w:tcW w:w="2156" w:type="dxa"/>
        </w:tcPr>
        <w:p w14:paraId="2F14C86C" w14:textId="77777777" w:rsidR="00527BD4" w:rsidRPr="005819CE" w:rsidRDefault="00527BD4" w:rsidP="00A50CF6"/>
      </w:tc>
    </w:tr>
    <w:tr w:rsidR="00B14BCA" w14:paraId="3B904A80" w14:textId="77777777" w:rsidTr="00502512">
      <w:trPr>
        <w:trHeight w:hRule="exact" w:val="774"/>
      </w:trPr>
      <w:tc>
        <w:tcPr>
          <w:tcW w:w="2156" w:type="dxa"/>
        </w:tcPr>
        <w:p w14:paraId="469289A0" w14:textId="77777777" w:rsidR="00527BD4" w:rsidRDefault="005261F5" w:rsidP="003A5290">
          <w:pPr>
            <w:pStyle w:val="Huisstijl-Kopje"/>
          </w:pPr>
          <w:r>
            <w:t>Ons kenmerk</w:t>
          </w:r>
        </w:p>
        <w:p w14:paraId="7EB6881A" w14:textId="77777777" w:rsidR="00527BD4" w:rsidRPr="005819CE" w:rsidRDefault="005261F5" w:rsidP="004425CC">
          <w:pPr>
            <w:pStyle w:val="Huisstijl-Kopje"/>
          </w:pPr>
          <w:r>
            <w:rPr>
              <w:b w:val="0"/>
            </w:rPr>
            <w:t>KGG_DGRGG_VI</w:t>
          </w:r>
          <w:r w:rsidRPr="00502512">
            <w:rPr>
              <w:b w:val="0"/>
            </w:rPr>
            <w:t xml:space="preserve"> / </w:t>
          </w:r>
          <w:r>
            <w:rPr>
              <w:b w:val="0"/>
            </w:rPr>
            <w:t>106076886</w:t>
          </w:r>
        </w:p>
      </w:tc>
    </w:tr>
  </w:tbl>
  <w:p w14:paraId="2986F07C" w14:textId="77777777" w:rsidR="00527BD4" w:rsidRDefault="00527BD4" w:rsidP="008C356D">
    <w:pPr>
      <w:pStyle w:val="Koptekst"/>
      <w:rPr>
        <w:rFonts w:cs="Verdana-Bold"/>
        <w:b/>
        <w:bCs/>
        <w:smallCaps/>
        <w:szCs w:val="18"/>
      </w:rPr>
    </w:pPr>
  </w:p>
  <w:p w14:paraId="38C492AC" w14:textId="77777777" w:rsidR="00527BD4" w:rsidRDefault="00527BD4" w:rsidP="008C356D"/>
  <w:p w14:paraId="683BB137" w14:textId="77777777" w:rsidR="00527BD4" w:rsidRPr="00740712" w:rsidRDefault="00527BD4" w:rsidP="008C356D"/>
  <w:p w14:paraId="550A77ED" w14:textId="77777777" w:rsidR="00527BD4" w:rsidRPr="00217880" w:rsidRDefault="00527BD4" w:rsidP="008C356D">
    <w:pPr>
      <w:spacing w:line="0" w:lineRule="atLeast"/>
      <w:rPr>
        <w:sz w:val="2"/>
        <w:szCs w:val="2"/>
      </w:rPr>
    </w:pPr>
  </w:p>
  <w:p w14:paraId="0DA79CFC" w14:textId="77777777" w:rsidR="00527BD4" w:rsidRDefault="00527BD4" w:rsidP="004F44C2">
    <w:pPr>
      <w:pStyle w:val="Koptekst"/>
      <w:rPr>
        <w:rFonts w:cs="Verdana-Bold"/>
        <w:b/>
        <w:bCs/>
        <w:smallCaps/>
        <w:szCs w:val="18"/>
      </w:rPr>
    </w:pPr>
  </w:p>
  <w:p w14:paraId="723E39DF" w14:textId="77777777" w:rsidR="00527BD4" w:rsidRDefault="00527BD4" w:rsidP="004F44C2"/>
  <w:p w14:paraId="583F2768" w14:textId="77777777" w:rsidR="00527BD4" w:rsidRPr="00740712" w:rsidRDefault="00527BD4" w:rsidP="004F44C2"/>
  <w:p w14:paraId="09D7A35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14BCA" w14:paraId="1923EE10" w14:textId="77777777" w:rsidTr="00751A6A">
      <w:trPr>
        <w:trHeight w:val="2636"/>
      </w:trPr>
      <w:tc>
        <w:tcPr>
          <w:tcW w:w="737" w:type="dxa"/>
        </w:tcPr>
        <w:p w14:paraId="55C78672" w14:textId="77777777" w:rsidR="00527BD4" w:rsidRDefault="00527BD4" w:rsidP="00D0609E">
          <w:pPr>
            <w:framePr w:w="6340" w:h="2750" w:hRule="exact" w:hSpace="180" w:wrap="around" w:vAnchor="page" w:hAnchor="text" w:x="3873" w:y="-140"/>
            <w:spacing w:line="240" w:lineRule="auto"/>
          </w:pPr>
        </w:p>
      </w:tc>
      <w:tc>
        <w:tcPr>
          <w:tcW w:w="5156" w:type="dxa"/>
        </w:tcPr>
        <w:p w14:paraId="627DB1B5" w14:textId="77777777" w:rsidR="00527BD4" w:rsidRDefault="005261F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07A1598" wp14:editId="669B1A7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B1754FC" w14:textId="77777777" w:rsidR="007269E3" w:rsidRDefault="007269E3" w:rsidP="00651CEE">
          <w:pPr>
            <w:framePr w:w="6340" w:h="2750" w:hRule="exact" w:hSpace="180" w:wrap="around" w:vAnchor="page" w:hAnchor="text" w:x="3873" w:y="-140"/>
            <w:spacing w:line="240" w:lineRule="auto"/>
          </w:pPr>
        </w:p>
      </w:tc>
    </w:tr>
  </w:tbl>
  <w:p w14:paraId="12709D3A" w14:textId="77777777" w:rsidR="00527BD4" w:rsidRDefault="00527BD4" w:rsidP="00D0609E">
    <w:pPr>
      <w:framePr w:w="6340" w:h="2750" w:hRule="exact" w:hSpace="180" w:wrap="around" w:vAnchor="page" w:hAnchor="text" w:x="3873" w:y="-140"/>
    </w:pPr>
  </w:p>
  <w:p w14:paraId="054C838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14BCA" w14:paraId="2B88CC3D" w14:textId="77777777" w:rsidTr="00A50CF6">
      <w:tc>
        <w:tcPr>
          <w:tcW w:w="2160" w:type="dxa"/>
        </w:tcPr>
        <w:p w14:paraId="635D9FA3" w14:textId="77777777" w:rsidR="00527BD4" w:rsidRPr="005819CE" w:rsidRDefault="005261F5" w:rsidP="00A50CF6">
          <w:pPr>
            <w:pStyle w:val="Huisstijl-Adres"/>
            <w:rPr>
              <w:b/>
            </w:rPr>
          </w:pPr>
          <w:r>
            <w:rPr>
              <w:b/>
            </w:rPr>
            <w:t>Directoraat-generaal Realisatie Groene Groei</w:t>
          </w:r>
          <w:r w:rsidRPr="005819CE">
            <w:rPr>
              <w:b/>
            </w:rPr>
            <w:br/>
          </w:r>
          <w:r>
            <w:t>Directie Verduurzaming Industrie</w:t>
          </w:r>
        </w:p>
        <w:p w14:paraId="19C21DC3" w14:textId="77777777" w:rsidR="00527BD4" w:rsidRPr="00BE5ED9" w:rsidRDefault="005261F5" w:rsidP="00A50CF6">
          <w:pPr>
            <w:pStyle w:val="Huisstijl-Adres"/>
          </w:pPr>
          <w:r>
            <w:rPr>
              <w:b/>
            </w:rPr>
            <w:t>Bezoekadres</w:t>
          </w:r>
          <w:r>
            <w:rPr>
              <w:b/>
            </w:rPr>
            <w:br/>
          </w:r>
          <w:r>
            <w:t>Bezuidenhoutseweg 73</w:t>
          </w:r>
          <w:r w:rsidRPr="005819CE">
            <w:br/>
          </w:r>
          <w:r>
            <w:t>2594 AC Den Haag</w:t>
          </w:r>
        </w:p>
        <w:p w14:paraId="46FC8ABF" w14:textId="77777777" w:rsidR="00EF495B" w:rsidRDefault="005261F5" w:rsidP="0098788A">
          <w:pPr>
            <w:pStyle w:val="Huisstijl-Adres"/>
          </w:pPr>
          <w:r>
            <w:rPr>
              <w:b/>
            </w:rPr>
            <w:t>Postadres</w:t>
          </w:r>
          <w:r>
            <w:rPr>
              <w:b/>
            </w:rPr>
            <w:br/>
          </w:r>
          <w:r>
            <w:t>Postbus 20401</w:t>
          </w:r>
          <w:r w:rsidRPr="005819CE">
            <w:br/>
            <w:t>2500 E</w:t>
          </w:r>
          <w:r>
            <w:t>K</w:t>
          </w:r>
          <w:r w:rsidRPr="005819CE">
            <w:t xml:space="preserve"> Den Haag</w:t>
          </w:r>
        </w:p>
        <w:p w14:paraId="6163911C" w14:textId="77777777" w:rsidR="00EF495B" w:rsidRPr="005B3814" w:rsidRDefault="005261F5" w:rsidP="0098788A">
          <w:pPr>
            <w:pStyle w:val="Huisstijl-Adres"/>
          </w:pPr>
          <w:r>
            <w:rPr>
              <w:b/>
            </w:rPr>
            <w:t>Overheidsidentificatienr</w:t>
          </w:r>
          <w:r>
            <w:rPr>
              <w:b/>
            </w:rPr>
            <w:br/>
          </w:r>
          <w:r w:rsidRPr="005B3814">
            <w:t>00000001003214369000</w:t>
          </w:r>
        </w:p>
        <w:p w14:paraId="79F4485B" w14:textId="20086824" w:rsidR="00527BD4" w:rsidRPr="002B7280" w:rsidRDefault="005261F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14BCA" w14:paraId="11DCFC10" w14:textId="77777777" w:rsidTr="00A50CF6">
      <w:trPr>
        <w:trHeight w:hRule="exact" w:val="200"/>
      </w:trPr>
      <w:tc>
        <w:tcPr>
          <w:tcW w:w="2160" w:type="dxa"/>
        </w:tcPr>
        <w:p w14:paraId="3A0FF955" w14:textId="77777777" w:rsidR="00527BD4" w:rsidRPr="005819CE" w:rsidRDefault="00527BD4" w:rsidP="00A50CF6"/>
      </w:tc>
    </w:tr>
    <w:tr w:rsidR="00B14BCA" w14:paraId="7070925A" w14:textId="77777777" w:rsidTr="00A50CF6">
      <w:tc>
        <w:tcPr>
          <w:tcW w:w="2160" w:type="dxa"/>
        </w:tcPr>
        <w:p w14:paraId="65BE9E8B" w14:textId="77777777" w:rsidR="000C0163" w:rsidRPr="005819CE" w:rsidRDefault="005261F5" w:rsidP="000C0163">
          <w:pPr>
            <w:pStyle w:val="Huisstijl-Kopje"/>
          </w:pPr>
          <w:r>
            <w:t>Ons kenmerk</w:t>
          </w:r>
          <w:r w:rsidRPr="005819CE">
            <w:t xml:space="preserve"> </w:t>
          </w:r>
        </w:p>
        <w:p w14:paraId="3E9B8CAD" w14:textId="5183DED0" w:rsidR="00527BD4" w:rsidRPr="005819CE" w:rsidRDefault="005261F5" w:rsidP="002B7280">
          <w:pPr>
            <w:pStyle w:val="Huisstijl-Gegeven"/>
          </w:pPr>
          <w:r>
            <w:t>KGG_DGRGG_VI</w:t>
          </w:r>
          <w:r w:rsidR="00926AE2">
            <w:t xml:space="preserve"> / </w:t>
          </w:r>
          <w:r>
            <w:t>106076886</w:t>
          </w:r>
        </w:p>
      </w:tc>
    </w:tr>
  </w:tbl>
  <w:p w14:paraId="29AB67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14BCA" w14:paraId="0F8D9CD6" w14:textId="77777777" w:rsidTr="007610AA">
      <w:trPr>
        <w:trHeight w:val="400"/>
      </w:trPr>
      <w:tc>
        <w:tcPr>
          <w:tcW w:w="7520" w:type="dxa"/>
          <w:gridSpan w:val="2"/>
        </w:tcPr>
        <w:p w14:paraId="2FBA0CE6" w14:textId="77777777" w:rsidR="00527BD4" w:rsidRPr="00BC3B53" w:rsidRDefault="005261F5" w:rsidP="00A50CF6">
          <w:pPr>
            <w:pStyle w:val="Huisstijl-Retouradres"/>
          </w:pPr>
          <w:r>
            <w:t>&gt; Retouradres Postbus 20401 2500 EK Den Haag</w:t>
          </w:r>
        </w:p>
      </w:tc>
    </w:tr>
    <w:tr w:rsidR="00B14BCA" w14:paraId="49A6D856" w14:textId="77777777" w:rsidTr="007610AA">
      <w:tc>
        <w:tcPr>
          <w:tcW w:w="7520" w:type="dxa"/>
          <w:gridSpan w:val="2"/>
        </w:tcPr>
        <w:p w14:paraId="46C689F2" w14:textId="77777777" w:rsidR="00527BD4" w:rsidRPr="00983E8F" w:rsidRDefault="00527BD4" w:rsidP="00A50CF6">
          <w:pPr>
            <w:pStyle w:val="Huisstijl-Rubricering"/>
          </w:pPr>
        </w:p>
      </w:tc>
    </w:tr>
    <w:tr w:rsidR="00B14BCA" w14:paraId="6FE3C234" w14:textId="77777777" w:rsidTr="007610AA">
      <w:trPr>
        <w:trHeight w:hRule="exact" w:val="2440"/>
      </w:trPr>
      <w:tc>
        <w:tcPr>
          <w:tcW w:w="7520" w:type="dxa"/>
          <w:gridSpan w:val="2"/>
        </w:tcPr>
        <w:p w14:paraId="41715961" w14:textId="77777777" w:rsidR="00074945" w:rsidRDefault="00074945" w:rsidP="00342F3B">
          <w:pPr>
            <w:pStyle w:val="Huisstijl-NAW"/>
          </w:pPr>
          <w:r>
            <w:t xml:space="preserve">De Voorzitter van de Tweede Kamer </w:t>
          </w:r>
        </w:p>
        <w:p w14:paraId="347EA3EC" w14:textId="77777777" w:rsidR="00074945" w:rsidRDefault="00074945" w:rsidP="00342F3B">
          <w:pPr>
            <w:pStyle w:val="Huisstijl-NAW"/>
          </w:pPr>
          <w:r>
            <w:t>der Staten-Generaal</w:t>
          </w:r>
        </w:p>
        <w:p w14:paraId="79636BB9" w14:textId="77777777" w:rsidR="00074945" w:rsidRDefault="00074945" w:rsidP="00342F3B">
          <w:pPr>
            <w:rPr>
              <w:szCs w:val="18"/>
            </w:rPr>
          </w:pPr>
          <w:r>
            <w:rPr>
              <w:szCs w:val="18"/>
            </w:rPr>
            <w:t>Prinses Irenestraat 6</w:t>
          </w:r>
        </w:p>
        <w:p w14:paraId="6C0C298E" w14:textId="377652BC" w:rsidR="00B14BCA" w:rsidRDefault="00074945" w:rsidP="00074945">
          <w:r>
            <w:t>2595 BD  DEN HAAG</w:t>
          </w:r>
        </w:p>
        <w:p w14:paraId="29A31184" w14:textId="77777777" w:rsidR="00B14BCA" w:rsidRDefault="00B14BCA">
          <w:pPr>
            <w:pStyle w:val="Huisstijl-NAW"/>
          </w:pPr>
        </w:p>
      </w:tc>
    </w:tr>
    <w:tr w:rsidR="00B14BCA" w14:paraId="419D4BC7" w14:textId="77777777" w:rsidTr="007610AA">
      <w:trPr>
        <w:trHeight w:hRule="exact" w:val="400"/>
      </w:trPr>
      <w:tc>
        <w:tcPr>
          <w:tcW w:w="7520" w:type="dxa"/>
          <w:gridSpan w:val="2"/>
        </w:tcPr>
        <w:p w14:paraId="0F9E292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14BCA" w14:paraId="5B96330F" w14:textId="77777777" w:rsidTr="007610AA">
      <w:trPr>
        <w:trHeight w:val="240"/>
      </w:trPr>
      <w:tc>
        <w:tcPr>
          <w:tcW w:w="900" w:type="dxa"/>
        </w:tcPr>
        <w:p w14:paraId="4A70FB3E" w14:textId="77777777" w:rsidR="00527BD4" w:rsidRPr="007709EF" w:rsidRDefault="005261F5" w:rsidP="00A50CF6">
          <w:pPr>
            <w:rPr>
              <w:szCs w:val="18"/>
            </w:rPr>
          </w:pPr>
          <w:r>
            <w:rPr>
              <w:szCs w:val="18"/>
            </w:rPr>
            <w:t>Datum</w:t>
          </w:r>
        </w:p>
      </w:tc>
      <w:tc>
        <w:tcPr>
          <w:tcW w:w="6620" w:type="dxa"/>
        </w:tcPr>
        <w:p w14:paraId="6B634D37" w14:textId="0984B90F" w:rsidR="00527BD4" w:rsidRPr="007709EF" w:rsidRDefault="0026042A" w:rsidP="00A50CF6">
          <w:r>
            <w:t>26 mei 2026</w:t>
          </w:r>
        </w:p>
      </w:tc>
    </w:tr>
    <w:tr w:rsidR="00B14BCA" w14:paraId="7590CC5D" w14:textId="77777777" w:rsidTr="007610AA">
      <w:trPr>
        <w:trHeight w:val="240"/>
      </w:trPr>
      <w:tc>
        <w:tcPr>
          <w:tcW w:w="900" w:type="dxa"/>
        </w:tcPr>
        <w:p w14:paraId="2C31BEDC" w14:textId="77777777" w:rsidR="00527BD4" w:rsidRPr="007709EF" w:rsidRDefault="005261F5" w:rsidP="00A50CF6">
          <w:pPr>
            <w:rPr>
              <w:szCs w:val="18"/>
            </w:rPr>
          </w:pPr>
          <w:r>
            <w:rPr>
              <w:szCs w:val="18"/>
            </w:rPr>
            <w:t>Betreft</w:t>
          </w:r>
        </w:p>
      </w:tc>
      <w:tc>
        <w:tcPr>
          <w:tcW w:w="6620" w:type="dxa"/>
        </w:tcPr>
        <w:p w14:paraId="0B73D3CB" w14:textId="77777777" w:rsidR="00527BD4" w:rsidRPr="007709EF" w:rsidRDefault="005261F5" w:rsidP="00A50CF6">
          <w:r>
            <w:t>Verlenging subsidiemodule Indirecte Kostencompensatie ETS</w:t>
          </w:r>
        </w:p>
      </w:tc>
    </w:tr>
  </w:tbl>
  <w:p w14:paraId="4EFCFF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32A45D4">
      <w:start w:val="1"/>
      <w:numFmt w:val="bullet"/>
      <w:pStyle w:val="Lijstopsomteken"/>
      <w:lvlText w:val="•"/>
      <w:lvlJc w:val="left"/>
      <w:pPr>
        <w:tabs>
          <w:tab w:val="num" w:pos="227"/>
        </w:tabs>
        <w:ind w:left="227" w:hanging="227"/>
      </w:pPr>
      <w:rPr>
        <w:rFonts w:ascii="Verdana" w:hAnsi="Verdana" w:hint="default"/>
        <w:sz w:val="18"/>
        <w:szCs w:val="18"/>
      </w:rPr>
    </w:lvl>
    <w:lvl w:ilvl="1" w:tplc="305A3BFE" w:tentative="1">
      <w:start w:val="1"/>
      <w:numFmt w:val="bullet"/>
      <w:lvlText w:val="o"/>
      <w:lvlJc w:val="left"/>
      <w:pPr>
        <w:tabs>
          <w:tab w:val="num" w:pos="1440"/>
        </w:tabs>
        <w:ind w:left="1440" w:hanging="360"/>
      </w:pPr>
      <w:rPr>
        <w:rFonts w:ascii="Courier New" w:hAnsi="Courier New" w:cs="Courier New" w:hint="default"/>
      </w:rPr>
    </w:lvl>
    <w:lvl w:ilvl="2" w:tplc="F8DCB042" w:tentative="1">
      <w:start w:val="1"/>
      <w:numFmt w:val="bullet"/>
      <w:lvlText w:val=""/>
      <w:lvlJc w:val="left"/>
      <w:pPr>
        <w:tabs>
          <w:tab w:val="num" w:pos="2160"/>
        </w:tabs>
        <w:ind w:left="2160" w:hanging="360"/>
      </w:pPr>
      <w:rPr>
        <w:rFonts w:ascii="Wingdings" w:hAnsi="Wingdings" w:hint="default"/>
      </w:rPr>
    </w:lvl>
    <w:lvl w:ilvl="3" w:tplc="4968759E" w:tentative="1">
      <w:start w:val="1"/>
      <w:numFmt w:val="bullet"/>
      <w:lvlText w:val=""/>
      <w:lvlJc w:val="left"/>
      <w:pPr>
        <w:tabs>
          <w:tab w:val="num" w:pos="2880"/>
        </w:tabs>
        <w:ind w:left="2880" w:hanging="360"/>
      </w:pPr>
      <w:rPr>
        <w:rFonts w:ascii="Symbol" w:hAnsi="Symbol" w:hint="default"/>
      </w:rPr>
    </w:lvl>
    <w:lvl w:ilvl="4" w:tplc="CD7830AE" w:tentative="1">
      <w:start w:val="1"/>
      <w:numFmt w:val="bullet"/>
      <w:lvlText w:val="o"/>
      <w:lvlJc w:val="left"/>
      <w:pPr>
        <w:tabs>
          <w:tab w:val="num" w:pos="3600"/>
        </w:tabs>
        <w:ind w:left="3600" w:hanging="360"/>
      </w:pPr>
      <w:rPr>
        <w:rFonts w:ascii="Courier New" w:hAnsi="Courier New" w:cs="Courier New" w:hint="default"/>
      </w:rPr>
    </w:lvl>
    <w:lvl w:ilvl="5" w:tplc="D6225AB0" w:tentative="1">
      <w:start w:val="1"/>
      <w:numFmt w:val="bullet"/>
      <w:lvlText w:val=""/>
      <w:lvlJc w:val="left"/>
      <w:pPr>
        <w:tabs>
          <w:tab w:val="num" w:pos="4320"/>
        </w:tabs>
        <w:ind w:left="4320" w:hanging="360"/>
      </w:pPr>
      <w:rPr>
        <w:rFonts w:ascii="Wingdings" w:hAnsi="Wingdings" w:hint="default"/>
      </w:rPr>
    </w:lvl>
    <w:lvl w:ilvl="6" w:tplc="7A6036D8" w:tentative="1">
      <w:start w:val="1"/>
      <w:numFmt w:val="bullet"/>
      <w:lvlText w:val=""/>
      <w:lvlJc w:val="left"/>
      <w:pPr>
        <w:tabs>
          <w:tab w:val="num" w:pos="5040"/>
        </w:tabs>
        <w:ind w:left="5040" w:hanging="360"/>
      </w:pPr>
      <w:rPr>
        <w:rFonts w:ascii="Symbol" w:hAnsi="Symbol" w:hint="default"/>
      </w:rPr>
    </w:lvl>
    <w:lvl w:ilvl="7" w:tplc="7158CDFC" w:tentative="1">
      <w:start w:val="1"/>
      <w:numFmt w:val="bullet"/>
      <w:lvlText w:val="o"/>
      <w:lvlJc w:val="left"/>
      <w:pPr>
        <w:tabs>
          <w:tab w:val="num" w:pos="5760"/>
        </w:tabs>
        <w:ind w:left="5760" w:hanging="360"/>
      </w:pPr>
      <w:rPr>
        <w:rFonts w:ascii="Courier New" w:hAnsi="Courier New" w:cs="Courier New" w:hint="default"/>
      </w:rPr>
    </w:lvl>
    <w:lvl w:ilvl="8" w:tplc="E18434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67636D4">
      <w:start w:val="1"/>
      <w:numFmt w:val="bullet"/>
      <w:pStyle w:val="Lijstopsomteken2"/>
      <w:lvlText w:val="–"/>
      <w:lvlJc w:val="left"/>
      <w:pPr>
        <w:tabs>
          <w:tab w:val="num" w:pos="227"/>
        </w:tabs>
        <w:ind w:left="227" w:firstLine="0"/>
      </w:pPr>
      <w:rPr>
        <w:rFonts w:ascii="Verdana" w:hAnsi="Verdana" w:hint="default"/>
      </w:rPr>
    </w:lvl>
    <w:lvl w:ilvl="1" w:tplc="C79E8A48" w:tentative="1">
      <w:start w:val="1"/>
      <w:numFmt w:val="bullet"/>
      <w:lvlText w:val="o"/>
      <w:lvlJc w:val="left"/>
      <w:pPr>
        <w:tabs>
          <w:tab w:val="num" w:pos="1440"/>
        </w:tabs>
        <w:ind w:left="1440" w:hanging="360"/>
      </w:pPr>
      <w:rPr>
        <w:rFonts w:ascii="Courier New" w:hAnsi="Courier New" w:cs="Courier New" w:hint="default"/>
      </w:rPr>
    </w:lvl>
    <w:lvl w:ilvl="2" w:tplc="7C52D636" w:tentative="1">
      <w:start w:val="1"/>
      <w:numFmt w:val="bullet"/>
      <w:lvlText w:val=""/>
      <w:lvlJc w:val="left"/>
      <w:pPr>
        <w:tabs>
          <w:tab w:val="num" w:pos="2160"/>
        </w:tabs>
        <w:ind w:left="2160" w:hanging="360"/>
      </w:pPr>
      <w:rPr>
        <w:rFonts w:ascii="Wingdings" w:hAnsi="Wingdings" w:hint="default"/>
      </w:rPr>
    </w:lvl>
    <w:lvl w:ilvl="3" w:tplc="653C4AFA" w:tentative="1">
      <w:start w:val="1"/>
      <w:numFmt w:val="bullet"/>
      <w:lvlText w:val=""/>
      <w:lvlJc w:val="left"/>
      <w:pPr>
        <w:tabs>
          <w:tab w:val="num" w:pos="2880"/>
        </w:tabs>
        <w:ind w:left="2880" w:hanging="360"/>
      </w:pPr>
      <w:rPr>
        <w:rFonts w:ascii="Symbol" w:hAnsi="Symbol" w:hint="default"/>
      </w:rPr>
    </w:lvl>
    <w:lvl w:ilvl="4" w:tplc="E44267EC" w:tentative="1">
      <w:start w:val="1"/>
      <w:numFmt w:val="bullet"/>
      <w:lvlText w:val="o"/>
      <w:lvlJc w:val="left"/>
      <w:pPr>
        <w:tabs>
          <w:tab w:val="num" w:pos="3600"/>
        </w:tabs>
        <w:ind w:left="3600" w:hanging="360"/>
      </w:pPr>
      <w:rPr>
        <w:rFonts w:ascii="Courier New" w:hAnsi="Courier New" w:cs="Courier New" w:hint="default"/>
      </w:rPr>
    </w:lvl>
    <w:lvl w:ilvl="5" w:tplc="5AE67FD0" w:tentative="1">
      <w:start w:val="1"/>
      <w:numFmt w:val="bullet"/>
      <w:lvlText w:val=""/>
      <w:lvlJc w:val="left"/>
      <w:pPr>
        <w:tabs>
          <w:tab w:val="num" w:pos="4320"/>
        </w:tabs>
        <w:ind w:left="4320" w:hanging="360"/>
      </w:pPr>
      <w:rPr>
        <w:rFonts w:ascii="Wingdings" w:hAnsi="Wingdings" w:hint="default"/>
      </w:rPr>
    </w:lvl>
    <w:lvl w:ilvl="6" w:tplc="BF026A70" w:tentative="1">
      <w:start w:val="1"/>
      <w:numFmt w:val="bullet"/>
      <w:lvlText w:val=""/>
      <w:lvlJc w:val="left"/>
      <w:pPr>
        <w:tabs>
          <w:tab w:val="num" w:pos="5040"/>
        </w:tabs>
        <w:ind w:left="5040" w:hanging="360"/>
      </w:pPr>
      <w:rPr>
        <w:rFonts w:ascii="Symbol" w:hAnsi="Symbol" w:hint="default"/>
      </w:rPr>
    </w:lvl>
    <w:lvl w:ilvl="7" w:tplc="B26668A0" w:tentative="1">
      <w:start w:val="1"/>
      <w:numFmt w:val="bullet"/>
      <w:lvlText w:val="o"/>
      <w:lvlJc w:val="left"/>
      <w:pPr>
        <w:tabs>
          <w:tab w:val="num" w:pos="5760"/>
        </w:tabs>
        <w:ind w:left="5760" w:hanging="360"/>
      </w:pPr>
      <w:rPr>
        <w:rFonts w:ascii="Courier New" w:hAnsi="Courier New" w:cs="Courier New" w:hint="default"/>
      </w:rPr>
    </w:lvl>
    <w:lvl w:ilvl="8" w:tplc="276492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5986529">
    <w:abstractNumId w:val="10"/>
  </w:num>
  <w:num w:numId="2" w16cid:durableId="729185828">
    <w:abstractNumId w:val="7"/>
  </w:num>
  <w:num w:numId="3" w16cid:durableId="658851614">
    <w:abstractNumId w:val="6"/>
  </w:num>
  <w:num w:numId="4" w16cid:durableId="2041129600">
    <w:abstractNumId w:val="5"/>
  </w:num>
  <w:num w:numId="5" w16cid:durableId="1759867610">
    <w:abstractNumId w:val="4"/>
  </w:num>
  <w:num w:numId="6" w16cid:durableId="2044355854">
    <w:abstractNumId w:val="8"/>
  </w:num>
  <w:num w:numId="7" w16cid:durableId="1283725670">
    <w:abstractNumId w:val="3"/>
  </w:num>
  <w:num w:numId="8" w16cid:durableId="2020308860">
    <w:abstractNumId w:val="2"/>
  </w:num>
  <w:num w:numId="9" w16cid:durableId="1656446447">
    <w:abstractNumId w:val="1"/>
  </w:num>
  <w:num w:numId="10" w16cid:durableId="922644415">
    <w:abstractNumId w:val="0"/>
  </w:num>
  <w:num w:numId="11" w16cid:durableId="662701445">
    <w:abstractNumId w:val="9"/>
  </w:num>
  <w:num w:numId="12" w16cid:durableId="1653488713">
    <w:abstractNumId w:val="11"/>
  </w:num>
  <w:num w:numId="13" w16cid:durableId="841510712">
    <w:abstractNumId w:val="13"/>
  </w:num>
  <w:num w:numId="14" w16cid:durableId="225457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641"/>
    <w:rsid w:val="000639A7"/>
    <w:rsid w:val="00071F28"/>
    <w:rsid w:val="00074079"/>
    <w:rsid w:val="00074945"/>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172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17A69"/>
    <w:rsid w:val="00222D66"/>
    <w:rsid w:val="00224A8A"/>
    <w:rsid w:val="002309A8"/>
    <w:rsid w:val="002369BF"/>
    <w:rsid w:val="00236CFE"/>
    <w:rsid w:val="00241D72"/>
    <w:rsid w:val="002428E3"/>
    <w:rsid w:val="00243031"/>
    <w:rsid w:val="0026042A"/>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B7280"/>
    <w:rsid w:val="002C2830"/>
    <w:rsid w:val="002D001A"/>
    <w:rsid w:val="002D28E2"/>
    <w:rsid w:val="002D317B"/>
    <w:rsid w:val="002D3587"/>
    <w:rsid w:val="002D502D"/>
    <w:rsid w:val="002E0F69"/>
    <w:rsid w:val="002F5147"/>
    <w:rsid w:val="002F78E8"/>
    <w:rsid w:val="002F7ABD"/>
    <w:rsid w:val="00312597"/>
    <w:rsid w:val="00316378"/>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71E"/>
    <w:rsid w:val="00474B75"/>
    <w:rsid w:val="00483F0B"/>
    <w:rsid w:val="00490311"/>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61F5"/>
    <w:rsid w:val="00527BD4"/>
    <w:rsid w:val="005330E6"/>
    <w:rsid w:val="00537095"/>
    <w:rsid w:val="005403C8"/>
    <w:rsid w:val="005429DC"/>
    <w:rsid w:val="005565F9"/>
    <w:rsid w:val="005676B7"/>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3AFF"/>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5DA0"/>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2DCD"/>
    <w:rsid w:val="00782701"/>
    <w:rsid w:val="00783559"/>
    <w:rsid w:val="00795516"/>
    <w:rsid w:val="0079551B"/>
    <w:rsid w:val="00797AA5"/>
    <w:rsid w:val="007A26BD"/>
    <w:rsid w:val="007A4105"/>
    <w:rsid w:val="007B4503"/>
    <w:rsid w:val="007C406E"/>
    <w:rsid w:val="007C5183"/>
    <w:rsid w:val="007C7573"/>
    <w:rsid w:val="007E2B20"/>
    <w:rsid w:val="007F1FE4"/>
    <w:rsid w:val="007F439C"/>
    <w:rsid w:val="007F5331"/>
    <w:rsid w:val="00800A7F"/>
    <w:rsid w:val="00800CCA"/>
    <w:rsid w:val="00804E28"/>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4B88"/>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170E"/>
    <w:rsid w:val="00A63B8C"/>
    <w:rsid w:val="00A715F8"/>
    <w:rsid w:val="00A77F6F"/>
    <w:rsid w:val="00A81C56"/>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4BCA"/>
    <w:rsid w:val="00B259C8"/>
    <w:rsid w:val="00B2629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D416F"/>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3B52"/>
    <w:rsid w:val="00D264D6"/>
    <w:rsid w:val="00D32F78"/>
    <w:rsid w:val="00D33BF0"/>
    <w:rsid w:val="00D33DE0"/>
    <w:rsid w:val="00D36447"/>
    <w:rsid w:val="00D516BE"/>
    <w:rsid w:val="00D5423B"/>
    <w:rsid w:val="00D54E6A"/>
    <w:rsid w:val="00D54F4E"/>
    <w:rsid w:val="00D56E01"/>
    <w:rsid w:val="00D57A56"/>
    <w:rsid w:val="00D57BC2"/>
    <w:rsid w:val="00D604B3"/>
    <w:rsid w:val="00D60BA4"/>
    <w:rsid w:val="00D62419"/>
    <w:rsid w:val="00D77870"/>
    <w:rsid w:val="00D80977"/>
    <w:rsid w:val="00D80CCE"/>
    <w:rsid w:val="00D86EEA"/>
    <w:rsid w:val="00D87D03"/>
    <w:rsid w:val="00D9360B"/>
    <w:rsid w:val="00D95C88"/>
    <w:rsid w:val="00D97B2E"/>
    <w:rsid w:val="00DA241E"/>
    <w:rsid w:val="00DA2885"/>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EFB"/>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C5867"/>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E47"/>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9615C"/>
    <w:rsid w:val="00FA2CD7"/>
    <w:rsid w:val="00FA3C5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7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semiHidden/>
    <w:unhideWhenUsed/>
    <w:rsid w:val="00663AFF"/>
    <w:rPr>
      <w:vertAlign w:val="superscript"/>
    </w:rPr>
  </w:style>
  <w:style w:type="character" w:styleId="Onopgelostemelding">
    <w:name w:val="Unresolved Mention"/>
    <w:basedOn w:val="Standaardalinea-lettertype"/>
    <w:uiPriority w:val="99"/>
    <w:semiHidden/>
    <w:unhideWhenUsed/>
    <w:rsid w:val="00663AFF"/>
    <w:rPr>
      <w:color w:val="605E5C"/>
      <w:shd w:val="clear" w:color="auto" w:fill="E1DFDD"/>
    </w:rPr>
  </w:style>
  <w:style w:type="paragraph" w:styleId="Revisie">
    <w:name w:val="Revision"/>
    <w:hidden/>
    <w:uiPriority w:val="99"/>
    <w:semiHidden/>
    <w:rsid w:val="0014172F"/>
    <w:rPr>
      <w:rFonts w:ascii="Verdana" w:hAnsi="Verdana"/>
      <w:sz w:val="18"/>
      <w:szCs w:val="24"/>
      <w:lang w:val="nl-NL" w:eastAsia="nl-NL"/>
    </w:rPr>
  </w:style>
  <w:style w:type="character" w:styleId="Verwijzingopmerking">
    <w:name w:val="annotation reference"/>
    <w:basedOn w:val="Standaardalinea-lettertype"/>
    <w:semiHidden/>
    <w:unhideWhenUsed/>
    <w:rsid w:val="00705DA0"/>
    <w:rPr>
      <w:sz w:val="16"/>
      <w:szCs w:val="16"/>
    </w:rPr>
  </w:style>
  <w:style w:type="paragraph" w:styleId="Tekstopmerking">
    <w:name w:val="annotation text"/>
    <w:basedOn w:val="Standaard"/>
    <w:link w:val="TekstopmerkingChar"/>
    <w:unhideWhenUsed/>
    <w:rsid w:val="00705DA0"/>
    <w:pPr>
      <w:spacing w:line="240" w:lineRule="auto"/>
    </w:pPr>
    <w:rPr>
      <w:sz w:val="20"/>
      <w:szCs w:val="20"/>
    </w:rPr>
  </w:style>
  <w:style w:type="character" w:customStyle="1" w:styleId="TekstopmerkingChar">
    <w:name w:val="Tekst opmerking Char"/>
    <w:basedOn w:val="Standaardalinea-lettertype"/>
    <w:link w:val="Tekstopmerking"/>
    <w:rsid w:val="00705DA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05DA0"/>
    <w:rPr>
      <w:b/>
      <w:bCs/>
    </w:rPr>
  </w:style>
  <w:style w:type="character" w:customStyle="1" w:styleId="OnderwerpvanopmerkingChar">
    <w:name w:val="Onderwerp van opmerking Char"/>
    <w:basedOn w:val="TekstopmerkingChar"/>
    <w:link w:val="Onderwerpvanopmerking"/>
    <w:semiHidden/>
    <w:rsid w:val="00705DA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eo.nl/wp-content/uploads/2023/07/2023-35-Beleidsevaluatie-subsidieregeling-indirecte.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474</ap:Words>
  <ap:Characters>2934</ap:Characters>
  <ap:DocSecurity>0</ap:DocSecurity>
  <ap:Lines>24</ap:Lines>
  <ap:Paragraphs>6</ap:Paragraphs>
  <ap:ScaleCrop>false</ap:ScaleCrop>
  <ap:LinksUpToDate>false</ap:LinksUpToDate>
  <ap:CharactersWithSpaces>3402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2026-05-26T10:44:00.0000000Z</dcterms:created>
  <dcterms:modified xsi:type="dcterms:W3CDTF">2026-05-26T10:45:00.0000000Z</dcterms:modified>
  <dc:description>------------------------</dc:description>
  <dc:subject/>
  <keywords/>
  <version/>
  <category/>
</coreProperties>
</file>