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2026Z10872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mei 2026)</w:t>
        <w:br/>
      </w:r>
    </w:p>
    <w:p>
      <w:r>
        <w:t xml:space="preserve">Vragen van de leden Kathmann, Mutluer en Piri (allen GroenLinks-PvdA) aan de ministers van Justitie en Veiligheid en van Defensie en de staatssecretaris van Economische Zaken en Klimaat over het stopzetten van het luchtalarm.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Kunt u nader toelichten waarom er geen middelen zijn gevonden om het luchtalarm als middel in crisissituaties te behouden, zoals aangekondigd in uw brief van 18 mei 2026?[1]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Hoeveel geld zou het structureel kosten om het luchtalarm na 1 januari 2028 alsnog te behouden?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Ziet u mogelijkheden om het luchtalarm in de toekomst te dekken met de aanvullende Defensiemiddelen in het kader van de nationale weerbaarheid?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Deelt u de analyse dat het afsluiten van het luchtalarm onwenselijk is, gezien het belang van redundantie in de crisiscommunicatie? Is het niet in elke situatie beter als het luchtalarm en NL-Alert (of alternatieven) naast elkaar bestaan?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Hoe kijkt u naar het gegeven dat het horen van het luchtalarm en het ontvangen van een NL-Alert een andere lading heeft voor de toehoorder? Waarop baseert u dat het luchtalarm en NL-Alert dezelfde staat van paraatheid teweegbrengt bij burgers?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Erkent u dat, in een heftige ramp of crisis, ook sprake kan zijn van sabotage van mobiele netwerken? Waarop baseert u dat NL-Alert in dergelijke situaties altijd bruikbaar zal zijn?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Is het bereik van NL-Alert, met een stabiele dekking van 92%, voldoende om in een crisissituatie iedereen te bereiken? Hoe verwacht u dit bereik te vergroten?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Kunt u onderbouwen dat een alternatief systeem als NL-Alert, waar mensen een telefoon voor nodig hebben, goed digitaal toegankelijk is?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Bent u bekend met Project Särimner, een Zweedse infrastructuur waarin ‘datanodes’ worden gebouwd die in het geval van sabotage of verstoring onafhankelijk van elkaar crisisinformatie kunnen uitwisselen?[2]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Bent u bereid om een oplossing zoals Project Särimner nader te onderzoeken als aanvulling op de nationale crisisinfrastructuur?
        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>
          <w:br/>
          Kunt u deze vragen afzonderlijk van elkaar en nog vóór het commissiedebat over nationale veiligheid, weerbaarheid, brandweer en crisisbeheersing van 10 juni 2026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>[1] Kamerstuk 29 517, nr. 275.</w:t>
      </w:r>
      <w:r>
        <w:br/>
      </w:r>
    </w:p>
    <w:p>
      <w:r>
        <w:t xml:space="preserve">[2] Slides met informatie van de Zweedse internet exchange: Matte &amp; Hugge_sarimner_condensed_english_external.key.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82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8280">
    <w:abstractNumId w:val="1005082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