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8A1" w:rsidP="00ED08A1" w:rsidRDefault="00ED08A1" w14:paraId="47794FB0" w14:textId="4AE9DC00">
      <w:pPr>
        <w:rPr>
          <w:szCs w:val="18"/>
        </w:rPr>
      </w:pPr>
      <w:r>
        <w:rPr>
          <w:szCs w:val="18"/>
        </w:rPr>
        <w:t>AH 2025</w:t>
      </w:r>
    </w:p>
    <w:p w:rsidR="00ED08A1" w:rsidP="00ED08A1" w:rsidRDefault="00ED08A1" w14:paraId="740EFB2A" w14:textId="4A4B1EE2">
      <w:pPr>
        <w:rPr>
          <w:szCs w:val="18"/>
        </w:rPr>
      </w:pPr>
      <w:r>
        <w:rPr>
          <w:szCs w:val="18"/>
        </w:rPr>
        <w:t>2026Z08702</w:t>
      </w:r>
    </w:p>
    <w:p w:rsidR="00ED08A1" w:rsidP="00ED08A1" w:rsidRDefault="00ED08A1" w14:paraId="00EAB95A" w14:textId="4F84BE62">
      <w:pPr>
        <w:rPr>
          <w:szCs w:val="18"/>
        </w:rPr>
      </w:pPr>
      <w:r w:rsidRPr="00ED08A1">
        <w:rPr>
          <w:sz w:val="24"/>
          <w:szCs w:val="24"/>
        </w:rPr>
        <w:t xml:space="preserve">Antwoord van minister Herbert (Economische Zaken en Klimaat) (ontvangen </w:t>
      </w:r>
      <w:r>
        <w:rPr>
          <w:sz w:val="24"/>
          <w:szCs w:val="24"/>
        </w:rPr>
        <w:t xml:space="preserve"> 26 mei 2026)</w:t>
      </w:r>
    </w:p>
    <w:p w:rsidR="00ED08A1" w:rsidP="00ED08A1" w:rsidRDefault="00ED08A1" w14:paraId="5F5DC8C1" w14:textId="77777777">
      <w:pPr>
        <w:rPr>
          <w:szCs w:val="18"/>
        </w:rPr>
      </w:pPr>
    </w:p>
    <w:p w:rsidRPr="00E3525E" w:rsidR="00ED08A1" w:rsidP="00ED08A1" w:rsidRDefault="00ED08A1" w14:paraId="01E03B93" w14:textId="59EDBD52">
      <w:pPr>
        <w:rPr>
          <w:szCs w:val="18"/>
        </w:rPr>
      </w:pPr>
      <w:r w:rsidRPr="00ED08A1">
        <w:rPr>
          <w:color w:val="000000"/>
          <w:sz w:val="24"/>
          <w:szCs w:val="24"/>
        </w:rPr>
        <w:t xml:space="preserve">Zie ook Aanhangsel Handelingen, vergaderjaar 2025-2026, nr. </w:t>
      </w:r>
      <w:r>
        <w:rPr>
          <w:szCs w:val="18"/>
        </w:rPr>
        <w:t>1875</w:t>
      </w:r>
    </w:p>
    <w:p w:rsidR="00ED08A1" w:rsidP="00ED08A1" w:rsidRDefault="00ED08A1" w14:paraId="13F2E237" w14:textId="77777777">
      <w:pPr>
        <w:rPr>
          <w:szCs w:val="18"/>
        </w:rPr>
      </w:pPr>
      <w:r w:rsidRPr="00E3525E">
        <w:rPr>
          <w:szCs w:val="18"/>
        </w:rPr>
        <w:t>1</w:t>
      </w:r>
    </w:p>
    <w:p w:rsidRPr="00E3525E" w:rsidR="00ED08A1" w:rsidP="00ED08A1" w:rsidRDefault="00ED08A1" w14:paraId="67DD1233" w14:textId="77777777">
      <w:pPr>
        <w:rPr>
          <w:szCs w:val="18"/>
        </w:rPr>
      </w:pPr>
      <w:r w:rsidRPr="00E3525E">
        <w:rPr>
          <w:szCs w:val="18"/>
        </w:rPr>
        <w:t>Bent u bekend met het bericht «Eigenaar Ticketmaster schuldig aan monopolie en te hoge prijzen voor concerten in VS»?</w:t>
      </w:r>
    </w:p>
    <w:p w:rsidRPr="00E3525E" w:rsidR="00ED08A1" w:rsidP="00ED08A1" w:rsidRDefault="00ED08A1" w14:paraId="27100D8A" w14:textId="77777777">
      <w:pPr>
        <w:rPr>
          <w:szCs w:val="18"/>
        </w:rPr>
      </w:pPr>
    </w:p>
    <w:p w:rsidR="00ED08A1" w:rsidP="00ED08A1" w:rsidRDefault="00ED08A1" w14:paraId="2DE426E6" w14:textId="77777777">
      <w:pPr>
        <w:rPr>
          <w:szCs w:val="18"/>
        </w:rPr>
      </w:pPr>
      <w:r>
        <w:rPr>
          <w:szCs w:val="18"/>
        </w:rPr>
        <w:t>Antwoord</w:t>
      </w:r>
    </w:p>
    <w:p w:rsidRPr="00E3525E" w:rsidR="00ED08A1" w:rsidP="00ED08A1" w:rsidRDefault="00ED08A1" w14:paraId="24B50F23" w14:textId="77777777">
      <w:pPr>
        <w:rPr>
          <w:szCs w:val="18"/>
        </w:rPr>
      </w:pPr>
      <w:r w:rsidRPr="00E3525E">
        <w:rPr>
          <w:szCs w:val="18"/>
        </w:rPr>
        <w:t xml:space="preserve">Ja, ik ben bekend met de berichtgeving over het betreffende jury-oordeel in deze rechtszaak in de Verenigde Staten tegen het bedrijf Live </w:t>
      </w:r>
      <w:proofErr w:type="spellStart"/>
      <w:r w:rsidRPr="00E3525E">
        <w:rPr>
          <w:szCs w:val="18"/>
        </w:rPr>
        <w:t>Nation</w:t>
      </w:r>
      <w:proofErr w:type="spellEnd"/>
      <w:r w:rsidRPr="00E3525E">
        <w:rPr>
          <w:szCs w:val="18"/>
        </w:rPr>
        <w:t xml:space="preserve">, dat onder andere eigenaar is van Ticketmaster. </w:t>
      </w:r>
    </w:p>
    <w:p w:rsidRPr="00E3525E" w:rsidR="00ED08A1" w:rsidP="00ED08A1" w:rsidRDefault="00ED08A1" w14:paraId="5112736D" w14:textId="77777777">
      <w:pPr>
        <w:rPr>
          <w:szCs w:val="18"/>
        </w:rPr>
      </w:pPr>
    </w:p>
    <w:p w:rsidR="00ED08A1" w:rsidP="00ED08A1" w:rsidRDefault="00ED08A1" w14:paraId="4BE301E6" w14:textId="77777777">
      <w:pPr>
        <w:rPr>
          <w:szCs w:val="18"/>
        </w:rPr>
      </w:pPr>
      <w:r w:rsidRPr="00E3525E">
        <w:rPr>
          <w:szCs w:val="18"/>
        </w:rPr>
        <w:t>2</w:t>
      </w:r>
    </w:p>
    <w:p w:rsidRPr="00E3525E" w:rsidR="00ED08A1" w:rsidP="00ED08A1" w:rsidRDefault="00ED08A1" w14:paraId="5ECCC492" w14:textId="77777777">
      <w:pPr>
        <w:rPr>
          <w:szCs w:val="18"/>
        </w:rPr>
      </w:pPr>
      <w:r w:rsidRPr="00E3525E">
        <w:rPr>
          <w:szCs w:val="18"/>
        </w:rPr>
        <w:t xml:space="preserve">Herkent u dat dezelfde combinatie van ticketverkoop, concertpromotie en afspraken met zalen ook in Nederland grotendeels via dit ene concern verloopt? </w:t>
      </w:r>
    </w:p>
    <w:p w:rsidRPr="00E3525E" w:rsidR="00ED08A1" w:rsidP="00ED08A1" w:rsidRDefault="00ED08A1" w14:paraId="709E0415" w14:textId="77777777">
      <w:pPr>
        <w:rPr>
          <w:szCs w:val="18"/>
        </w:rPr>
      </w:pPr>
    </w:p>
    <w:p w:rsidR="00ED08A1" w:rsidP="00ED08A1" w:rsidRDefault="00ED08A1" w14:paraId="790F7ACF" w14:textId="77777777">
      <w:pPr>
        <w:rPr>
          <w:szCs w:val="18"/>
        </w:rPr>
      </w:pPr>
      <w:r>
        <w:rPr>
          <w:szCs w:val="18"/>
        </w:rPr>
        <w:t>Antwoord</w:t>
      </w:r>
      <w:r w:rsidRPr="00E3525E">
        <w:rPr>
          <w:szCs w:val="18"/>
        </w:rPr>
        <w:t xml:space="preserve"> </w:t>
      </w:r>
    </w:p>
    <w:p w:rsidRPr="00E3525E" w:rsidR="00ED08A1" w:rsidP="00ED08A1" w:rsidRDefault="00ED08A1" w14:paraId="61E747AA" w14:textId="77777777">
      <w:pPr>
        <w:rPr>
          <w:szCs w:val="18"/>
        </w:rPr>
      </w:pPr>
      <w:r w:rsidRPr="00E3525E">
        <w:rPr>
          <w:szCs w:val="18"/>
        </w:rPr>
        <w:t xml:space="preserve">Het concern Live </w:t>
      </w:r>
      <w:proofErr w:type="spellStart"/>
      <w:r w:rsidRPr="00E3525E">
        <w:rPr>
          <w:szCs w:val="18"/>
        </w:rPr>
        <w:t>Nation</w:t>
      </w:r>
      <w:proofErr w:type="spellEnd"/>
      <w:r w:rsidRPr="00E3525E">
        <w:rPr>
          <w:szCs w:val="18"/>
        </w:rPr>
        <w:t xml:space="preserve"> is ook in Nederland op verschillende aanverwante markten een belangrijke speler, onder meer via dochterbedrijven Ticketmaster en </w:t>
      </w:r>
      <w:proofErr w:type="spellStart"/>
      <w:r w:rsidRPr="00E3525E">
        <w:rPr>
          <w:szCs w:val="18"/>
        </w:rPr>
        <w:t>Mojo</w:t>
      </w:r>
      <w:proofErr w:type="spellEnd"/>
      <w:r w:rsidRPr="00E3525E">
        <w:rPr>
          <w:szCs w:val="18"/>
        </w:rPr>
        <w:t xml:space="preserve"> </w:t>
      </w:r>
      <w:proofErr w:type="spellStart"/>
      <w:r w:rsidRPr="00E3525E">
        <w:rPr>
          <w:szCs w:val="18"/>
        </w:rPr>
        <w:t>Concerts</w:t>
      </w:r>
      <w:proofErr w:type="spellEnd"/>
      <w:r w:rsidRPr="00E3525E">
        <w:rPr>
          <w:szCs w:val="18"/>
        </w:rPr>
        <w:t xml:space="preserve">. Dat neemt niet weg dat de marktstructuur en concurrentiedruk in Nederland en Europa anders is dan in de Verenigde Staten. </w:t>
      </w:r>
    </w:p>
    <w:p w:rsidRPr="00E3525E" w:rsidR="00ED08A1" w:rsidP="00ED08A1" w:rsidRDefault="00ED08A1" w14:paraId="00B53754" w14:textId="77777777">
      <w:pPr>
        <w:rPr>
          <w:szCs w:val="18"/>
        </w:rPr>
      </w:pPr>
    </w:p>
    <w:p w:rsidRPr="00E3525E" w:rsidR="00ED08A1" w:rsidP="00ED08A1" w:rsidRDefault="00ED08A1" w14:paraId="43183A94" w14:textId="77777777">
      <w:pPr>
        <w:rPr>
          <w:szCs w:val="18"/>
        </w:rPr>
      </w:pPr>
      <w:r w:rsidRPr="00E3525E">
        <w:rPr>
          <w:szCs w:val="18"/>
        </w:rPr>
        <w:t>Er zijn in Nederland bijvoorbeeld ook andere partijen actief die toegangskaarten voor concerten, festivals en andere evenementen verkopen, evenementen initiëren en promotie verzorgen. Zalen, poppodia en festivals in Nederland kunnen daarmee in beginsel kiezen uit verschillende bedrijven die namens de organisatie de kaartverkoop verzorgen. Daarnaast kent Nederland een andere opzet van het podia- en zaalaanbod, met een sterke inbedding in het lokale en regionale cultuuraanbod. De conclusies in de Amerikaanse rechtszaak zijn dan ook niet één-op-één toepasbaar op de situatie in Nederland.</w:t>
      </w:r>
    </w:p>
    <w:p w:rsidRPr="00E3525E" w:rsidR="00ED08A1" w:rsidP="00ED08A1" w:rsidRDefault="00ED08A1" w14:paraId="138C07ED" w14:textId="77777777">
      <w:pPr>
        <w:rPr>
          <w:szCs w:val="18"/>
        </w:rPr>
      </w:pPr>
    </w:p>
    <w:p w:rsidR="00ED08A1" w:rsidP="00ED08A1" w:rsidRDefault="00ED08A1" w14:paraId="7E18CAF6" w14:textId="77777777">
      <w:pPr>
        <w:rPr>
          <w:szCs w:val="18"/>
        </w:rPr>
      </w:pPr>
      <w:r w:rsidRPr="00E3525E">
        <w:rPr>
          <w:szCs w:val="18"/>
        </w:rPr>
        <w:lastRenderedPageBreak/>
        <w:t>3</w:t>
      </w:r>
    </w:p>
    <w:p w:rsidRPr="00E3525E" w:rsidR="00ED08A1" w:rsidP="00ED08A1" w:rsidRDefault="00ED08A1" w14:paraId="182F4498" w14:textId="77777777">
      <w:pPr>
        <w:rPr>
          <w:szCs w:val="18"/>
        </w:rPr>
      </w:pPr>
      <w:r w:rsidRPr="00E3525E">
        <w:rPr>
          <w:szCs w:val="18"/>
        </w:rPr>
        <w:t xml:space="preserve">Krijgt u signalen van consumenten, kleinere zalen en onafhankelijke promotors over prijzen, service </w:t>
      </w:r>
      <w:proofErr w:type="spellStart"/>
      <w:r w:rsidRPr="00E3525E">
        <w:rPr>
          <w:szCs w:val="18"/>
        </w:rPr>
        <w:t>fees</w:t>
      </w:r>
      <w:proofErr w:type="spellEnd"/>
      <w:r w:rsidRPr="00E3525E">
        <w:rPr>
          <w:szCs w:val="18"/>
        </w:rPr>
        <w:t xml:space="preserve"> en voorwaarden bij Ticketmaster? </w:t>
      </w:r>
    </w:p>
    <w:p w:rsidR="00ED08A1" w:rsidP="00ED08A1" w:rsidRDefault="00ED08A1" w14:paraId="68672D32" w14:textId="77777777">
      <w:pPr>
        <w:rPr>
          <w:szCs w:val="18"/>
        </w:rPr>
      </w:pPr>
    </w:p>
    <w:p w:rsidRPr="00E3525E" w:rsidR="00ED08A1" w:rsidP="00ED08A1" w:rsidRDefault="00ED08A1" w14:paraId="593DB6EC" w14:textId="77777777">
      <w:pPr>
        <w:rPr>
          <w:szCs w:val="18"/>
        </w:rPr>
      </w:pPr>
      <w:r>
        <w:rPr>
          <w:szCs w:val="18"/>
        </w:rPr>
        <w:t>Antwoord</w:t>
      </w:r>
    </w:p>
    <w:p w:rsidRPr="00E3525E" w:rsidR="00ED08A1" w:rsidP="00ED08A1" w:rsidRDefault="00ED08A1" w14:paraId="2F9F5AD2" w14:textId="77777777">
      <w:pPr>
        <w:rPr>
          <w:szCs w:val="18"/>
        </w:rPr>
      </w:pPr>
      <w:r w:rsidRPr="00E3525E">
        <w:rPr>
          <w:szCs w:val="18"/>
        </w:rPr>
        <w:t xml:space="preserve">Het kabinet is niet bekend met signalen van consumenten en kleinere zalen over prijzen, service </w:t>
      </w:r>
      <w:proofErr w:type="spellStart"/>
      <w:r w:rsidRPr="00E3525E">
        <w:rPr>
          <w:szCs w:val="18"/>
        </w:rPr>
        <w:t>fees</w:t>
      </w:r>
      <w:proofErr w:type="spellEnd"/>
      <w:r w:rsidRPr="00E3525E">
        <w:rPr>
          <w:szCs w:val="18"/>
        </w:rPr>
        <w:t xml:space="preserve"> en voorwaarden bij Ticketmaster. De Autoriteit Consument en Markt (ACM) doet in de regel geen mededelingen over signalen die zien op de naleving van de consumenten- en mededingingsregels door individuele partijen. Ten aanzien van Ticketmaster ontvangt de ACM maandelijks slechts enkele signalen over uiteenlopende onderwerpen met betrekking tot de (door)verkoop van toegangskaarten, bijvoorbeeld over het herroepingsrecht. Echter die signalen duiden niet op een achterliggend collectief consumentenprobleem.</w:t>
      </w:r>
    </w:p>
    <w:p w:rsidRPr="00E3525E" w:rsidR="00ED08A1" w:rsidP="00ED08A1" w:rsidRDefault="00ED08A1" w14:paraId="0F6BF106" w14:textId="77777777">
      <w:pPr>
        <w:rPr>
          <w:szCs w:val="18"/>
        </w:rPr>
      </w:pPr>
    </w:p>
    <w:p w:rsidRPr="00E3525E" w:rsidR="00ED08A1" w:rsidP="00ED08A1" w:rsidRDefault="00ED08A1" w14:paraId="3B0A38A4" w14:textId="77777777">
      <w:pPr>
        <w:rPr>
          <w:szCs w:val="18"/>
        </w:rPr>
      </w:pPr>
      <w:proofErr w:type="spellStart"/>
      <w:r w:rsidRPr="00E3525E">
        <w:rPr>
          <w:szCs w:val="18"/>
        </w:rPr>
        <w:t>TicketSwap</w:t>
      </w:r>
      <w:proofErr w:type="spellEnd"/>
      <w:r w:rsidRPr="00E3525E">
        <w:rPr>
          <w:szCs w:val="18"/>
        </w:rPr>
        <w:t xml:space="preserve"> heeft bij de ACM in 2023 een handhavingsverzoek ingediend, omdat Ticketmaster de doorverkoopmogelijkheden van mobiele tickets zou beperken. De ACM heeft de gedragingen van Ticketmaster onderzocht en een aantal mededingingsrisico’s geïdentificeerd. Ticketmaster heeft aan de ACM toezeggingen gedaan om aan deze risico’s tegemoet te komen. Hiervoor verwijs ik verder naar het antwoord op vraag 6.</w:t>
      </w:r>
    </w:p>
    <w:p w:rsidRPr="00E3525E" w:rsidR="00ED08A1" w:rsidP="00ED08A1" w:rsidRDefault="00ED08A1" w14:paraId="122BADAB" w14:textId="77777777">
      <w:pPr>
        <w:rPr>
          <w:szCs w:val="18"/>
        </w:rPr>
      </w:pPr>
    </w:p>
    <w:p w:rsidR="00ED08A1" w:rsidP="00ED08A1" w:rsidRDefault="00ED08A1" w14:paraId="30B2348A" w14:textId="77777777">
      <w:pPr>
        <w:rPr>
          <w:szCs w:val="18"/>
        </w:rPr>
      </w:pPr>
      <w:r>
        <w:rPr>
          <w:szCs w:val="18"/>
        </w:rPr>
        <w:br w:type="page"/>
      </w:r>
    </w:p>
    <w:p w:rsidR="00ED08A1" w:rsidP="00ED08A1" w:rsidRDefault="00ED08A1" w14:paraId="3F966D8C" w14:textId="77777777">
      <w:pPr>
        <w:rPr>
          <w:szCs w:val="18"/>
        </w:rPr>
      </w:pPr>
      <w:r w:rsidRPr="00E3525E">
        <w:rPr>
          <w:szCs w:val="18"/>
        </w:rPr>
        <w:lastRenderedPageBreak/>
        <w:t>4</w:t>
      </w:r>
    </w:p>
    <w:p w:rsidRPr="00E3525E" w:rsidR="00ED08A1" w:rsidP="00ED08A1" w:rsidRDefault="00ED08A1" w14:paraId="08F55E6B" w14:textId="77777777">
      <w:pPr>
        <w:rPr>
          <w:szCs w:val="18"/>
        </w:rPr>
      </w:pPr>
      <w:r w:rsidRPr="00E3525E">
        <w:rPr>
          <w:szCs w:val="18"/>
        </w:rPr>
        <w:t xml:space="preserve">Bent u bereid de New </w:t>
      </w:r>
      <w:proofErr w:type="spellStart"/>
      <w:r w:rsidRPr="00E3525E">
        <w:rPr>
          <w:szCs w:val="18"/>
        </w:rPr>
        <w:t>Competition</w:t>
      </w:r>
      <w:proofErr w:type="spellEnd"/>
      <w:r w:rsidRPr="00E3525E">
        <w:rPr>
          <w:szCs w:val="18"/>
        </w:rPr>
        <w:t xml:space="preserve"> Tool zo vorm te geven dat deze ook kan worden ingezet tegen structurele marktmacht in verticaal geïntegreerde markten zoals </w:t>
      </w:r>
      <w:proofErr w:type="spellStart"/>
      <w:r w:rsidRPr="00E3525E">
        <w:rPr>
          <w:szCs w:val="18"/>
        </w:rPr>
        <w:t>ticketing</w:t>
      </w:r>
      <w:proofErr w:type="spellEnd"/>
      <w:r w:rsidRPr="00E3525E">
        <w:rPr>
          <w:szCs w:val="18"/>
        </w:rPr>
        <w:t xml:space="preserve">, zonder dat er een recente fusie nodig is? </w:t>
      </w:r>
    </w:p>
    <w:p w:rsidR="00ED08A1" w:rsidP="00ED08A1" w:rsidRDefault="00ED08A1" w14:paraId="4833D815" w14:textId="77777777">
      <w:pPr>
        <w:rPr>
          <w:szCs w:val="18"/>
        </w:rPr>
      </w:pPr>
    </w:p>
    <w:p w:rsidRPr="00E3525E" w:rsidR="00ED08A1" w:rsidP="00ED08A1" w:rsidRDefault="00ED08A1" w14:paraId="07F573BA" w14:textId="77777777">
      <w:pPr>
        <w:rPr>
          <w:szCs w:val="18"/>
        </w:rPr>
      </w:pPr>
      <w:r>
        <w:rPr>
          <w:szCs w:val="18"/>
        </w:rPr>
        <w:t>Antwoord</w:t>
      </w:r>
    </w:p>
    <w:p w:rsidRPr="00E3525E" w:rsidR="00ED08A1" w:rsidP="00ED08A1" w:rsidRDefault="00ED08A1" w14:paraId="6E654EBB" w14:textId="77777777">
      <w:pPr>
        <w:rPr>
          <w:szCs w:val="18"/>
        </w:rPr>
      </w:pPr>
      <w:r w:rsidRPr="00E3525E">
        <w:rPr>
          <w:szCs w:val="18"/>
        </w:rPr>
        <w:t xml:space="preserve">Het doel van een nieuwe marktremediebevoegdheid (MRB; oftewel: New </w:t>
      </w:r>
      <w:proofErr w:type="spellStart"/>
      <w:r w:rsidRPr="00E3525E">
        <w:rPr>
          <w:szCs w:val="18"/>
        </w:rPr>
        <w:t>Competition</w:t>
      </w:r>
      <w:proofErr w:type="spellEnd"/>
      <w:r w:rsidRPr="00E3525E">
        <w:rPr>
          <w:szCs w:val="18"/>
        </w:rPr>
        <w:t xml:space="preserve"> Tool) voor de ACM is dat hiermee structurele concurrentieverstoringen in markten </w:t>
      </w:r>
      <w:proofErr w:type="spellStart"/>
      <w:r w:rsidRPr="00E3525E">
        <w:rPr>
          <w:szCs w:val="18"/>
        </w:rPr>
        <w:t>gerichtkunnen</w:t>
      </w:r>
      <w:proofErr w:type="spellEnd"/>
      <w:r w:rsidRPr="00E3525E">
        <w:rPr>
          <w:szCs w:val="18"/>
        </w:rPr>
        <w:t xml:space="preserve"> worden geadresseerd. Uitgangspunt bij de verdere vormgeving van deze bevoegdheid is dat concurrentieverstoringen als gevolg van toegenomen marktconcentraties of marktmacht onder de reikwijdte kunnen vallen. Gedacht moet worden aan concurrentieverstoringen waarbij geen sprake is van een overtreding van de Mededingingswet. </w:t>
      </w:r>
    </w:p>
    <w:p w:rsidRPr="00E3525E" w:rsidR="00ED08A1" w:rsidP="00ED08A1" w:rsidRDefault="00ED08A1" w14:paraId="3F8A438F" w14:textId="77777777">
      <w:pPr>
        <w:rPr>
          <w:szCs w:val="18"/>
        </w:rPr>
      </w:pPr>
    </w:p>
    <w:p w:rsidRPr="00E3525E" w:rsidR="00ED08A1" w:rsidP="00ED08A1" w:rsidRDefault="00ED08A1" w14:paraId="364EA6E2" w14:textId="77777777">
      <w:pPr>
        <w:rPr>
          <w:szCs w:val="18"/>
        </w:rPr>
      </w:pPr>
      <w:r w:rsidRPr="00E3525E">
        <w:rPr>
          <w:szCs w:val="18"/>
        </w:rPr>
        <w:t xml:space="preserve">Met een MRB kan de ACM gericht onderzoek doen naar dergelijke concurrentieverstoringen en tijdelijke maatregelen (remedies) opleggen of aan de wetgever adviseren die specifiek gericht zijn op het geconstateerde </w:t>
      </w:r>
      <w:proofErr w:type="spellStart"/>
      <w:r w:rsidRPr="00E3525E">
        <w:rPr>
          <w:szCs w:val="18"/>
        </w:rPr>
        <w:t>marktfalen</w:t>
      </w:r>
      <w:proofErr w:type="spellEnd"/>
      <w:r w:rsidRPr="00E3525E">
        <w:rPr>
          <w:szCs w:val="18"/>
        </w:rPr>
        <w:t xml:space="preserve">. Indien concurrentieverstoringen in de </w:t>
      </w:r>
      <w:proofErr w:type="spellStart"/>
      <w:r w:rsidRPr="00E3525E">
        <w:rPr>
          <w:szCs w:val="18"/>
        </w:rPr>
        <w:t>ticketing</w:t>
      </w:r>
      <w:proofErr w:type="spellEnd"/>
      <w:r w:rsidRPr="00E3525E">
        <w:rPr>
          <w:szCs w:val="18"/>
        </w:rPr>
        <w:t xml:space="preserve"> markt worden geconstateerd, kan de MRB worden ingezet om maatregelen te nemen in deze markt. Hiervoor is een recente fusie geen vereiste.</w:t>
      </w:r>
    </w:p>
    <w:p w:rsidRPr="00E3525E" w:rsidR="00ED08A1" w:rsidP="00ED08A1" w:rsidRDefault="00ED08A1" w14:paraId="0264EF17" w14:textId="77777777">
      <w:pPr>
        <w:rPr>
          <w:szCs w:val="18"/>
        </w:rPr>
      </w:pPr>
    </w:p>
    <w:p w:rsidR="00ED08A1" w:rsidP="00ED08A1" w:rsidRDefault="00ED08A1" w14:paraId="753507AA" w14:textId="77777777">
      <w:pPr>
        <w:rPr>
          <w:szCs w:val="18"/>
        </w:rPr>
      </w:pPr>
      <w:r w:rsidRPr="00E3525E">
        <w:rPr>
          <w:szCs w:val="18"/>
        </w:rPr>
        <w:t>5</w:t>
      </w:r>
    </w:p>
    <w:p w:rsidRPr="00E3525E" w:rsidR="00ED08A1" w:rsidP="00ED08A1" w:rsidRDefault="00ED08A1" w14:paraId="0E73FB73" w14:textId="77777777">
      <w:pPr>
        <w:rPr>
          <w:szCs w:val="18"/>
        </w:rPr>
      </w:pPr>
      <w:r w:rsidRPr="00E3525E">
        <w:rPr>
          <w:szCs w:val="18"/>
        </w:rPr>
        <w:t xml:space="preserve">Wat vindt u van </w:t>
      </w:r>
      <w:proofErr w:type="spellStart"/>
      <w:r w:rsidRPr="00E3525E">
        <w:rPr>
          <w:szCs w:val="18"/>
        </w:rPr>
        <w:t>dynamic</w:t>
      </w:r>
      <w:proofErr w:type="spellEnd"/>
      <w:r w:rsidRPr="00E3525E">
        <w:rPr>
          <w:szCs w:val="18"/>
        </w:rPr>
        <w:t xml:space="preserve"> pricing en service </w:t>
      </w:r>
      <w:proofErr w:type="spellStart"/>
      <w:r w:rsidRPr="00E3525E">
        <w:rPr>
          <w:szCs w:val="18"/>
        </w:rPr>
        <w:t>fees</w:t>
      </w:r>
      <w:proofErr w:type="spellEnd"/>
      <w:r w:rsidRPr="00E3525E">
        <w:rPr>
          <w:szCs w:val="18"/>
        </w:rPr>
        <w:t xml:space="preserve"> die pas aan het einde van het bestelproces zichtbaar worden? Zijn de huidige consumentenregels hier toereikend, en worden ze in de praktijk nageleefd? </w:t>
      </w:r>
    </w:p>
    <w:p w:rsidR="00ED08A1" w:rsidP="00ED08A1" w:rsidRDefault="00ED08A1" w14:paraId="12822A8B" w14:textId="77777777">
      <w:pPr>
        <w:rPr>
          <w:szCs w:val="18"/>
        </w:rPr>
      </w:pPr>
    </w:p>
    <w:p w:rsidRPr="00E3525E" w:rsidR="00ED08A1" w:rsidP="00ED08A1" w:rsidRDefault="00ED08A1" w14:paraId="26A6E014" w14:textId="77777777">
      <w:pPr>
        <w:rPr>
          <w:szCs w:val="18"/>
        </w:rPr>
      </w:pPr>
      <w:r>
        <w:rPr>
          <w:szCs w:val="18"/>
        </w:rPr>
        <w:t>Antwoord</w:t>
      </w:r>
    </w:p>
    <w:p w:rsidRPr="00E3525E" w:rsidR="00ED08A1" w:rsidP="00ED08A1" w:rsidRDefault="00ED08A1" w14:paraId="6AEF20FA" w14:textId="77777777">
      <w:pPr>
        <w:rPr>
          <w:szCs w:val="18"/>
        </w:rPr>
      </w:pPr>
      <w:r w:rsidRPr="00E3525E">
        <w:rPr>
          <w:szCs w:val="18"/>
        </w:rPr>
        <w:t>Een verkoopprijs moet onder het consumentrecht aan het begin van het bestelproces reeds worden vermeld inclusief onvermijdbare bijkomende kosten zoals servicekosten. Als de onvermijdbare bijkomende kosten vast zijn, moeten ze in de verkoopprijs zijn verwerkt. Als de onvermijdbare bijkomende kosten variabel zijn, dan moeten ze bij de verkoopprijs worden vermeld.</w:t>
      </w:r>
    </w:p>
    <w:p w:rsidRPr="00E3525E" w:rsidR="00ED08A1" w:rsidP="00ED08A1" w:rsidRDefault="00ED08A1" w14:paraId="72D0FC1F" w14:textId="77777777">
      <w:pPr>
        <w:rPr>
          <w:szCs w:val="18"/>
        </w:rPr>
      </w:pPr>
    </w:p>
    <w:p w:rsidRPr="00E3525E" w:rsidR="00ED08A1" w:rsidP="00ED08A1" w:rsidRDefault="00ED08A1" w14:paraId="56652147" w14:textId="77777777">
      <w:pPr>
        <w:rPr>
          <w:szCs w:val="18"/>
        </w:rPr>
      </w:pPr>
      <w:r w:rsidRPr="00E3525E">
        <w:rPr>
          <w:szCs w:val="18"/>
        </w:rPr>
        <w:t xml:space="preserve">Dynamische </w:t>
      </w:r>
      <w:proofErr w:type="spellStart"/>
      <w:r w:rsidRPr="00E3525E">
        <w:rPr>
          <w:szCs w:val="18"/>
        </w:rPr>
        <w:t>beprijzing</w:t>
      </w:r>
      <w:proofErr w:type="spellEnd"/>
      <w:r w:rsidRPr="00E3525E">
        <w:rPr>
          <w:szCs w:val="18"/>
        </w:rPr>
        <w:t>, waarbij de ticketprijs fluctueert, is in opkomst bij de verkoop van toegangskaarten. In andere markten, zoals bij hotels, vliegtickets en taxi’s is dit al langer gebruikelijk.</w:t>
      </w:r>
      <w:r w:rsidRPr="00E3525E">
        <w:rPr>
          <w:szCs w:val="18"/>
          <w:vertAlign w:val="superscript"/>
        </w:rPr>
        <w:footnoteReference w:id="1"/>
      </w:r>
      <w:r w:rsidRPr="00E3525E">
        <w:rPr>
          <w:szCs w:val="18"/>
        </w:rPr>
        <w:t xml:space="preserve"> Het is primair aan organisatoren en artiesten om hier bij de </w:t>
      </w:r>
      <w:r w:rsidRPr="00E3525E">
        <w:rPr>
          <w:szCs w:val="18"/>
        </w:rPr>
        <w:lastRenderedPageBreak/>
        <w:t xml:space="preserve">verkoop van toegangskaarten zelf afwegingen in te maken. In het kader van de aankomende Digital </w:t>
      </w:r>
      <w:proofErr w:type="spellStart"/>
      <w:r w:rsidRPr="00E3525E">
        <w:rPr>
          <w:szCs w:val="18"/>
        </w:rPr>
        <w:t>Fairness</w:t>
      </w:r>
      <w:proofErr w:type="spellEnd"/>
      <w:r w:rsidRPr="00E3525E">
        <w:rPr>
          <w:szCs w:val="18"/>
        </w:rPr>
        <w:t xml:space="preserve"> Act wordt door de Europese Commissie een maatregel overwogen rondom dynamische </w:t>
      </w:r>
      <w:proofErr w:type="spellStart"/>
      <w:r w:rsidRPr="00E3525E">
        <w:rPr>
          <w:szCs w:val="18"/>
        </w:rPr>
        <w:t>beprijzing</w:t>
      </w:r>
      <w:proofErr w:type="spellEnd"/>
      <w:r w:rsidRPr="00E3525E">
        <w:rPr>
          <w:szCs w:val="18"/>
        </w:rPr>
        <w:t xml:space="preserve"> van tickets. Op basis van deze mogelijke maatregel zouden ticketverkopers verplicht kunnen worden om transparant te zijn over hoeveel tickets er beschikbaar zijn voor de startprijs en/of de huidige prijs weer te geven op het moment dat consumenten in de virtuele wachtrij staan. Ik sta positief tegenover deze mogelijke maatregel. Het voorstel van de Europese Commissie voor de Digital </w:t>
      </w:r>
      <w:proofErr w:type="spellStart"/>
      <w:r w:rsidRPr="00E3525E">
        <w:rPr>
          <w:szCs w:val="18"/>
        </w:rPr>
        <w:t>Fairness</w:t>
      </w:r>
      <w:proofErr w:type="spellEnd"/>
      <w:r w:rsidRPr="00E3525E">
        <w:rPr>
          <w:szCs w:val="18"/>
        </w:rPr>
        <w:t xml:space="preserve"> Act wordt in Q4 van dit jaar verwacht.</w:t>
      </w:r>
    </w:p>
    <w:p w:rsidRPr="00E3525E" w:rsidR="00ED08A1" w:rsidP="00ED08A1" w:rsidRDefault="00ED08A1" w14:paraId="00BA8FEA" w14:textId="77777777">
      <w:pPr>
        <w:rPr>
          <w:szCs w:val="18"/>
        </w:rPr>
      </w:pPr>
    </w:p>
    <w:p w:rsidR="00ED08A1" w:rsidP="00ED08A1" w:rsidRDefault="00ED08A1" w14:paraId="102FC5CC" w14:textId="77777777">
      <w:pPr>
        <w:rPr>
          <w:szCs w:val="18"/>
        </w:rPr>
      </w:pPr>
      <w:r>
        <w:rPr>
          <w:szCs w:val="18"/>
        </w:rPr>
        <w:br w:type="page"/>
      </w:r>
    </w:p>
    <w:p w:rsidR="00ED08A1" w:rsidP="00ED08A1" w:rsidRDefault="00ED08A1" w14:paraId="13C3E906" w14:textId="77777777">
      <w:pPr>
        <w:rPr>
          <w:szCs w:val="18"/>
        </w:rPr>
      </w:pPr>
      <w:r w:rsidRPr="00E3525E">
        <w:rPr>
          <w:szCs w:val="18"/>
        </w:rPr>
        <w:lastRenderedPageBreak/>
        <w:t>6</w:t>
      </w:r>
    </w:p>
    <w:p w:rsidRPr="00E3525E" w:rsidR="00ED08A1" w:rsidP="00ED08A1" w:rsidRDefault="00ED08A1" w14:paraId="5DCF35DA" w14:textId="77777777">
      <w:pPr>
        <w:rPr>
          <w:szCs w:val="18"/>
        </w:rPr>
      </w:pPr>
      <w:r w:rsidRPr="00E3525E">
        <w:rPr>
          <w:szCs w:val="18"/>
        </w:rPr>
        <w:t xml:space="preserve">Welke bestaande bevoegdheden – artikel 24 Mededingingswet, (Europese) mededingings- en consumentenregels – kunt u nu al inzetten, vooruitlopend op nieuwe wetgeving? </w:t>
      </w:r>
    </w:p>
    <w:p w:rsidR="00ED08A1" w:rsidP="00ED08A1" w:rsidRDefault="00ED08A1" w14:paraId="7151C3E5" w14:textId="77777777">
      <w:pPr>
        <w:rPr>
          <w:szCs w:val="18"/>
        </w:rPr>
      </w:pPr>
    </w:p>
    <w:p w:rsidRPr="00E3525E" w:rsidR="00ED08A1" w:rsidP="00ED08A1" w:rsidRDefault="00ED08A1" w14:paraId="68D52CAA" w14:textId="77777777">
      <w:pPr>
        <w:rPr>
          <w:szCs w:val="18"/>
        </w:rPr>
      </w:pPr>
      <w:r>
        <w:rPr>
          <w:szCs w:val="18"/>
        </w:rPr>
        <w:t>Antwoord</w:t>
      </w:r>
    </w:p>
    <w:p w:rsidRPr="00E3525E" w:rsidR="00ED08A1" w:rsidP="00ED08A1" w:rsidRDefault="00ED08A1" w14:paraId="551F54FE" w14:textId="77777777">
      <w:pPr>
        <w:rPr>
          <w:szCs w:val="18"/>
        </w:rPr>
      </w:pPr>
      <w:r w:rsidRPr="00E3525E">
        <w:rPr>
          <w:szCs w:val="18"/>
        </w:rPr>
        <w:t xml:space="preserve">De Autoriteit Consument en Markt (ACM) kan op grond van haar bestaande bevoegdheden onderzoek doen en handhavend optreden als sprake is van een overtreding van de mededingings- of consumentenregels. Zo kan de ACM besluiten tot een onderzoek naar misbruik van een economische machtspositie. ACM is hierin onafhankelijk en bepaalt haar eigen prioriteiten. </w:t>
      </w:r>
    </w:p>
    <w:p w:rsidRPr="00E3525E" w:rsidR="00ED08A1" w:rsidP="00ED08A1" w:rsidRDefault="00ED08A1" w14:paraId="2E0C68F2" w14:textId="77777777">
      <w:pPr>
        <w:rPr>
          <w:szCs w:val="18"/>
        </w:rPr>
      </w:pPr>
    </w:p>
    <w:p w:rsidRPr="00E3525E" w:rsidR="00ED08A1" w:rsidP="00ED08A1" w:rsidRDefault="00ED08A1" w14:paraId="2D22C922" w14:textId="77777777">
      <w:pPr>
        <w:rPr>
          <w:szCs w:val="18"/>
        </w:rPr>
      </w:pPr>
      <w:r w:rsidRPr="00E3525E">
        <w:rPr>
          <w:szCs w:val="18"/>
        </w:rPr>
        <w:t>In 2024 heeft de ACM een toezeggingsbesluit genomen over Ticketmaster om mededingingsrisico’s weg te nemen bij de doorverkoop van tickets. De ACM had onderzoek gedaan naar de voorwaarden van Ticketmaster bij de doorverkoop van mobiele tickets. Ticketmaster heeft in dat kader toegezegd dat consumenten die hun mobiele Ticketmaster-tickets willen doorverkopen dat kunnen blijven doen buiten het platform van Ticketmaster. Onlangs heeft de Rechtbank Rotterdam naar aanleiding van een handhavingsverzoek van het bedrijf Ticketswap besloten om het besluit van de ACM volledig in stand te laten.</w:t>
      </w:r>
      <w:r w:rsidRPr="00E3525E">
        <w:rPr>
          <w:szCs w:val="18"/>
          <w:vertAlign w:val="superscript"/>
        </w:rPr>
        <w:footnoteReference w:id="2"/>
      </w:r>
      <w:r w:rsidRPr="00E3525E">
        <w:rPr>
          <w:szCs w:val="18"/>
        </w:rPr>
        <w:t xml:space="preserve"> </w:t>
      </w:r>
    </w:p>
    <w:p w:rsidRPr="00E3525E" w:rsidR="00ED08A1" w:rsidP="00ED08A1" w:rsidRDefault="00ED08A1" w14:paraId="2A8AE030" w14:textId="77777777">
      <w:pPr>
        <w:rPr>
          <w:szCs w:val="18"/>
        </w:rPr>
      </w:pPr>
    </w:p>
    <w:p w:rsidRPr="00E3525E" w:rsidR="00ED08A1" w:rsidP="00ED08A1" w:rsidRDefault="00ED08A1" w14:paraId="2CC76C2D" w14:textId="77777777">
      <w:pPr>
        <w:rPr>
          <w:szCs w:val="18"/>
        </w:rPr>
      </w:pPr>
      <w:r w:rsidRPr="00E3525E">
        <w:rPr>
          <w:szCs w:val="18"/>
        </w:rPr>
        <w:t>Op dit moment zie ik zelf geen reden tot aanvullend (wetgevend) ingrijpen in de markt voor ticketing.</w:t>
      </w:r>
    </w:p>
    <w:p w:rsidRPr="00E3525E" w:rsidR="00ED08A1" w:rsidP="00ED08A1" w:rsidRDefault="00ED08A1" w14:paraId="798DD2E9" w14:textId="77777777">
      <w:pPr>
        <w:rPr>
          <w:szCs w:val="18"/>
        </w:rPr>
      </w:pPr>
    </w:p>
    <w:p w:rsidR="00ED08A1" w:rsidP="00ED08A1" w:rsidRDefault="00ED08A1" w14:paraId="50E1294F" w14:textId="77777777">
      <w:pPr>
        <w:rPr>
          <w:szCs w:val="18"/>
        </w:rPr>
      </w:pPr>
      <w:r w:rsidRPr="00E3525E">
        <w:rPr>
          <w:szCs w:val="18"/>
        </w:rPr>
        <w:t>7</w:t>
      </w:r>
    </w:p>
    <w:p w:rsidRPr="00E3525E" w:rsidR="00ED08A1" w:rsidP="00ED08A1" w:rsidRDefault="00ED08A1" w14:paraId="68FA8E7E" w14:textId="77777777">
      <w:pPr>
        <w:rPr>
          <w:szCs w:val="18"/>
        </w:rPr>
      </w:pPr>
      <w:r w:rsidRPr="00E3525E">
        <w:rPr>
          <w:szCs w:val="18"/>
        </w:rPr>
        <w:t xml:space="preserve">Zet u zich in Brussel in voor een Europese aanpak van marktmacht in de </w:t>
      </w:r>
      <w:proofErr w:type="spellStart"/>
      <w:r w:rsidRPr="00E3525E">
        <w:rPr>
          <w:szCs w:val="18"/>
        </w:rPr>
        <w:t>ticketingsector</w:t>
      </w:r>
      <w:proofErr w:type="spellEnd"/>
      <w:r w:rsidRPr="00E3525E">
        <w:rPr>
          <w:szCs w:val="18"/>
        </w:rPr>
        <w:t xml:space="preserve">? </w:t>
      </w:r>
    </w:p>
    <w:p w:rsidR="00ED08A1" w:rsidP="00ED08A1" w:rsidRDefault="00ED08A1" w14:paraId="6F396CF5" w14:textId="77777777">
      <w:pPr>
        <w:rPr>
          <w:szCs w:val="18"/>
        </w:rPr>
      </w:pPr>
    </w:p>
    <w:p w:rsidRPr="00E3525E" w:rsidR="00ED08A1" w:rsidP="00ED08A1" w:rsidRDefault="00ED08A1" w14:paraId="0915F682" w14:textId="77777777">
      <w:pPr>
        <w:rPr>
          <w:szCs w:val="18"/>
        </w:rPr>
      </w:pPr>
      <w:r>
        <w:rPr>
          <w:szCs w:val="18"/>
        </w:rPr>
        <w:t>Antwoord</w:t>
      </w:r>
    </w:p>
    <w:p w:rsidRPr="00E3525E" w:rsidR="00ED08A1" w:rsidP="00ED08A1" w:rsidRDefault="00ED08A1" w14:paraId="2A9E8450" w14:textId="77777777">
      <w:pPr>
        <w:rPr>
          <w:szCs w:val="18"/>
        </w:rPr>
      </w:pPr>
      <w:r w:rsidRPr="00E3525E">
        <w:rPr>
          <w:szCs w:val="18"/>
        </w:rPr>
        <w:t xml:space="preserve">De Europese mededingingsregels bieden in beginsel een afdoende kader om misbruik van marktmacht op Europees niveau tegen te gaan. Voor wat betreft de problematiek rond woekerhandel bij de (door)verkoop van tickets heeft het kabinet </w:t>
      </w:r>
      <w:r w:rsidRPr="00E3525E">
        <w:rPr>
          <w:szCs w:val="18"/>
        </w:rPr>
        <w:lastRenderedPageBreak/>
        <w:t xml:space="preserve">in 2025 aangegeven eventuele toekomstige Europese initiatieven voor een effectieve aanpak voor de gehele EU te zullen steunen. </w:t>
      </w:r>
    </w:p>
    <w:p w:rsidRPr="00E3525E" w:rsidR="00ED08A1" w:rsidP="00ED08A1" w:rsidRDefault="00ED08A1" w14:paraId="1E46B58D" w14:textId="77777777">
      <w:pPr>
        <w:rPr>
          <w:szCs w:val="18"/>
        </w:rPr>
      </w:pPr>
    </w:p>
    <w:p w:rsidRPr="00E3525E" w:rsidR="00ED08A1" w:rsidP="00ED08A1" w:rsidRDefault="00ED08A1" w14:paraId="19AF9673" w14:textId="77777777">
      <w:pPr>
        <w:rPr>
          <w:szCs w:val="18"/>
        </w:rPr>
      </w:pPr>
      <w:r w:rsidRPr="00E3525E">
        <w:rPr>
          <w:szCs w:val="18"/>
        </w:rPr>
        <w:t xml:space="preserve">In het kader van het eerder vermelde voorstel voor een Digital </w:t>
      </w:r>
      <w:proofErr w:type="spellStart"/>
      <w:r w:rsidRPr="00E3525E">
        <w:rPr>
          <w:szCs w:val="18"/>
        </w:rPr>
        <w:t>Fairness</w:t>
      </w:r>
      <w:proofErr w:type="spellEnd"/>
      <w:r w:rsidRPr="00E3525E">
        <w:rPr>
          <w:szCs w:val="18"/>
        </w:rPr>
        <w:t xml:space="preserve"> Act (verwacht in Q4 2026) wordt door de Europese Commissie een maatregel overwogen op basis waarvan professionele doorverkoop van tickets voor winst verboden zou worden. Nederland heeft aangegeven een positieve grondhouding te hebben ten aanzien van deze beleidsoptie en aandacht gevraagd de handhaafbaarheid hiervan. Sommige partijen die tickets professioneel doorverkopen zijn namelijk buiten de EU gevestigd.</w:t>
      </w:r>
    </w:p>
    <w:p w:rsidRPr="00E3525E" w:rsidR="00ED08A1" w:rsidP="00ED08A1" w:rsidRDefault="00ED08A1" w14:paraId="002B8469" w14:textId="77777777">
      <w:pPr>
        <w:rPr>
          <w:szCs w:val="18"/>
        </w:rPr>
      </w:pPr>
    </w:p>
    <w:p w:rsidR="00ED08A1" w:rsidP="00ED08A1" w:rsidRDefault="00ED08A1" w14:paraId="20836053" w14:textId="77777777">
      <w:pPr>
        <w:rPr>
          <w:szCs w:val="18"/>
        </w:rPr>
      </w:pPr>
      <w:r w:rsidRPr="00E3525E">
        <w:rPr>
          <w:szCs w:val="18"/>
        </w:rPr>
        <w:t>8</w:t>
      </w:r>
    </w:p>
    <w:p w:rsidRPr="00E3525E" w:rsidR="00ED08A1" w:rsidP="00ED08A1" w:rsidRDefault="00ED08A1" w14:paraId="6B132220" w14:textId="77777777">
      <w:pPr>
        <w:rPr>
          <w:szCs w:val="18"/>
        </w:rPr>
      </w:pPr>
      <w:r w:rsidRPr="00E3525E">
        <w:rPr>
          <w:szCs w:val="18"/>
        </w:rPr>
        <w:t xml:space="preserve">Kunt u de Kamer vóór het zomerreces informeren over de voortgang van de call-in bevoegdheid en NCT, gesprekken met de ACM over </w:t>
      </w:r>
      <w:proofErr w:type="spellStart"/>
      <w:r w:rsidRPr="00E3525E">
        <w:rPr>
          <w:szCs w:val="18"/>
        </w:rPr>
        <w:t>ticketing</w:t>
      </w:r>
      <w:proofErr w:type="spellEnd"/>
      <w:r w:rsidRPr="00E3525E">
        <w:rPr>
          <w:szCs w:val="18"/>
        </w:rPr>
        <w:t>, en de Nederlandse inzet in Europa?</w:t>
      </w:r>
    </w:p>
    <w:p w:rsidR="00ED08A1" w:rsidP="00ED08A1" w:rsidRDefault="00ED08A1" w14:paraId="581102E9" w14:textId="77777777">
      <w:pPr>
        <w:rPr>
          <w:szCs w:val="18"/>
        </w:rPr>
      </w:pPr>
    </w:p>
    <w:p w:rsidRPr="00E3525E" w:rsidR="00ED08A1" w:rsidP="00ED08A1" w:rsidRDefault="00ED08A1" w14:paraId="1FA98408" w14:textId="77777777">
      <w:pPr>
        <w:rPr>
          <w:szCs w:val="18"/>
        </w:rPr>
      </w:pPr>
      <w:r>
        <w:rPr>
          <w:szCs w:val="18"/>
        </w:rPr>
        <w:t>Antwoord</w:t>
      </w:r>
    </w:p>
    <w:p w:rsidRPr="00E3525E" w:rsidR="00ED08A1" w:rsidP="00ED08A1" w:rsidRDefault="00ED08A1" w14:paraId="453AE326" w14:textId="77777777">
      <w:pPr>
        <w:rPr>
          <w:szCs w:val="18"/>
        </w:rPr>
      </w:pPr>
      <w:r w:rsidRPr="00E3525E">
        <w:rPr>
          <w:szCs w:val="18"/>
        </w:rPr>
        <w:t>Voor wat betreft de Nederlandse markt voor (door)verkoop van toegangskaarten is de Kamer laatst bij brief van 27 maart 2025</w:t>
      </w:r>
      <w:r w:rsidRPr="00E3525E">
        <w:rPr>
          <w:szCs w:val="18"/>
          <w:vertAlign w:val="superscript"/>
        </w:rPr>
        <w:footnoteReference w:id="3"/>
      </w:r>
      <w:r w:rsidRPr="00E3525E">
        <w:rPr>
          <w:szCs w:val="18"/>
        </w:rPr>
        <w:t xml:space="preserve"> geïnformeerd dat uit gesprekken met ACM en stakeholders naar voren kwam dat de markt zich snel ontwikkelt en innoveert en dat daarbij geen van de belanghebbenden een verbod op doorverkoop wil. Zodra er ontwikkelingen zijn met betrekking tot </w:t>
      </w:r>
      <w:proofErr w:type="spellStart"/>
      <w:r w:rsidRPr="00E3525E">
        <w:rPr>
          <w:szCs w:val="18"/>
        </w:rPr>
        <w:t>doorverrkoop</w:t>
      </w:r>
      <w:proofErr w:type="spellEnd"/>
      <w:r w:rsidRPr="00E3525E">
        <w:rPr>
          <w:szCs w:val="18"/>
        </w:rPr>
        <w:t xml:space="preserve"> in Europa, zal ik uw Kamer daarover informeren. </w:t>
      </w:r>
    </w:p>
    <w:p w:rsidRPr="00E3525E" w:rsidR="00ED08A1" w:rsidP="00ED08A1" w:rsidRDefault="00ED08A1" w14:paraId="7F290424" w14:textId="77777777">
      <w:pPr>
        <w:rPr>
          <w:szCs w:val="18"/>
        </w:rPr>
      </w:pPr>
    </w:p>
    <w:p w:rsidRPr="00E3525E" w:rsidR="00ED08A1" w:rsidP="00ED08A1" w:rsidRDefault="00ED08A1" w14:paraId="6390C306" w14:textId="77777777">
      <w:pPr>
        <w:rPr>
          <w:szCs w:val="18"/>
        </w:rPr>
      </w:pPr>
      <w:r w:rsidRPr="00E3525E">
        <w:rPr>
          <w:szCs w:val="18"/>
        </w:rPr>
        <w:t>Momenteel werk ik aan de voorbereiding van een conceptwetsvoorstel ter invoering van een marktremediebevoegdheid. In het commissiedebat marktordening en consumentenbescherming van 19 maart jl. heb ik toegezegd om in het najaar met een internetconsultatie te willen starten en uw Kamer voorafgaand nader te informeren. Eerder vind ik gelet op de nog te maken beleidskeuzes en te melden voortgang niet opportuun.</w:t>
      </w:r>
    </w:p>
    <w:p w:rsidRPr="00E3525E" w:rsidR="00ED08A1" w:rsidP="00ED08A1" w:rsidRDefault="00ED08A1" w14:paraId="4396B763" w14:textId="77777777">
      <w:pPr>
        <w:rPr>
          <w:szCs w:val="18"/>
        </w:rPr>
      </w:pPr>
    </w:p>
    <w:p w:rsidRPr="00E3525E" w:rsidR="00ED08A1" w:rsidP="00ED08A1" w:rsidRDefault="00ED08A1" w14:paraId="080634A0" w14:textId="77777777">
      <w:r w:rsidRPr="00E3525E">
        <w:rPr>
          <w:szCs w:val="18"/>
        </w:rPr>
        <w:t xml:space="preserve">Voor de call-in bevoegdheid heeft het Kamerlid </w:t>
      </w:r>
      <w:proofErr w:type="spellStart"/>
      <w:r w:rsidRPr="00E3525E">
        <w:rPr>
          <w:szCs w:val="18"/>
        </w:rPr>
        <w:t>Bushoff</w:t>
      </w:r>
      <w:proofErr w:type="spellEnd"/>
      <w:r w:rsidRPr="00E3525E">
        <w:rPr>
          <w:szCs w:val="18"/>
        </w:rPr>
        <w:t xml:space="preserve"> (PRO) op 16 april jl. een initiatiefwetsvoorstel bij uw Kamer ingediend.</w:t>
      </w:r>
      <w:r w:rsidRPr="00E3525E">
        <w:rPr>
          <w:rStyle w:val="Voetnootmarkering"/>
          <w:szCs w:val="18"/>
        </w:rPr>
        <w:footnoteReference w:id="4"/>
      </w:r>
      <w:r w:rsidRPr="00E3525E">
        <w:rPr>
          <w:szCs w:val="18"/>
        </w:rPr>
        <w:t xml:space="preserve"> Ik heb uw Kamer aangegeven hier in beginsel positief tegenover te staan. Wanneer het initiatiefwetsvoorstel in uw Kamer wordt behandeld, zal ik daar namens het kabinet op reageren.</w:t>
      </w:r>
    </w:p>
    <w:p w:rsidR="006D756E" w:rsidRDefault="006D756E" w14:paraId="711D8190" w14:textId="77777777"/>
    <w:sectPr w:rsidR="006D756E" w:rsidSect="00ED08A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A139" w14:textId="77777777" w:rsidR="001C66A4" w:rsidRDefault="001C66A4" w:rsidP="00ED08A1">
      <w:pPr>
        <w:spacing w:after="0" w:line="240" w:lineRule="auto"/>
      </w:pPr>
      <w:r>
        <w:separator/>
      </w:r>
    </w:p>
  </w:endnote>
  <w:endnote w:type="continuationSeparator" w:id="0">
    <w:p w14:paraId="5243E4BF" w14:textId="77777777" w:rsidR="001C66A4" w:rsidRDefault="001C66A4" w:rsidP="00ED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105B" w14:textId="77777777" w:rsidR="00ED08A1" w:rsidRPr="00ED08A1" w:rsidRDefault="00ED08A1" w:rsidP="00ED08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5C60" w14:textId="77777777" w:rsidR="00ED08A1" w:rsidRPr="00ED08A1" w:rsidRDefault="00ED08A1" w:rsidP="00ED08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258D" w14:textId="77777777" w:rsidR="00ED08A1" w:rsidRPr="00ED08A1" w:rsidRDefault="00ED08A1" w:rsidP="00ED08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A1D9" w14:textId="77777777" w:rsidR="001C66A4" w:rsidRDefault="001C66A4" w:rsidP="00ED08A1">
      <w:pPr>
        <w:spacing w:after="0" w:line="240" w:lineRule="auto"/>
      </w:pPr>
      <w:r>
        <w:separator/>
      </w:r>
    </w:p>
  </w:footnote>
  <w:footnote w:type="continuationSeparator" w:id="0">
    <w:p w14:paraId="0BDAC2BF" w14:textId="77777777" w:rsidR="001C66A4" w:rsidRDefault="001C66A4" w:rsidP="00ED08A1">
      <w:pPr>
        <w:spacing w:after="0" w:line="240" w:lineRule="auto"/>
      </w:pPr>
      <w:r>
        <w:continuationSeparator/>
      </w:r>
    </w:p>
  </w:footnote>
  <w:footnote w:id="1">
    <w:p w14:paraId="23C15AA2" w14:textId="77777777" w:rsidR="00ED08A1" w:rsidRPr="009B33D5" w:rsidRDefault="00ED08A1" w:rsidP="00ED08A1">
      <w:pPr>
        <w:pStyle w:val="Voetnoottekst"/>
        <w:rPr>
          <w:szCs w:val="13"/>
        </w:rPr>
      </w:pPr>
      <w:r w:rsidRPr="009B33D5">
        <w:rPr>
          <w:rStyle w:val="Voetnootmarkering"/>
          <w:szCs w:val="13"/>
        </w:rPr>
        <w:footnoteRef/>
      </w:r>
      <w:r w:rsidRPr="009B33D5">
        <w:rPr>
          <w:szCs w:val="13"/>
        </w:rPr>
        <w:t xml:space="preserve"> Zie bijvoorbeeld: </w:t>
      </w:r>
      <w:hyperlink r:id="rId1" w:history="1">
        <w:r w:rsidRPr="009B33D5">
          <w:rPr>
            <w:szCs w:val="13"/>
          </w:rPr>
          <w:t>Marktonderzoek computergestuurde consumentenprijzen in de luchtvaartsector | ACM</w:t>
        </w:r>
      </w:hyperlink>
      <w:r w:rsidRPr="009B33D5">
        <w:rPr>
          <w:szCs w:val="13"/>
        </w:rPr>
        <w:t>.</w:t>
      </w:r>
    </w:p>
  </w:footnote>
  <w:footnote w:id="2">
    <w:p w14:paraId="4BBEBACA" w14:textId="77777777" w:rsidR="00ED08A1" w:rsidRPr="009B33D5" w:rsidRDefault="00ED08A1" w:rsidP="00ED08A1">
      <w:pPr>
        <w:pStyle w:val="Voetnoottekst"/>
        <w:rPr>
          <w:szCs w:val="13"/>
        </w:rPr>
      </w:pPr>
      <w:r w:rsidRPr="009B33D5">
        <w:rPr>
          <w:rStyle w:val="Voetnootmarkering"/>
          <w:szCs w:val="13"/>
        </w:rPr>
        <w:footnoteRef/>
      </w:r>
      <w:r w:rsidRPr="009B33D5">
        <w:rPr>
          <w:szCs w:val="13"/>
        </w:rPr>
        <w:t xml:space="preserve"> Rechtbank Rotterdam, 6 maart 2026, </w:t>
      </w:r>
      <w:hyperlink r:id="rId2" w:history="1">
        <w:r w:rsidRPr="009B33D5">
          <w:rPr>
            <w:szCs w:val="13"/>
          </w:rPr>
          <w:t>ECLI:NL:RBROT:2026:2165, ROT 25/1974</w:t>
        </w:r>
      </w:hyperlink>
      <w:r w:rsidRPr="009B33D5">
        <w:rPr>
          <w:szCs w:val="13"/>
        </w:rPr>
        <w:t>. Zie ook persbericht ACM: “Rechtbank Rotterdam laat besluit ACM over toezeggingen Ticketmaster volledig in stand”,  «</w:t>
      </w:r>
      <w:hyperlink r:id="rId3" w:history="1">
        <w:r w:rsidRPr="009B33D5">
          <w:rPr>
            <w:rStyle w:val="Hyperlink"/>
            <w:rFonts w:eastAsiaTheme="majorEastAsia"/>
            <w:szCs w:val="13"/>
          </w:rPr>
          <w:t>https://www.acm.nl/nl/publicaties/rechtbank-rotterdam-laat-besluit-acm-over-toezeggingen-ticketmaster-volledig-stand</w:t>
        </w:r>
      </w:hyperlink>
      <w:r w:rsidRPr="009B33D5">
        <w:rPr>
          <w:szCs w:val="13"/>
        </w:rPr>
        <w:t>».</w:t>
      </w:r>
    </w:p>
  </w:footnote>
  <w:footnote w:id="3">
    <w:p w14:paraId="6F10AB3A" w14:textId="77777777" w:rsidR="00ED08A1" w:rsidRPr="009B33D5" w:rsidRDefault="00ED08A1" w:rsidP="00ED08A1">
      <w:pPr>
        <w:pStyle w:val="Voetnoottekst"/>
        <w:rPr>
          <w:szCs w:val="13"/>
        </w:rPr>
      </w:pPr>
      <w:r w:rsidRPr="009B33D5">
        <w:rPr>
          <w:rStyle w:val="Voetnootmarkering"/>
          <w:szCs w:val="13"/>
        </w:rPr>
        <w:footnoteRef/>
      </w:r>
      <w:r w:rsidRPr="009B33D5">
        <w:rPr>
          <w:szCs w:val="13"/>
        </w:rPr>
        <w:t xml:space="preserve"> Kamerstuk 36600-VIII, nr. 168.</w:t>
      </w:r>
    </w:p>
  </w:footnote>
  <w:footnote w:id="4">
    <w:p w14:paraId="6D85B3B9" w14:textId="77777777" w:rsidR="00ED08A1" w:rsidRPr="009B33D5" w:rsidRDefault="00ED08A1" w:rsidP="00ED08A1">
      <w:pPr>
        <w:pStyle w:val="Voetnoottekst"/>
        <w:rPr>
          <w:szCs w:val="13"/>
        </w:rPr>
      </w:pPr>
      <w:r w:rsidRPr="009B33D5">
        <w:rPr>
          <w:rStyle w:val="Voetnootmarkering"/>
          <w:szCs w:val="13"/>
        </w:rPr>
        <w:footnoteRef/>
      </w:r>
      <w:r w:rsidRPr="009B33D5">
        <w:rPr>
          <w:szCs w:val="13"/>
        </w:rPr>
        <w:t xml:space="preserve"> Kamerstuk 36774, nr.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431B" w14:textId="77777777" w:rsidR="00ED08A1" w:rsidRPr="00ED08A1" w:rsidRDefault="00ED08A1" w:rsidP="00ED08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460D" w14:textId="77777777" w:rsidR="00ED08A1" w:rsidRPr="00ED08A1" w:rsidRDefault="00ED08A1" w:rsidP="00ED08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57CC" w14:textId="77777777" w:rsidR="00ED08A1" w:rsidRPr="00ED08A1" w:rsidRDefault="00ED08A1" w:rsidP="00ED08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A1"/>
    <w:rsid w:val="001C66A4"/>
    <w:rsid w:val="006D756E"/>
    <w:rsid w:val="00ED08A1"/>
    <w:rsid w:val="00FE3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FC70"/>
  <w15:chartTrackingRefBased/>
  <w15:docId w15:val="{5D7C5C62-E8BC-4CF7-AE44-FC76C753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8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D08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D08A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D08A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D08A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D08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8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8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8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8A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D08A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D08A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D08A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D08A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D08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8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8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8A1"/>
    <w:rPr>
      <w:rFonts w:eastAsiaTheme="majorEastAsia" w:cstheme="majorBidi"/>
      <w:color w:val="272727" w:themeColor="text1" w:themeTint="D8"/>
    </w:rPr>
  </w:style>
  <w:style w:type="paragraph" w:styleId="Titel">
    <w:name w:val="Title"/>
    <w:basedOn w:val="Standaard"/>
    <w:next w:val="Standaard"/>
    <w:link w:val="TitelChar"/>
    <w:uiPriority w:val="10"/>
    <w:qFormat/>
    <w:rsid w:val="00ED08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8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8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8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8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8A1"/>
    <w:rPr>
      <w:i/>
      <w:iCs/>
      <w:color w:val="404040" w:themeColor="text1" w:themeTint="BF"/>
    </w:rPr>
  </w:style>
  <w:style w:type="paragraph" w:styleId="Lijstalinea">
    <w:name w:val="List Paragraph"/>
    <w:basedOn w:val="Standaard"/>
    <w:uiPriority w:val="34"/>
    <w:qFormat/>
    <w:rsid w:val="00ED08A1"/>
    <w:pPr>
      <w:ind w:left="720"/>
      <w:contextualSpacing/>
    </w:pPr>
  </w:style>
  <w:style w:type="character" w:styleId="Intensievebenadrukking">
    <w:name w:val="Intense Emphasis"/>
    <w:basedOn w:val="Standaardalinea-lettertype"/>
    <w:uiPriority w:val="21"/>
    <w:qFormat/>
    <w:rsid w:val="00ED08A1"/>
    <w:rPr>
      <w:i/>
      <w:iCs/>
      <w:color w:val="2F5496" w:themeColor="accent1" w:themeShade="BF"/>
    </w:rPr>
  </w:style>
  <w:style w:type="paragraph" w:styleId="Duidelijkcitaat">
    <w:name w:val="Intense Quote"/>
    <w:basedOn w:val="Standaard"/>
    <w:next w:val="Standaard"/>
    <w:link w:val="DuidelijkcitaatChar"/>
    <w:uiPriority w:val="30"/>
    <w:qFormat/>
    <w:rsid w:val="00ED0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D08A1"/>
    <w:rPr>
      <w:i/>
      <w:iCs/>
      <w:color w:val="2F5496" w:themeColor="accent1" w:themeShade="BF"/>
    </w:rPr>
  </w:style>
  <w:style w:type="character" w:styleId="Intensieveverwijzing">
    <w:name w:val="Intense Reference"/>
    <w:basedOn w:val="Standaardalinea-lettertype"/>
    <w:uiPriority w:val="32"/>
    <w:qFormat/>
    <w:rsid w:val="00ED08A1"/>
    <w:rPr>
      <w:b/>
      <w:bCs/>
      <w:smallCaps/>
      <w:color w:val="2F5496" w:themeColor="accent1" w:themeShade="BF"/>
      <w:spacing w:val="5"/>
    </w:rPr>
  </w:style>
  <w:style w:type="paragraph" w:styleId="Koptekst">
    <w:name w:val="header"/>
    <w:basedOn w:val="Standaard"/>
    <w:link w:val="KoptekstChar"/>
    <w:rsid w:val="00ED08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D08A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D08A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D08A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D08A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D08A1"/>
    <w:rPr>
      <w:rFonts w:ascii="Verdana" w:hAnsi="Verdana"/>
      <w:noProof/>
      <w:sz w:val="13"/>
      <w:szCs w:val="24"/>
      <w:lang w:eastAsia="nl-NL"/>
    </w:rPr>
  </w:style>
  <w:style w:type="paragraph" w:customStyle="1" w:styleId="Huisstijl-Gegeven">
    <w:name w:val="Huisstijl-Gegeven"/>
    <w:basedOn w:val="Standaard"/>
    <w:link w:val="Huisstijl-GegevenCharChar"/>
    <w:rsid w:val="00ED08A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D08A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D08A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D08A1"/>
    <w:rPr>
      <w:color w:val="0000FF"/>
      <w:u w:val="single"/>
    </w:rPr>
  </w:style>
  <w:style w:type="paragraph" w:customStyle="1" w:styleId="Huisstijl-Retouradres">
    <w:name w:val="Huisstijl-Retouradres"/>
    <w:basedOn w:val="Standaard"/>
    <w:rsid w:val="00ED08A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D08A1"/>
    <w:pPr>
      <w:spacing w:after="0"/>
    </w:pPr>
    <w:rPr>
      <w:b/>
    </w:rPr>
  </w:style>
  <w:style w:type="paragraph" w:customStyle="1" w:styleId="Huisstijl-Paginanummering">
    <w:name w:val="Huisstijl-Paginanummering"/>
    <w:basedOn w:val="Standaard"/>
    <w:rsid w:val="00ED08A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D08A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D08A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D08A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D08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rechtbank-rotterdam-laat-besluit-acm-over-toezeggingen-ticketmaster-volledig-stand" TargetMode="External"/><Relationship Id="rId2" Type="http://schemas.openxmlformats.org/officeDocument/2006/relationships/hyperlink" Target="https://uitspraken.rechtspraak.nl/details?id=ECLI:NL:RBROT:2026:2165" TargetMode="External"/><Relationship Id="rId1" Type="http://schemas.openxmlformats.org/officeDocument/2006/relationships/hyperlink" Target="https://www.acm.nl/nl/publicaties/marktonderzoeken/marktonderzoek-computergestuurde-consumentenprijzen-de-luchtvaartsec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1358</ap:Words>
  <ap:Characters>7475</ap:Characters>
  <ap:DocSecurity>0</ap:DocSecurity>
  <ap:Lines>62</ap:Lines>
  <ap:Paragraphs>17</ap:Paragraphs>
  <ap:ScaleCrop>false</ap:ScaleCrop>
  <ap:LinksUpToDate>false</ap:LinksUpToDate>
  <ap:CharactersWithSpaces>8816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2026-05-26T09:29:00.0000000Z</dcterms:created>
  <dcterms:modified xsi:type="dcterms:W3CDTF">2026-05-26T09:30:00.0000000Z</dcterms:modified>
  <version/>
  <category/>
</coreProperties>
</file>