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2E2" w:rsidP="002F511D" w:rsidRDefault="007451FD" w14:paraId="4063EF10" w14:textId="4E96C6BA">
      <w:r>
        <w:t xml:space="preserve">Toegankelijke kinderopvang is van groot belang voor de Nederlandse arbeidsmarkt. Een plek op de kinderopvang stelt ouders van jonge kinderen in staat om te werken. </w:t>
      </w:r>
      <w:r w:rsidR="00B462E2">
        <w:t>Om dit te realiseren zijn er voldoende pedagogisch professionals nodig in de kinderopvang.</w:t>
      </w:r>
    </w:p>
    <w:p w:rsidR="00B462E2" w:rsidP="002F511D" w:rsidRDefault="00B462E2" w14:paraId="06A48CC1" w14:textId="77777777"/>
    <w:p w:rsidR="00FC46FE" w:rsidP="00742B3B" w:rsidRDefault="00742B3B" w14:paraId="2885D890" w14:textId="2AA079FA">
      <w:r>
        <w:t xml:space="preserve">De kinderopvang kampt sinds 2020 met een personeelstekort. </w:t>
      </w:r>
      <w:r w:rsidR="00CE3ADF">
        <w:t>Onder meer v</w:t>
      </w:r>
      <w:r>
        <w:t xml:space="preserve">anwege de krapte op de bredere arbeidsmarkt lukt het niet om alle ontstane vacatures tijdig te vullen. Hierdoor ontstaat een tekort aan opvangplekken en worden ouders geconfronteerd met lange wachttijden. </w:t>
      </w:r>
      <w:bookmarkStart w:name="_Hlk226531893" w:id="0"/>
      <w:r>
        <w:t>Vanwege het maatschappelijke belang van toegankelijke kinderopvang werkt het ministerie van SZW sinds 2020 samen met sectorpartijen aan de aanpak van het personeelstekort.</w:t>
      </w:r>
      <w:r w:rsidR="00FC46FE">
        <w:t xml:space="preserve"> </w:t>
      </w:r>
      <w:bookmarkEnd w:id="0"/>
      <w:r w:rsidR="00FC46FE">
        <w:t xml:space="preserve">Het aanstaande nieuwe financieringsstelsel voor de kinderopvang maakt het van nog groter belang dat er voldoende gekwalificeerd personeel is. Dit om </w:t>
      </w:r>
      <w:r w:rsidR="0020165C">
        <w:t xml:space="preserve">toegankelijke </w:t>
      </w:r>
      <w:r w:rsidR="00FC46FE">
        <w:t>opvang van goede kwaliteit te behouden.</w:t>
      </w:r>
    </w:p>
    <w:p w:rsidR="00FC46FE" w:rsidP="00742B3B" w:rsidRDefault="00FC46FE" w14:paraId="4A69AEF0" w14:textId="77777777"/>
    <w:p w:rsidR="00742B3B" w:rsidP="00742B3B" w:rsidRDefault="008678B1" w14:paraId="4D158EAA" w14:textId="6FCCC878">
      <w:r w:rsidRPr="00C75756">
        <w:t>Voor een effectieve aanpak is het belangrijk dat deze zo doelmatig en doeltreffend als mogelijk is.</w:t>
      </w:r>
      <w:r>
        <w:t xml:space="preserve"> Daarom heeft </w:t>
      </w:r>
      <w:r w:rsidR="00FC46FE">
        <w:t>o</w:t>
      </w:r>
      <w:bookmarkStart w:name="_Hlk226531907" w:id="1"/>
      <w:r w:rsidR="00FC46FE">
        <w:t xml:space="preserve">nderzoeksbureaus </w:t>
      </w:r>
      <w:proofErr w:type="spellStart"/>
      <w:r w:rsidR="00FC46FE">
        <w:t>Ipsos</w:t>
      </w:r>
      <w:proofErr w:type="spellEnd"/>
      <w:r w:rsidR="00FC46FE">
        <w:t xml:space="preserve"> I&amp;O samen met SEO Economisch Onderzoek</w:t>
      </w:r>
      <w:r>
        <w:t>, in opdracht van SZW,</w:t>
      </w:r>
      <w:r w:rsidR="00FC46FE">
        <w:t xml:space="preserve"> het arbeidsmarktkraptebeleid</w:t>
      </w:r>
      <w:r>
        <w:t xml:space="preserve"> </w:t>
      </w:r>
      <w:r w:rsidR="00FD0128">
        <w:t xml:space="preserve">voor de kinderopvang </w:t>
      </w:r>
      <w:r>
        <w:t>van SZW</w:t>
      </w:r>
      <w:r w:rsidR="00FC46FE">
        <w:t xml:space="preserve"> van 2020 t/m 2024 geëvalueerd.</w:t>
      </w:r>
      <w:bookmarkEnd w:id="1"/>
      <w:r w:rsidR="00FC46FE">
        <w:t xml:space="preserve"> </w:t>
      </w:r>
      <w:r w:rsidR="00CB320B">
        <w:t xml:space="preserve">Met </w:t>
      </w:r>
      <w:r w:rsidR="00FC46FE">
        <w:t>deze brief informeer ik uw Kamer over de resultaten van de evaluatie en informeer ik u over het vervolg van de aanpak.</w:t>
      </w:r>
      <w:r w:rsidR="00E36CD7">
        <w:t xml:space="preserve"> </w:t>
      </w:r>
      <w:r w:rsidR="003F6343">
        <w:t>Tot slot</w:t>
      </w:r>
      <w:r w:rsidR="00E36CD7">
        <w:t xml:space="preserve"> informeer ik uw Kamer over de meest recente resultaten van de lopende wachttijdenmonitor.</w:t>
      </w:r>
    </w:p>
    <w:p w:rsidR="00742B3B" w:rsidP="002F511D" w:rsidRDefault="00742B3B" w14:paraId="170A9206" w14:textId="77777777"/>
    <w:p w:rsidR="002F511D" w:rsidP="002F511D" w:rsidRDefault="002F511D" w14:paraId="5A576B3B" w14:textId="77777777">
      <w:pPr>
        <w:rPr>
          <w:u w:val="single"/>
        </w:rPr>
      </w:pPr>
      <w:r>
        <w:rPr>
          <w:u w:val="single"/>
        </w:rPr>
        <w:t>Resultaten evaluatie</w:t>
      </w:r>
    </w:p>
    <w:p w:rsidR="00335B96" w:rsidP="002F511D" w:rsidRDefault="002F511D" w14:paraId="62C8C1AA" w14:textId="69743F2D">
      <w:bookmarkStart w:name="_Hlk226533503" w:id="2"/>
      <w:r>
        <w:t xml:space="preserve">Sinds 2020 heeft het </w:t>
      </w:r>
      <w:r w:rsidR="00CB320B">
        <w:t>m</w:t>
      </w:r>
      <w:r>
        <w:t xml:space="preserve">inisterie van SZW in samenwerking met de sector een grote verscheidenheid aan maatregelen getroffen. In totaal is SZW bij </w:t>
      </w:r>
      <w:r w:rsidR="00CB320B">
        <w:br/>
      </w:r>
      <w:r>
        <w:t xml:space="preserve">23 maatregelen direct betrokken. De evaluatie richt zich op de effecten van deze maatregelen. De maatregelen zijn op hoofdlijnen in te delen in vier </w:t>
      </w:r>
      <w:r w:rsidR="0061142C">
        <w:t>categorieën</w:t>
      </w:r>
      <w:r>
        <w:t xml:space="preserve">: (1) arbeidsmarktcampagnes, (2) voorlichtingen en informatieverstrekking, </w:t>
      </w:r>
      <w:r w:rsidR="00CB320B">
        <w:br/>
      </w:r>
      <w:r>
        <w:t>(3) project</w:t>
      </w:r>
      <w:r w:rsidR="0061142C">
        <w:t>en</w:t>
      </w:r>
      <w:r>
        <w:t xml:space="preserve"> en subsidieregelingen en (4) het aanpassen en flexibiliseren van kwaliteitseisen. </w:t>
      </w:r>
      <w:bookmarkEnd w:id="2"/>
      <w:r>
        <w:t>Uw Kamer is daar in de afgelopen jaren door mijn ambtsvoorganger</w:t>
      </w:r>
      <w:r w:rsidR="0061142C">
        <w:t>s</w:t>
      </w:r>
      <w:r>
        <w:t xml:space="preserve"> op verschillende momenten over geïnformeerd.</w:t>
      </w:r>
      <w:r>
        <w:rPr>
          <w:rStyle w:val="Voetnootmarkering"/>
        </w:rPr>
        <w:footnoteReference w:id="1"/>
      </w:r>
      <w:r>
        <w:t xml:space="preserve"> </w:t>
      </w:r>
    </w:p>
    <w:p w:rsidR="004D0DF9" w:rsidP="002F511D" w:rsidRDefault="004D0DF9" w14:paraId="7CD93BFB" w14:textId="77777777"/>
    <w:p w:rsidR="002F511D" w:rsidP="002F511D" w:rsidRDefault="002F511D" w14:paraId="66B99F7C" w14:textId="4FE077B1">
      <w:r>
        <w:lastRenderedPageBreak/>
        <w:t>Deze maatregelen hebben tot doel om de instroom van nieuw personeel te vergroten, de uitstroom van zittend personeel te beperken</w:t>
      </w:r>
      <w:r w:rsidR="00CD6391">
        <w:t xml:space="preserve"> (bijvoorbeeld door de werkdruk te verlagen)</w:t>
      </w:r>
      <w:r>
        <w:t>, meer uren werken te stimuleren en de efficiënt</w:t>
      </w:r>
      <w:r w:rsidR="00C96129">
        <w:t>i</w:t>
      </w:r>
      <w:r>
        <w:t>e</w:t>
      </w:r>
      <w:r w:rsidR="00C96129">
        <w:t xml:space="preserve"> </w:t>
      </w:r>
      <w:r w:rsidR="000E74D1">
        <w:t xml:space="preserve">van personeelsinzet </w:t>
      </w:r>
      <w:r>
        <w:t xml:space="preserve">te vergroten. </w:t>
      </w:r>
    </w:p>
    <w:p w:rsidR="002F511D" w:rsidP="002F511D" w:rsidRDefault="002F511D" w14:paraId="7A283BD9" w14:textId="77777777"/>
    <w:p w:rsidR="002F511D" w:rsidP="002F511D" w:rsidRDefault="002F511D" w14:paraId="748CF1EF" w14:textId="77777777">
      <w:pPr>
        <w:rPr>
          <w:i/>
          <w:iCs/>
        </w:rPr>
      </w:pPr>
      <w:r>
        <w:rPr>
          <w:i/>
          <w:iCs/>
        </w:rPr>
        <w:t>Doelrealisatie</w:t>
      </w:r>
    </w:p>
    <w:p w:rsidR="00F53237" w:rsidP="002F511D" w:rsidRDefault="002F511D" w14:paraId="3CC21E0D" w14:textId="7D787579">
      <w:bookmarkStart w:name="_Hlk226534331" w:id="3"/>
      <w:r>
        <w:t xml:space="preserve">De evaluatie laat positieve ontwikkelingen zien. Sinds 2015 is het aantal medewerkers in de kinderopvang sterk toegenomen van ongeveer 78.000 naar bijna 127.000 in 2025. Daarbij valt specifiek op dat er </w:t>
      </w:r>
      <w:r w:rsidR="0061142C">
        <w:t xml:space="preserve">sprake is van </w:t>
      </w:r>
      <w:r>
        <w:t xml:space="preserve">een sterke toename </w:t>
      </w:r>
      <w:r w:rsidR="0061142C">
        <w:t>in</w:t>
      </w:r>
      <w:r>
        <w:t xml:space="preserve"> het aantal </w:t>
      </w:r>
      <w:r w:rsidR="00443D14">
        <w:t>studenten in de beroepsbegeleidende leerweg</w:t>
      </w:r>
      <w:r w:rsidR="00515C87">
        <w:t xml:space="preserve"> (BBL)</w:t>
      </w:r>
      <w:r w:rsidR="00443D14">
        <w:t xml:space="preserve"> die in de kinderopvang werken</w:t>
      </w:r>
      <w:r w:rsidR="00577FFE">
        <w:t xml:space="preserve"> als beroepskracht-in-opleiding</w:t>
      </w:r>
      <w:r w:rsidR="00CA6D9D">
        <w:t xml:space="preserve"> (BIO)</w:t>
      </w:r>
      <w:r>
        <w:t>. Naast de groei van het aantal medewerkers is ook een toename zichtbaar in de deeltijdfactor. Medewerkers werken gemiddeld meer uren per week. Er zijn ook indicaties dat kinderopvangorganisaties erin zijn geslaagd om de beschikbare formatie efficiënter in te zetten.</w:t>
      </w:r>
      <w:r w:rsidR="00731461">
        <w:t xml:space="preserve"> </w:t>
      </w:r>
      <w:r w:rsidR="00C049AF">
        <w:t>Uit de evaluatie</w:t>
      </w:r>
      <w:r>
        <w:t xml:space="preserve"> blijkt dat de omvang van het personeelstekort is gestabiliseerd rond de 7.000 medewerkers in 2025. </w:t>
      </w:r>
      <w:r w:rsidRPr="008C3029" w:rsidR="00C049AF">
        <w:t xml:space="preserve">In 2025 </w:t>
      </w:r>
      <w:r w:rsidR="00C049AF">
        <w:t>zijn</w:t>
      </w:r>
      <w:r w:rsidRPr="008C3029" w:rsidR="00C049AF">
        <w:t xml:space="preserve"> </w:t>
      </w:r>
      <w:r w:rsidR="00C049AF">
        <w:t xml:space="preserve">ook </w:t>
      </w:r>
      <w:r w:rsidRPr="008C3029" w:rsidR="00C049AF">
        <w:t xml:space="preserve">de wachttijden </w:t>
      </w:r>
      <w:r w:rsidR="00C049AF">
        <w:t>afgenomen (zie onderstaande Box 1).</w:t>
      </w:r>
    </w:p>
    <w:p w:rsidR="00C049AF" w:rsidP="002F511D" w:rsidRDefault="00C049AF" w14:paraId="7D801EA4" w14:textId="77777777"/>
    <w:p w:rsidR="00C049AF" w:rsidP="00C049AF" w:rsidRDefault="00C049AF" w14:paraId="72F90379" w14:textId="4BD013CD">
      <w:r w:rsidRPr="00B16D43">
        <w:t xml:space="preserve">De komende jaren zal ik doorgaan met het monitoren van de wachttijden, om zo ook de mogelijke effecten van het </w:t>
      </w:r>
      <w:proofErr w:type="spellStart"/>
      <w:r w:rsidRPr="00B16D43">
        <w:t>ingroeipad</w:t>
      </w:r>
      <w:proofErr w:type="spellEnd"/>
      <w:r w:rsidRPr="00B16D43">
        <w:t xml:space="preserve"> en de stelselherziening vroeg in kaart te brengen. </w:t>
      </w:r>
      <w:r>
        <w:t>De verwachting is namelijk dat de tekorten verder oplopen de komende jaren. Volgens de laatste arbeidsmarktprognoses</w:t>
      </w:r>
      <w:r>
        <w:rPr>
          <w:rStyle w:val="Voetnootmarkering"/>
        </w:rPr>
        <w:footnoteReference w:id="2"/>
      </w:r>
      <w:r>
        <w:t xml:space="preserve"> kunnen de tekorten zonder stelselherziening oplopen tot ongeveer 19.000 medewerkers in 2031. Met stelselherziening stijgt dit tekort mogelijk verder door tot ongeveer 24.000 medewerkers in 2031. </w:t>
      </w:r>
      <w:r w:rsidRPr="00674329">
        <w:t xml:space="preserve">Vanwege de onzekerheid van de prognoses worden deze jaarlijks geactualiseerd op basis van de meest recente inzichten en ontwikkelingen. </w:t>
      </w:r>
      <w:r>
        <w:t>De prognoses laten zien dat het personeelstekort in de kinderopvang een uitdaging zal blijven. Er is dus reden genoeg om de doeltreffendheid van het beleid te onderzoeken en het beleid waar nodig samen met de sector bij te sturen.</w:t>
      </w:r>
    </w:p>
    <w:p w:rsidR="00C049AF" w:rsidP="00C049AF" w:rsidRDefault="00C049AF" w14:paraId="2B7A9579" w14:textId="56071F15">
      <w:pPr>
        <w:rPr>
          <w:u w:val="single"/>
        </w:rPr>
      </w:pPr>
    </w:p>
    <w:p w:rsidR="00094F48" w:rsidRDefault="00C3062E" w14:paraId="6D7ADE0A" w14:textId="77777777">
      <w:pPr>
        <w:pStyle w:val="Bijschrift"/>
        <w:keepNext/>
        <w:spacing w:after="0"/>
      </w:pPr>
      <w:r>
        <w:t xml:space="preserve">Box </w:t>
      </w:r>
      <w:r>
        <w:fldChar w:fldCharType="begin"/>
      </w:r>
      <w:r>
        <w:instrText xml:space="preserve"> SEQ Box \* ARABIC </w:instrText>
      </w:r>
      <w:r>
        <w:fldChar w:fldCharType="separate"/>
      </w:r>
      <w:r>
        <w:t>1</w:t>
      </w:r>
      <w:r>
        <w:fldChar w:fldCharType="end"/>
      </w:r>
      <w:r>
        <w:t xml:space="preserve"> Wachttijdenmonitor</w:t>
      </w:r>
    </w:p>
    <w:tbl>
      <w:tblPr>
        <w:tblStyle w:val="Tabelraster"/>
        <w:tblW w:w="0" w:type="auto"/>
        <w:tblLook w:val="04A0" w:firstRow="1" w:lastRow="0" w:firstColumn="1" w:lastColumn="0" w:noHBand="0" w:noVBand="1"/>
      </w:tblPr>
      <w:tblGrid>
        <w:gridCol w:w="7531"/>
      </w:tblGrid>
      <w:tr w:rsidR="00C049AF" w:rsidTr="00C049AF" w14:paraId="230D3E12" w14:textId="77777777">
        <w:tc>
          <w:tcPr>
            <w:tcW w:w="7531" w:type="dxa"/>
          </w:tcPr>
          <w:p w:rsidR="00C049AF" w:rsidP="002F511D" w:rsidRDefault="00C049AF" w14:paraId="5B1F70F8" w14:textId="77777777">
            <w:r w:rsidRPr="008C3029">
              <w:t>Om effectief (arbeidsmarkt)beleid te kunnen voeren, is het belangrijk om te monitoren hoe het in de praktijk gaat met de beschikbaarheid van plekken in de kinderopvang. Bij een groter tekort</w:t>
            </w:r>
            <w:r>
              <w:t xml:space="preserve"> aan personeel</w:t>
            </w:r>
            <w:r w:rsidRPr="008C3029">
              <w:t xml:space="preserve">, </w:t>
            </w:r>
            <w:r>
              <w:t>zal</w:t>
            </w:r>
            <w:r w:rsidRPr="008C3029">
              <w:t xml:space="preserve"> het gevolg </w:t>
            </w:r>
            <w:r>
              <w:t xml:space="preserve">zijn </w:t>
            </w:r>
            <w:r w:rsidRPr="008C3029">
              <w:t>dat de wachttijd voor een plek op de kinderopvang oploopt. Daarom worden ieder jaar sinds 2023 de wachttijden gemonitord. De wachttijd is de tijd tussen de gewenste en daadwerkelijke plaatsingsdatum van het kind.</w:t>
            </w:r>
          </w:p>
          <w:p w:rsidR="00C049AF" w:rsidP="002F511D" w:rsidRDefault="00C049AF" w14:paraId="2474A8C6" w14:textId="77777777"/>
          <w:p w:rsidR="00C049AF" w:rsidP="002F511D" w:rsidRDefault="00C049AF" w14:paraId="050B717B" w14:textId="5D1A4F58">
            <w:r w:rsidRPr="008C3029">
              <w:t xml:space="preserve">In 2025 </w:t>
            </w:r>
            <w:r>
              <w:t>zijn</w:t>
            </w:r>
            <w:r w:rsidRPr="008C3029">
              <w:t xml:space="preserve"> de wachttijden </w:t>
            </w:r>
            <w:r>
              <w:t>afgenomen. De</w:t>
            </w:r>
            <w:r w:rsidRPr="008C3029">
              <w:t xml:space="preserve"> meeste ouders hoeven maximaal </w:t>
            </w:r>
            <w:r>
              <w:t>één</w:t>
            </w:r>
            <w:r w:rsidRPr="008C3029">
              <w:t xml:space="preserve"> maand te wachten op een plek op de kinderopvang. </w:t>
            </w:r>
            <w:r>
              <w:t>In 2025 gold dit voor gemiddeld driekwart van de ouders. H</w:t>
            </w:r>
            <w:r w:rsidRPr="008C3029">
              <w:t xml:space="preserve">et aandeel langwachtende ouders </w:t>
            </w:r>
            <w:r>
              <w:t xml:space="preserve">(die langer dan drie maanden dan gewenst wachten op een plek) </w:t>
            </w:r>
            <w:r w:rsidRPr="008C3029">
              <w:t xml:space="preserve">is </w:t>
            </w:r>
            <w:r>
              <w:t>licht gedaald voor zowel de dagopvang als buitenschoolse opvang. In 2025 was dit zes procent van de ouders voor de BSO en tien procent voor de dagopvang die lang op een plek moesten wachten. L</w:t>
            </w:r>
            <w:r w:rsidRPr="008C3029">
              <w:t>angere wachttijden komen vaker voor in grote steden</w:t>
            </w:r>
            <w:r>
              <w:t xml:space="preserve"> en bij voorschoolse educatie</w:t>
            </w:r>
            <w:r w:rsidRPr="008C3029">
              <w:t>.</w:t>
            </w:r>
          </w:p>
        </w:tc>
      </w:tr>
    </w:tbl>
    <w:p w:rsidR="00F53237" w:rsidP="002F511D" w:rsidRDefault="00F53237" w14:paraId="207FD1A2" w14:textId="77777777"/>
    <w:p w:rsidR="00154065" w:rsidP="002F511D" w:rsidRDefault="00F53237" w14:paraId="7E0897DD" w14:textId="77777777">
      <w:r>
        <w:t xml:space="preserve">De </w:t>
      </w:r>
      <w:r w:rsidR="00053763">
        <w:t xml:space="preserve">omvang </w:t>
      </w:r>
      <w:r>
        <w:t>van de tekorten verschilt per regio.</w:t>
      </w:r>
      <w:r w:rsidR="00967ADB">
        <w:t xml:space="preserve"> D</w:t>
      </w:r>
      <w:r w:rsidR="00053763">
        <w:t xml:space="preserve">e PMZW-spanningsindicator </w:t>
      </w:r>
      <w:r w:rsidR="00967ADB">
        <w:t>(</w:t>
      </w:r>
      <w:r w:rsidR="0049389B">
        <w:t xml:space="preserve">het </w:t>
      </w:r>
      <w:r w:rsidR="0037051B">
        <w:t>aantal vacatures per 100 werkzoekenden</w:t>
      </w:r>
      <w:r w:rsidR="00967ADB">
        <w:t>)</w:t>
      </w:r>
      <w:r w:rsidR="0037051B">
        <w:t xml:space="preserve"> </w:t>
      </w:r>
      <w:r w:rsidR="00967ADB">
        <w:t>laat een brede</w:t>
      </w:r>
      <w:r w:rsidR="00462B07">
        <w:t xml:space="preserve"> regionale</w:t>
      </w:r>
      <w:r w:rsidR="00967ADB">
        <w:t xml:space="preserve"> spreiding zien in de spanning</w:t>
      </w:r>
      <w:r w:rsidR="0037051B">
        <w:t xml:space="preserve">. </w:t>
      </w:r>
    </w:p>
    <w:p w:rsidR="00B16D43" w:rsidP="002F511D" w:rsidRDefault="0037051B" w14:paraId="25545957" w14:textId="1807CB22">
      <w:r>
        <w:lastRenderedPageBreak/>
        <w:t xml:space="preserve">De spanning op de arbeidsmarkt neemt naar verwachting voor alle regio’s sterk toe de komende jaren. </w:t>
      </w:r>
      <w:r w:rsidR="0049389B">
        <w:t>Ook het verschil in spanning tussen regio’s neemt toe</w:t>
      </w:r>
      <w:r w:rsidR="004C3FBB">
        <w:t>, waarbij de spanning in bepaalde regio’s veel sterker stijgt</w:t>
      </w:r>
      <w:r w:rsidR="0049389B">
        <w:t xml:space="preserve">. </w:t>
      </w:r>
      <w:r w:rsidDel="00FE26DD" w:rsidR="00C049AF">
        <w:t xml:space="preserve"> </w:t>
      </w:r>
    </w:p>
    <w:bookmarkEnd w:id="3"/>
    <w:p w:rsidR="002F511D" w:rsidP="002F511D" w:rsidRDefault="002F511D" w14:paraId="18B117F3" w14:textId="77777777"/>
    <w:p w:rsidR="002F511D" w:rsidP="002F511D" w:rsidRDefault="002F511D" w14:paraId="5CF08BDC" w14:textId="77777777">
      <w:pPr>
        <w:rPr>
          <w:i/>
          <w:iCs/>
        </w:rPr>
      </w:pPr>
      <w:r>
        <w:rPr>
          <w:i/>
          <w:iCs/>
        </w:rPr>
        <w:t>Doeltreffendheid</w:t>
      </w:r>
    </w:p>
    <w:p w:rsidR="002F511D" w:rsidP="002F511D" w:rsidRDefault="002F511D" w14:paraId="133254CF" w14:textId="7830A6F8">
      <w:bookmarkStart w:name="_Hlk226534386" w:id="4"/>
      <w:r>
        <w:t>Uit de resultaten van een vragenlijst onder kinderopvangorganisaties blijkt dat zij positief zijn over de getroffen maatregelen. De verschillende maatregelen worden in algemene zin als effectief ervaren.</w:t>
      </w:r>
      <w:bookmarkEnd w:id="4"/>
      <w:r>
        <w:t xml:space="preserve"> </w:t>
      </w:r>
      <w:proofErr w:type="spellStart"/>
      <w:r w:rsidR="004C64BD">
        <w:t>Ipsos</w:t>
      </w:r>
      <w:proofErr w:type="spellEnd"/>
      <w:r w:rsidR="004C64BD">
        <w:t xml:space="preserve"> I&amp;O en SEO</w:t>
      </w:r>
      <w:r>
        <w:t xml:space="preserve"> constateren in het rapport dat organisaties die personeelskrapte, hoge werkdruk en/of een hoog ziekteverzuim ervaren het goed vinden dat </w:t>
      </w:r>
      <w:r w:rsidR="00353108">
        <w:t>deze</w:t>
      </w:r>
      <w:r>
        <w:t xml:space="preserve"> beleidsmaatregelen zijn</w:t>
      </w:r>
      <w:r w:rsidR="003B5EE6">
        <w:t xml:space="preserve"> genomen</w:t>
      </w:r>
      <w:r>
        <w:t>. Zij verwachten dat de situatie slechter zou zijn geweest zonder de</w:t>
      </w:r>
      <w:r w:rsidR="008C3177">
        <w:t>ze</w:t>
      </w:r>
      <w:r>
        <w:t xml:space="preserve"> maatregelen. Zij geven bijvoorbeeld aan dat de arbeidsmarktcampagnes positief zijn geweest voor het imag</w:t>
      </w:r>
      <w:r w:rsidR="004C64BD">
        <w:t>o</w:t>
      </w:r>
      <w:r>
        <w:t xml:space="preserve"> van de sector. De aanpassingen aan kwaliteitseisen hebben een groot deel van de</w:t>
      </w:r>
      <w:r w:rsidR="00C36DAC">
        <w:t xml:space="preserve"> ondervraagde</w:t>
      </w:r>
      <w:r>
        <w:t xml:space="preserve"> organisaties geholpen om de formatie efficiënter in te kunnen zetten. Met name maatregelen die </w:t>
      </w:r>
      <w:r w:rsidR="007B2445">
        <w:t>direct raken aan de inzet van personeel binnen de beroepskracht-</w:t>
      </w:r>
      <w:proofErr w:type="spellStart"/>
      <w:r w:rsidR="007B2445">
        <w:t>kindratio</w:t>
      </w:r>
      <w:proofErr w:type="spellEnd"/>
      <w:r w:rsidR="007B2445">
        <w:t xml:space="preserve"> (BKR) </w:t>
      </w:r>
      <w:r>
        <w:t>worden als effectief ervaren.</w:t>
      </w:r>
      <w:r w:rsidR="00CA6D9D">
        <w:rPr>
          <w:rStyle w:val="Voetnootmarkering"/>
        </w:rPr>
        <w:footnoteReference w:id="3"/>
      </w:r>
    </w:p>
    <w:p w:rsidR="002F511D" w:rsidP="002F511D" w:rsidRDefault="002F511D" w14:paraId="0CEC5388" w14:textId="77777777"/>
    <w:p w:rsidR="002F511D" w:rsidP="002F511D" w:rsidRDefault="002F511D" w14:paraId="614D4313" w14:textId="0584D25B">
      <w:bookmarkStart w:name="_Hlk226534404" w:id="5"/>
      <w:r>
        <w:t xml:space="preserve">Tegelijkertijd </w:t>
      </w:r>
      <w:r w:rsidR="00B42C18">
        <w:t>g</w:t>
      </w:r>
      <w:r>
        <w:t>even organisaties aan dat de maatregelen vooral tijdelijke verlichting opleveren</w:t>
      </w:r>
      <w:r w:rsidR="00C36DAC">
        <w:t>, bijvoorbeeld om de roosters rond te krijgen</w:t>
      </w:r>
      <w:r>
        <w:t>. De organisaties zijn</w:t>
      </w:r>
      <w:r w:rsidR="00C36DAC">
        <w:t xml:space="preserve"> daarom</w:t>
      </w:r>
      <w:r>
        <w:t xml:space="preserve"> terughoudend in hun oordeel over het totaaleffect van de maatregelen op het structureel verlagen van de werkdruk, verbeteren van de instroom of het terugdringen van het ziekteverzuim. </w:t>
      </w:r>
    </w:p>
    <w:bookmarkEnd w:id="5"/>
    <w:p w:rsidR="002F511D" w:rsidP="002F511D" w:rsidRDefault="002F511D" w14:paraId="6C13125B" w14:textId="77777777"/>
    <w:p w:rsidR="00570532" w:rsidP="002F511D" w:rsidRDefault="002F511D" w14:paraId="019C7395" w14:textId="3ED580F5">
      <w:r>
        <w:t>Maatregelen die niet direct bijdragen aan de inzet van personeel binnen de BKR</w:t>
      </w:r>
      <w:r w:rsidR="0089228B">
        <w:t>,</w:t>
      </w:r>
      <w:r>
        <w:t xml:space="preserve"> worden door kinderopvangorganisaties minder gebruikt. Voorbeelden daarvan zijn de </w:t>
      </w:r>
      <w:r w:rsidR="00174BDF">
        <w:t xml:space="preserve">Subsidieregeling </w:t>
      </w:r>
      <w:r>
        <w:t xml:space="preserve">groepshulpen en het </w:t>
      </w:r>
      <w:proofErr w:type="spellStart"/>
      <w:r w:rsidR="00174BDF">
        <w:t>Ontwikkelpad</w:t>
      </w:r>
      <w:proofErr w:type="spellEnd"/>
      <w:r w:rsidR="00174BDF">
        <w:t xml:space="preserve"> kinderopvang</w:t>
      </w:r>
      <w:r>
        <w:t xml:space="preserve">. Hoewel groepshulpen de werkdruk verlichten en op termijn kunnen doorgroeien naar de rol van pedagogisch professional, wordt hier nog niet breed gebruik van gemaakt. Daar speelt mee dat groepshulpen begeleidingstijd vragen en een extra kostenpost </w:t>
      </w:r>
      <w:r w:rsidR="009D175F">
        <w:t xml:space="preserve">kunnen </w:t>
      </w:r>
      <w:r>
        <w:t xml:space="preserve">vormen. In de doorontwikkeling van de arbeidsmarktaanpak zijn hierin dus nog </w:t>
      </w:r>
      <w:r w:rsidR="00A10179">
        <w:t>mogelijkheden tot verbetering</w:t>
      </w:r>
      <w:r>
        <w:t xml:space="preserve"> (zie kopje ‘vervolg aanpak’). </w:t>
      </w:r>
    </w:p>
    <w:p w:rsidR="002F511D" w:rsidP="002F511D" w:rsidRDefault="002F511D" w14:paraId="3D0DC380" w14:textId="75024CED">
      <w:bookmarkStart w:name="_Hlk226534449" w:id="6"/>
      <w:r>
        <w:t>De onderzoekers concluderen tot slot dat er geen bewijs is gevonden dat het gehele pakket aan maatregelen substantiële invloed heeft gehad op de arbeidsmarktkrapte</w:t>
      </w:r>
      <w:r w:rsidR="00D90828">
        <w:t xml:space="preserve"> in de kinderopvang</w:t>
      </w:r>
      <w:r>
        <w:t xml:space="preserve">. Er kon (nog) geen causaal verband worden gevonden tussen de beleidsmaatregelen enerzijds en de ontwikkelingen van de instroom, uitstroom en gewerkte uren anderzijds. Hier zijn verschillende potentiële verklaringen voor. Ten eerste </w:t>
      </w:r>
      <w:r w:rsidR="00577FFE">
        <w:t xml:space="preserve">is het lastig om het effect van beleidsmaatregelen te scheiden van mogelijke andere verklaringen. Zo kan de sterke toename van het aantal </w:t>
      </w:r>
      <w:proofErr w:type="spellStart"/>
      <w:r w:rsidR="00577FFE">
        <w:t>BIO’s</w:t>
      </w:r>
      <w:proofErr w:type="spellEnd"/>
      <w:r w:rsidR="00577FFE">
        <w:t xml:space="preserve"> het gevolg zijn van de verruimde wettelijke inzetbaarheid van </w:t>
      </w:r>
      <w:proofErr w:type="spellStart"/>
      <w:r w:rsidR="00577FFE">
        <w:t>BIO’s</w:t>
      </w:r>
      <w:proofErr w:type="spellEnd"/>
      <w:r w:rsidR="00577FFE">
        <w:t xml:space="preserve">, maar ook van de toegenomen populariteit van </w:t>
      </w:r>
      <w:r w:rsidR="00CB320B">
        <w:br/>
      </w:r>
      <w:r w:rsidR="00577FFE">
        <w:t xml:space="preserve">BBL-opleidingen. </w:t>
      </w:r>
      <w:r w:rsidR="00603038">
        <w:t>Ten tweede</w:t>
      </w:r>
      <w:r w:rsidR="00577FFE">
        <w:t xml:space="preserve"> </w:t>
      </w:r>
      <w:r w:rsidR="0081566E">
        <w:t>was er een</w:t>
      </w:r>
      <w:r>
        <w:t xml:space="preserve"> beperkt </w:t>
      </w:r>
      <w:r w:rsidR="00F8107A">
        <w:t>beschikba</w:t>
      </w:r>
      <w:r w:rsidR="008A49E0">
        <w:t>ar</w:t>
      </w:r>
      <w:r w:rsidR="00F8107A">
        <w:t xml:space="preserve"> budget</w:t>
      </w:r>
      <w:r>
        <w:t xml:space="preserve"> </w:t>
      </w:r>
      <w:r w:rsidR="00603038">
        <w:t xml:space="preserve">voor </w:t>
      </w:r>
      <w:r>
        <w:t xml:space="preserve">de maatregelen (zie kopje ‘doelmatigheid’). </w:t>
      </w:r>
      <w:r w:rsidR="00577FFE">
        <w:t>Tot slot</w:t>
      </w:r>
      <w:r>
        <w:t xml:space="preserve"> is een deel van de maatregelen </w:t>
      </w:r>
      <w:r w:rsidR="00201C31">
        <w:t>pas</w:t>
      </w:r>
      <w:r>
        <w:t xml:space="preserve"> </w:t>
      </w:r>
      <w:r w:rsidR="00174BDF">
        <w:t>kortgeleden</w:t>
      </w:r>
      <w:r>
        <w:t xml:space="preserve"> geïmplementeerd</w:t>
      </w:r>
      <w:r w:rsidR="00CA6D9D">
        <w:rPr>
          <w:rStyle w:val="Voetnootmarkering"/>
        </w:rPr>
        <w:footnoteReference w:id="4"/>
      </w:r>
      <w:r w:rsidR="00434A57">
        <w:t>,</w:t>
      </w:r>
      <w:r w:rsidR="00087B89">
        <w:t xml:space="preserve"> </w:t>
      </w:r>
      <w:r>
        <w:t xml:space="preserve">waardoor er op dit moment nog geen effecten gemeten kunnen worden. </w:t>
      </w:r>
      <w:bookmarkStart w:name="_Hlk226534512" w:id="7"/>
      <w:bookmarkEnd w:id="6"/>
      <w:r>
        <w:t xml:space="preserve">In 2027 voeren </w:t>
      </w:r>
      <w:proofErr w:type="spellStart"/>
      <w:r>
        <w:t>Ipsos</w:t>
      </w:r>
      <w:proofErr w:type="spellEnd"/>
      <w:r>
        <w:t xml:space="preserve"> I&amp;O en SEO Economisch Onderzoek een nieuwe meting uit. Mogelijk ontstaat er dan een duidelijker beeld over de invloed van de beleidsmaatregelen op de arbeidsmarktkrapte. </w:t>
      </w:r>
    </w:p>
    <w:bookmarkEnd w:id="7"/>
    <w:p w:rsidR="004D0DF9" w:rsidP="002F511D" w:rsidRDefault="004D0DF9" w14:paraId="5C7F3C94" w14:textId="77777777"/>
    <w:p w:rsidR="00154065" w:rsidP="002F511D" w:rsidRDefault="00154065" w14:paraId="45100A4D" w14:textId="77777777"/>
    <w:p w:rsidR="00154065" w:rsidP="002F511D" w:rsidRDefault="00154065" w14:paraId="1AFB53FC" w14:textId="77777777"/>
    <w:p w:rsidR="00154065" w:rsidP="002F511D" w:rsidRDefault="00154065" w14:paraId="23B371D4" w14:textId="77777777"/>
    <w:p w:rsidRPr="008773A4" w:rsidR="002F511D" w:rsidP="002F511D" w:rsidRDefault="002F511D" w14:paraId="4C83E059" w14:textId="5C894768">
      <w:pPr>
        <w:rPr>
          <w:i/>
          <w:iCs/>
        </w:rPr>
      </w:pPr>
      <w:r w:rsidRPr="008773A4">
        <w:rPr>
          <w:i/>
          <w:iCs/>
        </w:rPr>
        <w:lastRenderedPageBreak/>
        <w:t>Doelmatigheid</w:t>
      </w:r>
    </w:p>
    <w:p w:rsidR="002F511D" w:rsidP="002F511D" w:rsidRDefault="002F511D" w14:paraId="7A4284EE" w14:textId="2EAB2FD2">
      <w:bookmarkStart w:name="_Hlk226534547" w:id="8"/>
      <w:r>
        <w:t>De kosten voor de maatregelen waren relatief beperkt. In totaal betrof dit ongeveer €</w:t>
      </w:r>
      <w:r w:rsidR="00CB320B">
        <w:t xml:space="preserve"> </w:t>
      </w:r>
      <w:r>
        <w:t>3 miljoen in de periode 2020-2024</w:t>
      </w:r>
      <w:r w:rsidR="00CA6D9D">
        <w:t>.</w:t>
      </w:r>
      <w:r w:rsidR="00CA6D9D">
        <w:rPr>
          <w:rStyle w:val="Voetnootmarkering"/>
        </w:rPr>
        <w:footnoteReference w:id="5"/>
      </w:r>
      <w:r w:rsidR="00603038">
        <w:t xml:space="preserve"> (</w:t>
      </w:r>
      <w:bookmarkEnd w:id="8"/>
      <w:r>
        <w:t xml:space="preserve">Het grootste deel van deze uitgaven werden </w:t>
      </w:r>
      <w:r w:rsidR="0038083A">
        <w:t>besteed</w:t>
      </w:r>
      <w:r>
        <w:t xml:space="preserve"> aan </w:t>
      </w:r>
      <w:r w:rsidR="0068530F">
        <w:t xml:space="preserve">subsidies voor </w:t>
      </w:r>
      <w:r>
        <w:t xml:space="preserve">de twee arbeidsmarktcampagnes en aan de </w:t>
      </w:r>
      <w:r w:rsidR="0038083A">
        <w:t xml:space="preserve">Subsidieregeling </w:t>
      </w:r>
      <w:r>
        <w:t>groepshulpen</w:t>
      </w:r>
      <w:r w:rsidR="00CB320B">
        <w:t>)</w:t>
      </w:r>
      <w:r>
        <w:t xml:space="preserve">. De onderzoekers concluderen dat de uitgaven aan de campagnes doelmatig waren. De campagnes werden positief ontvangen en het bereik was groot. Bij de </w:t>
      </w:r>
      <w:r w:rsidR="007451FD">
        <w:t xml:space="preserve">Subsidieregeling </w:t>
      </w:r>
      <w:r>
        <w:t xml:space="preserve">groepshulpen zijn nog kansen voor verbeteringen in de doelmatigheid. </w:t>
      </w:r>
      <w:r w:rsidR="003C37A1">
        <w:t xml:space="preserve">Door </w:t>
      </w:r>
      <w:r w:rsidR="00CB7CD2">
        <w:t>een lager dan verwacht</w:t>
      </w:r>
      <w:r w:rsidR="003C37A1">
        <w:t xml:space="preserve"> aantal subsidie</w:t>
      </w:r>
      <w:r w:rsidR="00796B53">
        <w:t>aan</w:t>
      </w:r>
      <w:r w:rsidR="003C37A1">
        <w:t xml:space="preserve">vragen </w:t>
      </w:r>
      <w:r w:rsidR="00796B53">
        <w:t xml:space="preserve">is slechts een </w:t>
      </w:r>
      <w:r w:rsidR="00485C7A">
        <w:t>klein</w:t>
      </w:r>
      <w:r w:rsidR="00796B53">
        <w:t xml:space="preserve"> deel van het subsidie</w:t>
      </w:r>
      <w:r w:rsidR="005A41C2">
        <w:t>budget</w:t>
      </w:r>
      <w:r w:rsidR="00796B53">
        <w:t xml:space="preserve"> </w:t>
      </w:r>
      <w:r w:rsidR="00B662F3">
        <w:t xml:space="preserve">in 2024 en 2025 </w:t>
      </w:r>
      <w:r w:rsidR="00796B53">
        <w:t xml:space="preserve">uitgegeven. Als gevolg </w:t>
      </w:r>
      <w:r w:rsidR="003C37A1">
        <w:t xml:space="preserve">bestond </w:t>
      </w:r>
      <w:r w:rsidR="00D16A7F">
        <w:t xml:space="preserve">daardoor </w:t>
      </w:r>
      <w:r w:rsidR="00796B53">
        <w:t xml:space="preserve">ook </w:t>
      </w:r>
      <w:r w:rsidR="003C37A1">
        <w:t xml:space="preserve">een relatief groot deel van het uitgegeven budget uit uitvoeringskosten. </w:t>
      </w:r>
      <w:r>
        <w:t xml:space="preserve">Na het eerste aanvraagtijdvak werd de subsidieregeling aangepast. In het tweede tijdvak werd hierdoor meer subsidie toegekend, maar er </w:t>
      </w:r>
      <w:r w:rsidR="00201C31">
        <w:t>blijft</w:t>
      </w:r>
      <w:r>
        <w:t xml:space="preserve"> ruimte voor verbetering.</w:t>
      </w:r>
    </w:p>
    <w:p w:rsidR="002F511D" w:rsidP="002F511D" w:rsidRDefault="002F511D" w14:paraId="64F28D0E" w14:textId="77777777"/>
    <w:p w:rsidR="002F511D" w:rsidP="002F511D" w:rsidRDefault="002F511D" w14:paraId="481A2FD2" w14:textId="3A1FD275">
      <w:pPr>
        <w:rPr>
          <w:u w:val="single"/>
        </w:rPr>
      </w:pPr>
      <w:r>
        <w:t xml:space="preserve">In het kader van doelmatigheid is ook de regeldruk voor de kinderopvangsector van belang. </w:t>
      </w:r>
      <w:bookmarkStart w:name="_Hlk226534573" w:id="9"/>
      <w:r w:rsidR="0060588F">
        <w:t>Hoewel de aanpassingen van de kwaliteitseisen uiteindelijk kunnen bijdragen aan het verminderen van de regeldruk, blijkt u</w:t>
      </w:r>
      <w:r>
        <w:t>it het onderzoek dat organisaties</w:t>
      </w:r>
      <w:r w:rsidR="0060588F">
        <w:t xml:space="preserve"> juist tijdelijk meer</w:t>
      </w:r>
      <w:r>
        <w:t xml:space="preserve"> regeldruk ervaren als gevolg van de aanpassingen aan de kwaliteitseisen. Denk hierbij aan het </w:t>
      </w:r>
      <w:r w:rsidR="00303A66">
        <w:t xml:space="preserve">binnen de organisatie </w:t>
      </w:r>
      <w:r>
        <w:t>moeten uitleggen van nieuwe regels, wat ook voor onduidelijkheid en stress op de werkvloer kan zorgen.</w:t>
      </w:r>
      <w:bookmarkEnd w:id="9"/>
      <w:r>
        <w:t xml:space="preserve"> Ook </w:t>
      </w:r>
      <w:r w:rsidR="00DE7823">
        <w:t>wordt de bestaande werkdruk door organisaties</w:t>
      </w:r>
      <w:r w:rsidR="00302363">
        <w:t xml:space="preserve"> als reden gegeven om</w:t>
      </w:r>
      <w:r w:rsidR="00DE7823">
        <w:t xml:space="preserve"> </w:t>
      </w:r>
      <w:r>
        <w:t xml:space="preserve">bepaalde maatregelen </w:t>
      </w:r>
      <w:r w:rsidR="00302363">
        <w:t xml:space="preserve">(zoals de extra inzet van </w:t>
      </w:r>
      <w:proofErr w:type="spellStart"/>
      <w:r w:rsidR="00302363">
        <w:t>BIO</w:t>
      </w:r>
      <w:r w:rsidR="00D16A7F">
        <w:t>’</w:t>
      </w:r>
      <w:r w:rsidR="00302363">
        <w:t>s</w:t>
      </w:r>
      <w:proofErr w:type="spellEnd"/>
      <w:r w:rsidR="00D16A7F">
        <w:t xml:space="preserve"> die begeleid moeten worden</w:t>
      </w:r>
      <w:r w:rsidR="00302363">
        <w:t>) niet in te zetten.</w:t>
      </w:r>
    </w:p>
    <w:p w:rsidRPr="00CC36F1" w:rsidR="002F511D" w:rsidP="002F511D" w:rsidRDefault="002F511D" w14:paraId="2FA96E0C" w14:textId="77777777"/>
    <w:p w:rsidR="002F511D" w:rsidP="002F511D" w:rsidRDefault="002F511D" w14:paraId="11EF8546" w14:textId="77777777">
      <w:pPr>
        <w:rPr>
          <w:u w:val="single"/>
        </w:rPr>
      </w:pPr>
      <w:r>
        <w:rPr>
          <w:u w:val="single"/>
        </w:rPr>
        <w:t>Vervolg aanpak</w:t>
      </w:r>
    </w:p>
    <w:p w:rsidR="004D0DF9" w:rsidP="004E43E1" w:rsidRDefault="002F511D" w14:paraId="00A32A3F" w14:textId="77777777">
      <w:r>
        <w:t>Hoewel er dus positieve ontwikkelingen op de arbeidsmarkt zichtbaar zijn, is er ruimte voor verbeteringen van het arbeidsmarktkraptebeleid</w:t>
      </w:r>
      <w:r w:rsidR="00E31890">
        <w:t xml:space="preserve"> in de kinderopvang</w:t>
      </w:r>
      <w:r>
        <w:t xml:space="preserve">. Dit motiveert mij om </w:t>
      </w:r>
      <w:r w:rsidR="00D13FCE">
        <w:t>o</w:t>
      </w:r>
      <w:r w:rsidRPr="00D13FCE" w:rsidR="00D13FCE">
        <w:t>nverminderd te blijven inzetten</w:t>
      </w:r>
      <w:r w:rsidR="00D13FCE">
        <w:t xml:space="preserve"> op de aanpak van het personeelstekort</w:t>
      </w:r>
      <w:r w:rsidRPr="00D13FCE" w:rsidR="00D13FCE">
        <w:t xml:space="preserve"> en daarbij te </w:t>
      </w:r>
      <w:r w:rsidR="00D13FCE">
        <w:t xml:space="preserve">blijven </w:t>
      </w:r>
      <w:r w:rsidRPr="00D13FCE" w:rsidR="00D13FCE">
        <w:t xml:space="preserve">zoeken naar nieuwe </w:t>
      </w:r>
      <w:r w:rsidR="00D13FCE">
        <w:t>oplossingen.</w:t>
      </w:r>
      <w:r w:rsidRPr="00D13FCE" w:rsidDel="00D13FCE" w:rsidR="00D13FCE">
        <w:t xml:space="preserve"> </w:t>
      </w:r>
      <w:r>
        <w:t xml:space="preserve">Daarom zet ik deze evaluatie in 2026 en 2027 </w:t>
      </w:r>
      <w:r w:rsidR="00F460BF">
        <w:t xml:space="preserve">voort </w:t>
      </w:r>
      <w:r>
        <w:t>met een vernieuwde</w:t>
      </w:r>
      <w:r w:rsidR="00F87263">
        <w:t xml:space="preserve">, zogenaamde </w:t>
      </w:r>
      <w:r w:rsidR="004F4039">
        <w:br/>
      </w:r>
      <w:r w:rsidRPr="00A0241C" w:rsidR="00F87263">
        <w:rPr>
          <w:i/>
          <w:iCs/>
        </w:rPr>
        <w:t>ex-</w:t>
      </w:r>
      <w:proofErr w:type="spellStart"/>
      <w:r w:rsidRPr="00A0241C" w:rsidR="00F87263">
        <w:rPr>
          <w:i/>
          <w:iCs/>
        </w:rPr>
        <w:t>durante</w:t>
      </w:r>
      <w:proofErr w:type="spellEnd"/>
      <w:r w:rsidR="00F87263">
        <w:t xml:space="preserve"> </w:t>
      </w:r>
      <w:r>
        <w:t xml:space="preserve">aanpak. </w:t>
      </w:r>
    </w:p>
    <w:p w:rsidR="004D0DF9" w:rsidP="004E43E1" w:rsidRDefault="004D0DF9" w14:paraId="08792581" w14:textId="77777777"/>
    <w:p w:rsidR="00570532" w:rsidP="004E43E1" w:rsidRDefault="002F511D" w14:paraId="0F767121" w14:textId="0E986C23">
      <w:r w:rsidRPr="007E52B8">
        <w:t>De pedagogisch professionals die dagelij</w:t>
      </w:r>
      <w:r>
        <w:t xml:space="preserve">ks op de groep werken, kunnen het beste inschatten wat er in de praktijk nodig is om de werkdruk te verlichten, het werkplezier te vergroten en nieuwe mensen te enthousiasmeren voor de kinderopvang. Daarom gaan we rechtstreeks met </w:t>
      </w:r>
      <w:r w:rsidR="00855784">
        <w:t xml:space="preserve">mensen uit de praktijk </w:t>
      </w:r>
      <w:r>
        <w:t xml:space="preserve">in gesprek, bijvoorbeeld over </w:t>
      </w:r>
      <w:r w:rsidR="00A14EF4">
        <w:t xml:space="preserve">mogelijke oplossingen voor </w:t>
      </w:r>
      <w:r>
        <w:t xml:space="preserve">de ervaren werk- en regeldruk en </w:t>
      </w:r>
      <w:r w:rsidR="00A14EF4">
        <w:t xml:space="preserve">over </w:t>
      </w:r>
      <w:r>
        <w:t xml:space="preserve">creatieve oplossingen voor </w:t>
      </w:r>
      <w:r w:rsidR="00A14EF4">
        <w:t xml:space="preserve">de </w:t>
      </w:r>
      <w:r>
        <w:t>urenmismatch in de BSO</w:t>
      </w:r>
      <w:r w:rsidR="00CA6D9D">
        <w:t>.</w:t>
      </w:r>
      <w:r w:rsidR="00CA6D9D">
        <w:rPr>
          <w:rStyle w:val="Voetnootmarkering"/>
        </w:rPr>
        <w:footnoteReference w:id="6"/>
      </w:r>
      <w:r>
        <w:t xml:space="preserve"> </w:t>
      </w:r>
      <w:r w:rsidR="00570532">
        <w:t xml:space="preserve">Uit de evaluatie blijkt namelijk dat de discrepantie tussen de uren die organisaties kunnen aanbieden in de BSO en de uren die sollicitanten wensen, een breed ervaren knelpunt in de sector is. </w:t>
      </w:r>
      <w:r w:rsidR="00A86F72">
        <w:t xml:space="preserve">Ik </w:t>
      </w:r>
      <w:r w:rsidR="004C0D58">
        <w:t>zie hierin</w:t>
      </w:r>
      <w:r w:rsidR="00570532">
        <w:t xml:space="preserve"> ook kansen. Als we erin kunnen slagen </w:t>
      </w:r>
      <w:r w:rsidR="00616CB5">
        <w:t xml:space="preserve">het aantal gewerkte uren van bestaand personeel te verhogen, is minder nieuw personeel nodig. Via het Meer Uren Werkt-programma wordt breed ingezet </w:t>
      </w:r>
      <w:r w:rsidR="004C0D58">
        <w:t>op het wegnemen van drempels om meer uren te werken, o.a. in de</w:t>
      </w:r>
      <w:r w:rsidR="00616CB5">
        <w:t xml:space="preserve"> kinderopvang. </w:t>
      </w:r>
      <w:r w:rsidR="004C0D58">
        <w:t xml:space="preserve">Ook gaat het kabinet </w:t>
      </w:r>
      <w:r w:rsidRPr="004C0D58" w:rsidR="004C0D58">
        <w:t xml:space="preserve">een aantal </w:t>
      </w:r>
      <w:r w:rsidR="004C0D58">
        <w:t xml:space="preserve">generieke </w:t>
      </w:r>
      <w:r w:rsidRPr="004C0D58" w:rsidR="004C0D58">
        <w:t xml:space="preserve">maatregelen onderzoeken om meer werken meer te laten lonen: de voltijdsbonus, het </w:t>
      </w:r>
      <w:proofErr w:type="spellStart"/>
      <w:r w:rsidRPr="004C0D58" w:rsidR="004C0D58">
        <w:t>meerurenvoordeel</w:t>
      </w:r>
      <w:proofErr w:type="spellEnd"/>
      <w:r w:rsidRPr="004C0D58" w:rsidR="004C0D58">
        <w:t xml:space="preserve"> en de arbeidskorting per uur. </w:t>
      </w:r>
      <w:r w:rsidR="00616CB5">
        <w:t xml:space="preserve">Samen met de sector bekijk ik welke kansen voor urenvermeerdering er in de kinderopvang </w:t>
      </w:r>
      <w:r w:rsidR="004F1C88">
        <w:t xml:space="preserve">nog meer </w:t>
      </w:r>
      <w:r w:rsidR="00616CB5">
        <w:t>zijn</w:t>
      </w:r>
      <w:r w:rsidR="004F1C88">
        <w:t>, bijvoorbeeld op het gebied van combinatiebanen</w:t>
      </w:r>
      <w:r w:rsidR="00616CB5">
        <w:t xml:space="preserve">. </w:t>
      </w:r>
    </w:p>
    <w:p w:rsidR="00FE26DD" w:rsidP="004E43E1" w:rsidRDefault="00FE26DD" w14:paraId="3C90CDE3" w14:textId="77777777"/>
    <w:p w:rsidR="00FE26DD" w:rsidP="00FE26DD" w:rsidRDefault="00570532" w14:paraId="5E7DC5B5" w14:textId="61AAD383">
      <w:r>
        <w:lastRenderedPageBreak/>
        <w:t xml:space="preserve">Met deze </w:t>
      </w:r>
      <w:r w:rsidRPr="00B16D43" w:rsidR="005109C4">
        <w:rPr>
          <w:i/>
          <w:iCs/>
        </w:rPr>
        <w:t>ex</w:t>
      </w:r>
      <w:r w:rsidR="00B16D43">
        <w:rPr>
          <w:i/>
          <w:iCs/>
        </w:rPr>
        <w:t>-</w:t>
      </w:r>
      <w:proofErr w:type="spellStart"/>
      <w:r w:rsidRPr="00B16D43" w:rsidR="005109C4">
        <w:rPr>
          <w:i/>
          <w:iCs/>
        </w:rPr>
        <w:t>durante</w:t>
      </w:r>
      <w:proofErr w:type="spellEnd"/>
      <w:r w:rsidRPr="00B16D43" w:rsidR="005109C4">
        <w:rPr>
          <w:i/>
          <w:iCs/>
        </w:rPr>
        <w:t xml:space="preserve"> </w:t>
      </w:r>
      <w:r>
        <w:t xml:space="preserve">aanpak geef ik ook </w:t>
      </w:r>
      <w:r w:rsidR="00CA0F74">
        <w:t xml:space="preserve">invulling aan de motie </w:t>
      </w:r>
      <w:r w:rsidRPr="00CA0F74" w:rsidR="00CA0F74">
        <w:t xml:space="preserve">van het lid Van Ark over </w:t>
      </w:r>
      <w:r w:rsidR="00CA0F74">
        <w:t xml:space="preserve">het </w:t>
      </w:r>
      <w:r w:rsidRPr="00CA0F74" w:rsidR="00CA0F74">
        <w:t>zoeken naar creatieve oplossingen voor het vergroten van de capaciteit</w:t>
      </w:r>
      <w:r w:rsidR="00CA0F74">
        <w:t xml:space="preserve"> in de kinderopvang.</w:t>
      </w:r>
      <w:r w:rsidR="00CA0F74">
        <w:rPr>
          <w:rStyle w:val="Voetnootmarkering"/>
        </w:rPr>
        <w:footnoteReference w:id="7"/>
      </w:r>
      <w:r w:rsidR="00E1594A">
        <w:t xml:space="preserve"> </w:t>
      </w:r>
      <w:r w:rsidR="005253B3">
        <w:t>De motie overweegt dat naast reguliere maatregelen ook creatieve oplossingen kunnen worden gezocht</w:t>
      </w:r>
      <w:r w:rsidR="006A650D">
        <w:t xml:space="preserve">. </w:t>
      </w:r>
      <w:r w:rsidR="00A86F72">
        <w:t>B</w:t>
      </w:r>
      <w:r w:rsidR="005253B3">
        <w:t xml:space="preserve">ijvoorbeeld via leerwerkconstructies en het uitbreiden van het aanbod van gastouders. </w:t>
      </w:r>
      <w:r w:rsidR="00ED0E33">
        <w:t>Deze voorbeelden</w:t>
      </w:r>
      <w:r w:rsidR="005253B3">
        <w:t xml:space="preserve"> pas</w:t>
      </w:r>
      <w:r w:rsidR="00ED0E33">
        <w:t>sen</w:t>
      </w:r>
      <w:r w:rsidR="005253B3">
        <w:t xml:space="preserve"> goed bij mijn inzet op </w:t>
      </w:r>
      <w:r w:rsidRPr="004E43E1" w:rsidR="004E43E1">
        <w:t xml:space="preserve">het versterken van het </w:t>
      </w:r>
      <w:r w:rsidRPr="00441CB8" w:rsidR="004E43E1">
        <w:t xml:space="preserve">gastouderaanbod en het bieden van meer ruimte voor de inzet van </w:t>
      </w:r>
      <w:proofErr w:type="spellStart"/>
      <w:r w:rsidR="00CA6D9D">
        <w:t>BIO’s</w:t>
      </w:r>
      <w:proofErr w:type="spellEnd"/>
      <w:r w:rsidR="00ED0E33">
        <w:t>.</w:t>
      </w:r>
      <w:r w:rsidRPr="00441CB8" w:rsidR="004E43E1">
        <w:rPr>
          <w:rStyle w:val="Voetnootmarkering"/>
        </w:rPr>
        <w:footnoteReference w:id="8"/>
      </w:r>
      <w:r w:rsidR="00ED0E33">
        <w:t xml:space="preserve"> Het verzoek om ook te zoeken naar creatieve oplossingen omarm ik graag.</w:t>
      </w:r>
      <w:r w:rsidR="001B0B16">
        <w:t xml:space="preserve"> Dit sluit aan bij de </w:t>
      </w:r>
      <w:r w:rsidRPr="00B16D43" w:rsidR="001B0B16">
        <w:rPr>
          <w:i/>
          <w:iCs/>
        </w:rPr>
        <w:t>ex</w:t>
      </w:r>
      <w:r w:rsidRPr="00B16D43" w:rsidR="00B16D43">
        <w:rPr>
          <w:i/>
          <w:iCs/>
        </w:rPr>
        <w:t>-</w:t>
      </w:r>
      <w:proofErr w:type="spellStart"/>
      <w:r w:rsidRPr="00B16D43" w:rsidR="001B0B16">
        <w:rPr>
          <w:i/>
          <w:iCs/>
        </w:rPr>
        <w:t>durante</w:t>
      </w:r>
      <w:proofErr w:type="spellEnd"/>
      <w:r w:rsidR="001B0B16">
        <w:t xml:space="preserve"> aanpak, waarbij samen met de praktijk via interactieve bijeenkomsten gezocht wordt naar </w:t>
      </w:r>
      <w:r w:rsidRPr="00A06E22" w:rsidR="006E4AA4">
        <w:rPr>
          <w:i/>
          <w:iCs/>
        </w:rPr>
        <w:t>out-of-</w:t>
      </w:r>
      <w:proofErr w:type="spellStart"/>
      <w:r w:rsidRPr="00A06E22" w:rsidR="006E4AA4">
        <w:rPr>
          <w:i/>
          <w:iCs/>
        </w:rPr>
        <w:t>the</w:t>
      </w:r>
      <w:proofErr w:type="spellEnd"/>
      <w:r w:rsidRPr="00A06E22" w:rsidR="006E4AA4">
        <w:rPr>
          <w:i/>
          <w:iCs/>
        </w:rPr>
        <w:t>-box</w:t>
      </w:r>
      <w:r w:rsidR="006E4AA4">
        <w:t xml:space="preserve"> </w:t>
      </w:r>
      <w:r w:rsidR="001B0B16">
        <w:t xml:space="preserve">beleidsopties </w:t>
      </w:r>
      <w:r w:rsidR="006C3946">
        <w:t>om</w:t>
      </w:r>
      <w:r w:rsidR="001B0B16">
        <w:t xml:space="preserve"> de tekortaanpak </w:t>
      </w:r>
      <w:r w:rsidR="006C3946">
        <w:t xml:space="preserve">te </w:t>
      </w:r>
      <w:r w:rsidR="001B0B16">
        <w:t>verrijken.</w:t>
      </w:r>
      <w:r w:rsidRPr="00441CB8" w:rsidR="004E43E1">
        <w:t xml:space="preserve"> </w:t>
      </w:r>
      <w:r w:rsidR="00A86F72">
        <w:t xml:space="preserve">Ik </w:t>
      </w:r>
      <w:r w:rsidR="00A4260B">
        <w:t>nodig</w:t>
      </w:r>
      <w:r w:rsidR="005253B3">
        <w:t xml:space="preserve"> de sector </w:t>
      </w:r>
      <w:r w:rsidR="00A4260B">
        <w:t>uit</w:t>
      </w:r>
      <w:r w:rsidR="005253B3">
        <w:t xml:space="preserve"> om samen met mij te zoeken naar nieuwe creatieve oplossingen en sta open voor goede </w:t>
      </w:r>
      <w:r w:rsidR="006A650D">
        <w:t>ideeën</w:t>
      </w:r>
      <w:r w:rsidR="005253B3">
        <w:t xml:space="preserve">. </w:t>
      </w:r>
      <w:r w:rsidR="00B81AD0">
        <w:t>In</w:t>
      </w:r>
      <w:r w:rsidR="00ED0E33">
        <w:t xml:space="preserve"> de samenwerkingsagenda </w:t>
      </w:r>
      <w:r w:rsidR="00701587">
        <w:t xml:space="preserve">die ik samen </w:t>
      </w:r>
      <w:r w:rsidR="00ED0E33">
        <w:t xml:space="preserve">met de sector </w:t>
      </w:r>
      <w:r w:rsidR="00711D7C">
        <w:t>opstel</w:t>
      </w:r>
      <w:r w:rsidR="00701587">
        <w:t xml:space="preserve">, </w:t>
      </w:r>
      <w:r w:rsidR="00FC696E">
        <w:t xml:space="preserve">betrekken </w:t>
      </w:r>
      <w:r w:rsidR="00701587">
        <w:t>we</w:t>
      </w:r>
      <w:r w:rsidR="00B81AD0">
        <w:t xml:space="preserve"> </w:t>
      </w:r>
      <w:r w:rsidR="00FC696E">
        <w:t xml:space="preserve">ook </w:t>
      </w:r>
      <w:r w:rsidR="00B81AD0">
        <w:t xml:space="preserve">creatieve </w:t>
      </w:r>
      <w:r w:rsidR="0093647E">
        <w:t>ideeën</w:t>
      </w:r>
      <w:r w:rsidR="00701587">
        <w:t xml:space="preserve"> om het tekort aan te pakken</w:t>
      </w:r>
      <w:r w:rsidR="00B81AD0">
        <w:t xml:space="preserve">. </w:t>
      </w:r>
      <w:r w:rsidR="00C773C8">
        <w:t>D</w:t>
      </w:r>
      <w:r w:rsidR="00390A23">
        <w:t xml:space="preserve">e sector en </w:t>
      </w:r>
      <w:r w:rsidRPr="00441CB8" w:rsidR="004E43E1">
        <w:t>ik</w:t>
      </w:r>
      <w:r w:rsidR="00C773C8">
        <w:t xml:space="preserve"> houden</w:t>
      </w:r>
      <w:r w:rsidRPr="00441CB8" w:rsidR="004E43E1">
        <w:t xml:space="preserve"> daarbij aandacht voor eventuele negatieve gevolgen voor de kwaliteit, veiligheid of werkdruk</w:t>
      </w:r>
      <w:r w:rsidR="002E66D0">
        <w:t>.</w:t>
      </w:r>
      <w:r w:rsidR="005253B3">
        <w:t xml:space="preserve"> </w:t>
      </w:r>
      <w:r w:rsidR="00CA6D9D">
        <w:t>Uit een eerdere verkenning</w:t>
      </w:r>
      <w:r w:rsidR="00E0407F">
        <w:t xml:space="preserve"> bleek dat </w:t>
      </w:r>
      <w:r w:rsidR="00CA6D9D">
        <w:t xml:space="preserve">een </w:t>
      </w:r>
      <w:r w:rsidRPr="00441CB8" w:rsidR="004E43E1">
        <w:t xml:space="preserve">verruiming van de </w:t>
      </w:r>
      <w:r w:rsidR="002E66D0">
        <w:t>BKR</w:t>
      </w:r>
      <w:r w:rsidRPr="00441CB8" w:rsidR="004E43E1">
        <w:t xml:space="preserve"> en het inzetten van een groepshulp binnen de </w:t>
      </w:r>
      <w:proofErr w:type="gramStart"/>
      <w:r w:rsidRPr="00441CB8" w:rsidR="004E43E1">
        <w:t>BKR</w:t>
      </w:r>
      <w:r w:rsidR="00E0407F">
        <w:t xml:space="preserve"> risico’s</w:t>
      </w:r>
      <w:proofErr w:type="gramEnd"/>
      <w:r w:rsidR="00E0407F">
        <w:t xml:space="preserve"> voor de kwaliteit, veiligheid en regeldruk met zich meebrengen</w:t>
      </w:r>
      <w:r w:rsidRPr="00441CB8" w:rsidR="004E43E1">
        <w:t>.</w:t>
      </w:r>
      <w:r w:rsidRPr="00441CB8" w:rsidR="004E43E1">
        <w:rPr>
          <w:rStyle w:val="Voetnootmarkering"/>
        </w:rPr>
        <w:footnoteReference w:id="9"/>
      </w:r>
      <w:r w:rsidRPr="00FE26DD" w:rsidR="00FE26DD">
        <w:t xml:space="preserve"> </w:t>
      </w:r>
      <w:r w:rsidR="00FE26DD">
        <w:t>Tot slot bekijk ik samen met de sector of, gelet op het verschil in arbeidsmarktspanning tussen regio’s, een regionale component in de tekortaanpak wenselijk is.</w:t>
      </w:r>
    </w:p>
    <w:p w:rsidR="00B16D43" w:rsidP="00FE26DD" w:rsidRDefault="00B16D43" w14:paraId="376EC9F6" w14:textId="77777777"/>
    <w:p w:rsidR="002F511D" w:rsidP="002F511D" w:rsidRDefault="004F4039" w14:paraId="12B4428E" w14:textId="0DE9803C">
      <w:r>
        <w:t xml:space="preserve">Het </w:t>
      </w:r>
      <w:r w:rsidR="002F511D">
        <w:t>kabinet hecht aan een constructieve samenwerking met sociale partners</w:t>
      </w:r>
      <w:r w:rsidR="002E1C09">
        <w:t xml:space="preserve"> en de praktijk</w:t>
      </w:r>
      <w:r w:rsidR="002F511D">
        <w:t xml:space="preserve">. Een succesvolle aanpak van het personeelstekort </w:t>
      </w:r>
      <w:r w:rsidR="00C7094D">
        <w:t xml:space="preserve">in de kinderopvang </w:t>
      </w:r>
      <w:r w:rsidR="002F511D">
        <w:t>kan alleen samen. Daarom kies ik voor een dynamisch</w:t>
      </w:r>
      <w:r w:rsidR="000755F5">
        <w:t>e</w:t>
      </w:r>
      <w:r w:rsidR="002F511D">
        <w:t xml:space="preserve"> evaluatiemethode waarbij </w:t>
      </w:r>
      <w:proofErr w:type="spellStart"/>
      <w:r w:rsidR="002F511D">
        <w:rPr>
          <w:i/>
          <w:iCs/>
        </w:rPr>
        <w:t>evidence</w:t>
      </w:r>
      <w:proofErr w:type="spellEnd"/>
      <w:r w:rsidR="002F511D">
        <w:rPr>
          <w:i/>
          <w:iCs/>
        </w:rPr>
        <w:t xml:space="preserve"> </w:t>
      </w:r>
      <w:proofErr w:type="spellStart"/>
      <w:r w:rsidR="002F511D">
        <w:rPr>
          <w:i/>
          <w:iCs/>
        </w:rPr>
        <w:t>based</w:t>
      </w:r>
      <w:proofErr w:type="spellEnd"/>
      <w:r w:rsidR="002F511D">
        <w:rPr>
          <w:i/>
          <w:iCs/>
        </w:rPr>
        <w:t xml:space="preserve"> </w:t>
      </w:r>
      <w:r w:rsidR="002F511D">
        <w:t xml:space="preserve">beleid wordt gemaakt in nauwe samenwerking met onderzoekers, </w:t>
      </w:r>
      <w:r w:rsidR="006020E5">
        <w:t xml:space="preserve">de praktijk, </w:t>
      </w:r>
      <w:r w:rsidR="002F511D">
        <w:t>werkgeversorganisaties, vakbonden, beroepsvereniging en oudervertegenwoordi</w:t>
      </w:r>
      <w:r w:rsidR="005715D4">
        <w:t>gi</w:t>
      </w:r>
      <w:r w:rsidR="002F511D">
        <w:t>ng. Ik informeer uw Kamer begin 2027 over de ervaringen met deze evaluatiemethode, de resultaten en de verdere vormgeving van het arbeidsmarktkraptebeleid.</w:t>
      </w:r>
    </w:p>
    <w:p w:rsidR="00263B46" w:rsidP="002F511D" w:rsidRDefault="00263B46" w14:paraId="64458D57" w14:textId="77777777">
      <w:pPr>
        <w:rPr>
          <w:u w:val="single"/>
        </w:rPr>
      </w:pPr>
    </w:p>
    <w:p w:rsidR="00154065" w:rsidP="002F511D" w:rsidRDefault="00154065" w14:paraId="65652493" w14:textId="77777777">
      <w:pPr>
        <w:rPr>
          <w:u w:val="single"/>
        </w:rPr>
      </w:pPr>
    </w:p>
    <w:p w:rsidR="00154065" w:rsidP="002F511D" w:rsidRDefault="00154065" w14:paraId="48B1F6DC" w14:textId="77777777">
      <w:pPr>
        <w:rPr>
          <w:u w:val="single"/>
        </w:rPr>
      </w:pPr>
    </w:p>
    <w:p w:rsidR="00154065" w:rsidP="002F511D" w:rsidRDefault="00154065" w14:paraId="469AAF9E" w14:textId="77777777">
      <w:pPr>
        <w:rPr>
          <w:u w:val="single"/>
        </w:rPr>
      </w:pPr>
    </w:p>
    <w:p w:rsidR="00154065" w:rsidP="002F511D" w:rsidRDefault="00154065" w14:paraId="173965C4" w14:textId="77777777">
      <w:pPr>
        <w:rPr>
          <w:u w:val="single"/>
        </w:rPr>
      </w:pPr>
    </w:p>
    <w:p w:rsidR="00154065" w:rsidP="002F511D" w:rsidRDefault="00154065" w14:paraId="30496A09" w14:textId="77777777">
      <w:pPr>
        <w:rPr>
          <w:u w:val="single"/>
        </w:rPr>
      </w:pPr>
    </w:p>
    <w:p w:rsidR="00154065" w:rsidP="002F511D" w:rsidRDefault="00154065" w14:paraId="3EA339FB" w14:textId="77777777">
      <w:pPr>
        <w:rPr>
          <w:u w:val="single"/>
        </w:rPr>
      </w:pPr>
    </w:p>
    <w:p w:rsidR="00154065" w:rsidP="002F511D" w:rsidRDefault="00154065" w14:paraId="3015F62E" w14:textId="77777777">
      <w:pPr>
        <w:rPr>
          <w:u w:val="single"/>
        </w:rPr>
      </w:pPr>
    </w:p>
    <w:p w:rsidR="00154065" w:rsidP="002F511D" w:rsidRDefault="00154065" w14:paraId="60EB2411" w14:textId="77777777">
      <w:pPr>
        <w:rPr>
          <w:u w:val="single"/>
        </w:rPr>
      </w:pPr>
    </w:p>
    <w:p w:rsidR="00154065" w:rsidP="002F511D" w:rsidRDefault="00154065" w14:paraId="48A06A3E" w14:textId="77777777">
      <w:pPr>
        <w:rPr>
          <w:u w:val="single"/>
        </w:rPr>
      </w:pPr>
    </w:p>
    <w:p w:rsidR="00154065" w:rsidP="002F511D" w:rsidRDefault="00154065" w14:paraId="47737B48" w14:textId="77777777">
      <w:pPr>
        <w:rPr>
          <w:u w:val="single"/>
        </w:rPr>
      </w:pPr>
    </w:p>
    <w:p w:rsidR="00154065" w:rsidP="002F511D" w:rsidRDefault="00154065" w14:paraId="16C9030D" w14:textId="77777777">
      <w:pPr>
        <w:rPr>
          <w:u w:val="single"/>
        </w:rPr>
      </w:pPr>
    </w:p>
    <w:p w:rsidR="00154065" w:rsidP="002F511D" w:rsidRDefault="00154065" w14:paraId="25E10A82" w14:textId="77777777">
      <w:pPr>
        <w:rPr>
          <w:u w:val="single"/>
        </w:rPr>
      </w:pPr>
    </w:p>
    <w:p w:rsidR="00154065" w:rsidP="002F511D" w:rsidRDefault="00154065" w14:paraId="1959E60B" w14:textId="77777777">
      <w:pPr>
        <w:rPr>
          <w:u w:val="single"/>
        </w:rPr>
      </w:pPr>
    </w:p>
    <w:p w:rsidR="00154065" w:rsidP="002F511D" w:rsidRDefault="00154065" w14:paraId="709E623F" w14:textId="77777777">
      <w:pPr>
        <w:rPr>
          <w:u w:val="single"/>
        </w:rPr>
      </w:pPr>
    </w:p>
    <w:p w:rsidR="00154065" w:rsidP="002F511D" w:rsidRDefault="00154065" w14:paraId="3FAC835C" w14:textId="77777777">
      <w:pPr>
        <w:rPr>
          <w:u w:val="single"/>
        </w:rPr>
      </w:pPr>
    </w:p>
    <w:p w:rsidR="00154065" w:rsidP="002F511D" w:rsidRDefault="00154065" w14:paraId="0256348A" w14:textId="77777777">
      <w:pPr>
        <w:rPr>
          <w:u w:val="single"/>
        </w:rPr>
      </w:pPr>
    </w:p>
    <w:p w:rsidR="00154065" w:rsidP="002F511D" w:rsidRDefault="00154065" w14:paraId="2FBD6EDB" w14:textId="77777777">
      <w:pPr>
        <w:rPr>
          <w:u w:val="single"/>
        </w:rPr>
      </w:pPr>
    </w:p>
    <w:p w:rsidR="00154065" w:rsidP="002F511D" w:rsidRDefault="00154065" w14:paraId="2AE10DE6" w14:textId="77777777">
      <w:pPr>
        <w:rPr>
          <w:u w:val="single"/>
        </w:rPr>
      </w:pPr>
    </w:p>
    <w:p w:rsidR="00154065" w:rsidP="002F511D" w:rsidRDefault="00154065" w14:paraId="049BE202" w14:textId="77777777">
      <w:pPr>
        <w:rPr>
          <w:u w:val="single"/>
        </w:rPr>
      </w:pPr>
    </w:p>
    <w:p w:rsidRPr="005E6645" w:rsidR="002F511D" w:rsidP="002F511D" w:rsidRDefault="002F511D" w14:paraId="02530ADA" w14:textId="16DF03A7">
      <w:pPr>
        <w:rPr>
          <w:u w:val="single"/>
        </w:rPr>
      </w:pPr>
      <w:r>
        <w:rPr>
          <w:u w:val="single"/>
        </w:rPr>
        <w:lastRenderedPageBreak/>
        <w:t>Afsluiting</w:t>
      </w:r>
    </w:p>
    <w:p w:rsidR="00271785" w:rsidP="002F511D" w:rsidRDefault="00271785" w14:paraId="4E92EF20" w14:textId="5E97592D">
      <w:r>
        <w:t xml:space="preserve">Ik ben trots op alle inzet de afgelopen jaren om het personeelstekort in de kinderopvang te verminderen. </w:t>
      </w:r>
      <w:r w:rsidR="00471F79">
        <w:t>Juist omdat t</w:t>
      </w:r>
      <w:r w:rsidR="00145311">
        <w:t xml:space="preserve">oegankelijke kinderopvang </w:t>
      </w:r>
      <w:r w:rsidR="00471F79">
        <w:t>zo</w:t>
      </w:r>
      <w:r w:rsidR="00145311">
        <w:t xml:space="preserve"> essentieel </w:t>
      </w:r>
      <w:r w:rsidR="00471F79">
        <w:t xml:space="preserve">is </w:t>
      </w:r>
      <w:r w:rsidR="00670BCC">
        <w:t>voor de arbeidsparticipatie van ouders</w:t>
      </w:r>
      <w:r w:rsidR="008A3945">
        <w:t xml:space="preserve">. </w:t>
      </w:r>
      <w:r>
        <w:t>Het evaluatierapport toont aan dat er al mooie stappen zijn gezet en dat er nog ruimte voor verbetering is. Met de</w:t>
      </w:r>
      <w:r w:rsidR="006E1AAF">
        <w:t xml:space="preserve"> nieuwe inzichten en nieuwe werkwijze van de</w:t>
      </w:r>
      <w:r>
        <w:t xml:space="preserve"> </w:t>
      </w:r>
      <w:r w:rsidRPr="00A0241C">
        <w:rPr>
          <w:i/>
          <w:iCs/>
        </w:rPr>
        <w:t>ex-</w:t>
      </w:r>
      <w:proofErr w:type="spellStart"/>
      <w:r w:rsidRPr="00A0241C">
        <w:rPr>
          <w:i/>
          <w:iCs/>
        </w:rPr>
        <w:t>durante</w:t>
      </w:r>
      <w:proofErr w:type="spellEnd"/>
      <w:r>
        <w:t xml:space="preserve"> aanpak de komende twee jaar ga ik samen met de sector </w:t>
      </w:r>
      <w:r w:rsidR="00523B3D">
        <w:t xml:space="preserve">verder </w:t>
      </w:r>
      <w:r>
        <w:t xml:space="preserve">aan de slag om de arbeidsmarktaanpak </w:t>
      </w:r>
      <w:r w:rsidR="006E1AAF">
        <w:t>beter</w:t>
      </w:r>
      <w:r>
        <w:t xml:space="preserve"> aan te</w:t>
      </w:r>
      <w:r w:rsidR="00F44CF4">
        <w:t xml:space="preserve"> laten</w:t>
      </w:r>
      <w:r>
        <w:t xml:space="preserve"> sluiten op wat er nodig is in de kinderopvang. </w:t>
      </w:r>
      <w:r w:rsidR="00B23EA6">
        <w:t xml:space="preserve">Ook blijf ik de wachttijden monitoren. </w:t>
      </w:r>
      <w:r>
        <w:t>Zo zorgen we er samen voor dat de kinderopvang toegankelijk blijft voor werkende ouders en pedagogisch professionals iedere dag met een goed gevoel onze kinderen kunnen ondersteunen in hun ontwikkeling.</w:t>
      </w:r>
    </w:p>
    <w:p w:rsidR="0045393E" w:rsidRDefault="0045393E" w14:paraId="0425BD72" w14:textId="77777777">
      <w:pPr>
        <w:pStyle w:val="WitregelW1bodytekst"/>
      </w:pPr>
    </w:p>
    <w:p w:rsidRPr="002F511D" w:rsidR="002F511D" w:rsidP="002F511D" w:rsidRDefault="002F511D" w14:paraId="59820B82" w14:textId="77777777"/>
    <w:p w:rsidR="0045393E" w:rsidRDefault="005C3ADE" w14:paraId="0425BD73" w14:textId="77777777">
      <w:r>
        <w:t>De Minister van Werk en Participatie,</w:t>
      </w:r>
    </w:p>
    <w:p w:rsidR="0045393E" w:rsidRDefault="0045393E" w14:paraId="0425BD74" w14:textId="77777777"/>
    <w:p w:rsidR="0045393E" w:rsidRDefault="0045393E" w14:paraId="0425BD75" w14:textId="77777777"/>
    <w:p w:rsidR="0045393E" w:rsidRDefault="0045393E" w14:paraId="0425BD76" w14:textId="77777777"/>
    <w:p w:rsidR="0045393E" w:rsidRDefault="0045393E" w14:paraId="0425BD77" w14:textId="77777777"/>
    <w:p w:rsidR="0045393E" w:rsidRDefault="0045393E" w14:paraId="0425BD78" w14:textId="77777777"/>
    <w:p w:rsidR="0045393E" w:rsidRDefault="005C3ADE" w14:paraId="0425BD79" w14:textId="77777777">
      <w:r>
        <w:t>A.A. Aartsen</w:t>
      </w:r>
    </w:p>
    <w:sectPr w:rsidR="0045393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BD82" w14:textId="77777777" w:rsidR="005C3ADE" w:rsidRDefault="005C3ADE">
      <w:pPr>
        <w:spacing w:line="240" w:lineRule="auto"/>
      </w:pPr>
      <w:r>
        <w:separator/>
      </w:r>
    </w:p>
  </w:endnote>
  <w:endnote w:type="continuationSeparator" w:id="0">
    <w:p w14:paraId="0425BD84" w14:textId="77777777" w:rsidR="005C3ADE" w:rsidRDefault="005C3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E68C" w14:textId="77777777" w:rsidR="00CA1A62" w:rsidRDefault="00CA1A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ECE9" w14:textId="77777777" w:rsidR="00CA1A62" w:rsidRDefault="00CA1A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7F07" w14:textId="77777777" w:rsidR="00CA1A62" w:rsidRDefault="00CA1A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BD7E" w14:textId="77777777" w:rsidR="005C3ADE" w:rsidRDefault="005C3ADE">
      <w:pPr>
        <w:spacing w:line="240" w:lineRule="auto"/>
      </w:pPr>
      <w:r>
        <w:separator/>
      </w:r>
    </w:p>
  </w:footnote>
  <w:footnote w:type="continuationSeparator" w:id="0">
    <w:p w14:paraId="0425BD80" w14:textId="77777777" w:rsidR="005C3ADE" w:rsidRDefault="005C3ADE">
      <w:pPr>
        <w:spacing w:line="240" w:lineRule="auto"/>
      </w:pPr>
      <w:r>
        <w:continuationSeparator/>
      </w:r>
    </w:p>
  </w:footnote>
  <w:footnote w:id="1">
    <w:p w14:paraId="34A18614" w14:textId="039ED704" w:rsidR="002F511D" w:rsidRPr="00C2764F" w:rsidRDefault="002F511D" w:rsidP="002F511D">
      <w:pPr>
        <w:pStyle w:val="Voetnoottekst"/>
        <w:rPr>
          <w:sz w:val="14"/>
          <w:szCs w:val="14"/>
        </w:rPr>
      </w:pPr>
      <w:r w:rsidRPr="00C2764F">
        <w:rPr>
          <w:rStyle w:val="Voetnootmarkering"/>
          <w:sz w:val="14"/>
          <w:szCs w:val="14"/>
        </w:rPr>
        <w:footnoteRef/>
      </w:r>
      <w:r w:rsidRPr="00C2764F">
        <w:rPr>
          <w:sz w:val="14"/>
          <w:szCs w:val="14"/>
        </w:rPr>
        <w:t xml:space="preserve"> Meest recent in de Kamerbrief van </w:t>
      </w:r>
      <w:r w:rsidR="002A498E" w:rsidRPr="00C2764F">
        <w:rPr>
          <w:sz w:val="14"/>
          <w:szCs w:val="14"/>
        </w:rPr>
        <w:t>25 november 2025</w:t>
      </w:r>
      <w:r w:rsidRPr="00C2764F">
        <w:rPr>
          <w:sz w:val="14"/>
          <w:szCs w:val="14"/>
        </w:rPr>
        <w:t xml:space="preserve"> (Kamerstukken II </w:t>
      </w:r>
      <w:r w:rsidR="002A498E" w:rsidRPr="00C2764F">
        <w:rPr>
          <w:sz w:val="14"/>
          <w:szCs w:val="14"/>
        </w:rPr>
        <w:t>2025</w:t>
      </w:r>
      <w:r w:rsidRPr="00C2764F">
        <w:rPr>
          <w:sz w:val="14"/>
          <w:szCs w:val="14"/>
        </w:rPr>
        <w:t>/</w:t>
      </w:r>
      <w:r w:rsidR="002A498E" w:rsidRPr="00C2764F">
        <w:rPr>
          <w:sz w:val="14"/>
          <w:szCs w:val="14"/>
        </w:rPr>
        <w:t>2026</w:t>
      </w:r>
      <w:r w:rsidRPr="00C2764F">
        <w:rPr>
          <w:sz w:val="14"/>
          <w:szCs w:val="14"/>
        </w:rPr>
        <w:t xml:space="preserve">, 31322, nr. </w:t>
      </w:r>
      <w:r w:rsidR="002A498E" w:rsidRPr="00C2764F">
        <w:rPr>
          <w:sz w:val="14"/>
          <w:szCs w:val="14"/>
        </w:rPr>
        <w:t>570</w:t>
      </w:r>
      <w:r w:rsidRPr="00C2764F">
        <w:rPr>
          <w:sz w:val="14"/>
          <w:szCs w:val="14"/>
        </w:rPr>
        <w:t xml:space="preserve">). </w:t>
      </w:r>
    </w:p>
  </w:footnote>
  <w:footnote w:id="2">
    <w:p w14:paraId="6A4058A5" w14:textId="77777777" w:rsidR="00C049AF" w:rsidRPr="00C2764F" w:rsidRDefault="00C049AF" w:rsidP="00C049AF">
      <w:pPr>
        <w:pStyle w:val="Voetnoottekst"/>
        <w:rPr>
          <w:sz w:val="16"/>
          <w:szCs w:val="16"/>
        </w:rPr>
      </w:pPr>
      <w:r w:rsidRPr="00C2764F">
        <w:rPr>
          <w:rStyle w:val="Voetnootmarkering"/>
          <w:sz w:val="14"/>
          <w:szCs w:val="14"/>
        </w:rPr>
        <w:footnoteRef/>
      </w:r>
      <w:r w:rsidRPr="00C2764F">
        <w:rPr>
          <w:sz w:val="16"/>
          <w:szCs w:val="16"/>
        </w:rPr>
        <w:t xml:space="preserve"> </w:t>
      </w:r>
      <w:r w:rsidRPr="00C2764F">
        <w:rPr>
          <w:sz w:val="14"/>
          <w:szCs w:val="14"/>
        </w:rPr>
        <w:t>Prognosemodel Zorg en Welzijn (PMZW): https://prognosemodelzw.nl/dashboard/stories-dashboard/kinderopvang--ko-</w:t>
      </w:r>
    </w:p>
  </w:footnote>
  <w:footnote w:id="3">
    <w:p w14:paraId="5FFA1EE9" w14:textId="50B3A4A9" w:rsidR="00CA6D9D" w:rsidRPr="00C2764F" w:rsidRDefault="00CA6D9D">
      <w:pPr>
        <w:pStyle w:val="Voetnoottekst"/>
        <w:rPr>
          <w:sz w:val="14"/>
          <w:szCs w:val="14"/>
        </w:rPr>
      </w:pPr>
      <w:r w:rsidRPr="00C2764F">
        <w:rPr>
          <w:rStyle w:val="Voetnootmarkering"/>
          <w:sz w:val="14"/>
          <w:szCs w:val="14"/>
        </w:rPr>
        <w:footnoteRef/>
      </w:r>
      <w:r w:rsidRPr="00C2764F">
        <w:rPr>
          <w:sz w:val="14"/>
          <w:szCs w:val="14"/>
        </w:rPr>
        <w:t xml:space="preserve"> Zoals de ruimere inzet van </w:t>
      </w:r>
      <w:proofErr w:type="spellStart"/>
      <w:r w:rsidRPr="00C2764F">
        <w:rPr>
          <w:sz w:val="14"/>
          <w:szCs w:val="14"/>
        </w:rPr>
        <w:t>BIO’s</w:t>
      </w:r>
      <w:proofErr w:type="spellEnd"/>
      <w:r w:rsidRPr="00C2764F">
        <w:rPr>
          <w:sz w:val="14"/>
          <w:szCs w:val="14"/>
        </w:rPr>
        <w:t xml:space="preserve"> en de BKR mogen berekenen op locatieniveau voor de BSO.</w:t>
      </w:r>
    </w:p>
  </w:footnote>
  <w:footnote w:id="4">
    <w:p w14:paraId="67D6610D" w14:textId="21DE428B" w:rsidR="00CA6D9D" w:rsidRPr="00C2764F" w:rsidRDefault="00CA6D9D">
      <w:pPr>
        <w:pStyle w:val="Voetnoottekst"/>
        <w:rPr>
          <w:sz w:val="16"/>
          <w:szCs w:val="16"/>
        </w:rPr>
      </w:pPr>
      <w:r w:rsidRPr="00C2764F">
        <w:rPr>
          <w:rStyle w:val="Voetnootmarkering"/>
          <w:sz w:val="14"/>
          <w:szCs w:val="14"/>
        </w:rPr>
        <w:footnoteRef/>
      </w:r>
      <w:r w:rsidRPr="00C2764F">
        <w:rPr>
          <w:sz w:val="14"/>
          <w:szCs w:val="14"/>
        </w:rPr>
        <w:t xml:space="preserve"> Bijvoorbeeld de subsidieregeling groepshulpen per 2024.</w:t>
      </w:r>
    </w:p>
  </w:footnote>
  <w:footnote w:id="5">
    <w:p w14:paraId="4BF4B7CE" w14:textId="24D206F5" w:rsidR="00CA6D9D" w:rsidRPr="00C2764F" w:rsidRDefault="00CA6D9D">
      <w:pPr>
        <w:pStyle w:val="Voetnoottekst"/>
        <w:rPr>
          <w:sz w:val="14"/>
          <w:szCs w:val="14"/>
        </w:rPr>
      </w:pPr>
      <w:r w:rsidRPr="00C2764F">
        <w:rPr>
          <w:rStyle w:val="Voetnootmarkering"/>
          <w:sz w:val="14"/>
          <w:szCs w:val="14"/>
        </w:rPr>
        <w:footnoteRef/>
      </w:r>
      <w:r w:rsidRPr="00C2764F">
        <w:rPr>
          <w:sz w:val="14"/>
          <w:szCs w:val="14"/>
        </w:rPr>
        <w:t xml:space="preserve"> Exclusief uitvoeringskosten voor toezicht en handhaving op gewijzigde kwaliteitseisen.</w:t>
      </w:r>
    </w:p>
  </w:footnote>
  <w:footnote w:id="6">
    <w:p w14:paraId="651D8AE6" w14:textId="0488389B" w:rsidR="00CA6D9D" w:rsidRPr="00C2764F" w:rsidRDefault="00CA6D9D">
      <w:pPr>
        <w:pStyle w:val="Voetnoottekst"/>
        <w:rPr>
          <w:sz w:val="14"/>
          <w:szCs w:val="14"/>
        </w:rPr>
      </w:pPr>
      <w:r w:rsidRPr="00C2764F">
        <w:rPr>
          <w:rStyle w:val="Voetnootmarkering"/>
          <w:sz w:val="14"/>
          <w:szCs w:val="14"/>
        </w:rPr>
        <w:footnoteRef/>
      </w:r>
      <w:r w:rsidRPr="00C2764F">
        <w:rPr>
          <w:sz w:val="14"/>
          <w:szCs w:val="14"/>
        </w:rPr>
        <w:t xml:space="preserve"> Sollicitanten willen vaak meer uren werken dan mogelijk is in de BSO.</w:t>
      </w:r>
    </w:p>
  </w:footnote>
  <w:footnote w:id="7">
    <w:p w14:paraId="31379CD6" w14:textId="74377558" w:rsidR="00CA0F74" w:rsidRPr="00C2764F" w:rsidRDefault="00CA0F74">
      <w:pPr>
        <w:pStyle w:val="Voetnoottekst"/>
        <w:rPr>
          <w:sz w:val="16"/>
          <w:szCs w:val="16"/>
        </w:rPr>
      </w:pPr>
      <w:r w:rsidRPr="00C2764F">
        <w:rPr>
          <w:rStyle w:val="Voetnootmarkering"/>
          <w:sz w:val="14"/>
          <w:szCs w:val="14"/>
        </w:rPr>
        <w:footnoteRef/>
      </w:r>
      <w:r w:rsidRPr="00C2764F">
        <w:rPr>
          <w:sz w:val="14"/>
          <w:szCs w:val="14"/>
        </w:rPr>
        <w:t xml:space="preserve"> Motie 31322-582 van 31 maart 2026</w:t>
      </w:r>
      <w:r w:rsidR="00CA6D9D" w:rsidRPr="00C2764F">
        <w:rPr>
          <w:sz w:val="14"/>
          <w:szCs w:val="14"/>
        </w:rPr>
        <w:t>.</w:t>
      </w:r>
    </w:p>
  </w:footnote>
  <w:footnote w:id="8">
    <w:p w14:paraId="2BE592B4" w14:textId="40A7FC50" w:rsidR="004E43E1" w:rsidRPr="00C2764F" w:rsidRDefault="004E43E1" w:rsidP="004E43E1">
      <w:pPr>
        <w:pStyle w:val="Voetnoottekst"/>
        <w:rPr>
          <w:sz w:val="14"/>
          <w:szCs w:val="14"/>
        </w:rPr>
      </w:pPr>
      <w:r w:rsidRPr="00C2764F">
        <w:rPr>
          <w:rStyle w:val="Voetnootmarkering"/>
          <w:sz w:val="14"/>
          <w:szCs w:val="14"/>
        </w:rPr>
        <w:footnoteRef/>
      </w:r>
      <w:r w:rsidRPr="00C2764F">
        <w:rPr>
          <w:sz w:val="14"/>
          <w:szCs w:val="14"/>
        </w:rPr>
        <w:t xml:space="preserve"> </w:t>
      </w:r>
      <w:r w:rsidR="002A1912" w:rsidRPr="00C2764F">
        <w:rPr>
          <w:sz w:val="14"/>
          <w:szCs w:val="14"/>
        </w:rPr>
        <w:t>Kamerstukken II 2024/2025, 31322, nr. 554 en nr. 572</w:t>
      </w:r>
    </w:p>
  </w:footnote>
  <w:footnote w:id="9">
    <w:p w14:paraId="54655E63" w14:textId="63028BD6" w:rsidR="004E43E1" w:rsidRPr="00C2764F" w:rsidRDefault="004E43E1" w:rsidP="004E43E1">
      <w:pPr>
        <w:pStyle w:val="Voetnoottekst"/>
        <w:rPr>
          <w:sz w:val="16"/>
          <w:szCs w:val="16"/>
        </w:rPr>
      </w:pPr>
      <w:r w:rsidRPr="00C2764F">
        <w:rPr>
          <w:rStyle w:val="Voetnootmarkering"/>
          <w:sz w:val="14"/>
          <w:szCs w:val="14"/>
        </w:rPr>
        <w:footnoteRef/>
      </w:r>
      <w:r w:rsidRPr="00C2764F">
        <w:rPr>
          <w:sz w:val="14"/>
          <w:szCs w:val="14"/>
        </w:rPr>
        <w:t xml:space="preserve"> </w:t>
      </w:r>
      <w:r w:rsidR="00900A30" w:rsidRPr="00C2764F">
        <w:rPr>
          <w:sz w:val="14"/>
          <w:szCs w:val="14"/>
        </w:rPr>
        <w:t>Kamerstukken II 2024/2025, 31322, nr. 569</w:t>
      </w:r>
      <w:r w:rsidRPr="00C2764F">
        <w:rPr>
          <w:sz w:val="14"/>
          <w:szCs w:val="14"/>
        </w:rPr>
        <w:t>, uitkomst van deze twee verkenningen was een negatief advies wegens risico’s voor de kwaliteit, veiligheid en werkdruk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57B4" w14:textId="77777777" w:rsidR="00CA1A62" w:rsidRDefault="00CA1A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BD7A" w14:textId="77777777" w:rsidR="0045393E" w:rsidRDefault="005C3ADE">
    <w:r>
      <w:rPr>
        <w:noProof/>
      </w:rPr>
      <mc:AlternateContent>
        <mc:Choice Requires="wps">
          <w:drawing>
            <wp:anchor distT="0" distB="0" distL="0" distR="0" simplePos="0" relativeHeight="251654144" behindDoc="0" locked="1" layoutInCell="1" allowOverlap="1" wp14:anchorId="0425BD7E" wp14:editId="0425BD7F">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425BDAF" w14:textId="77777777" w:rsidR="0045393E" w:rsidRDefault="005C3ADE">
                          <w:pPr>
                            <w:pStyle w:val="Referentiegegevenskopjes"/>
                          </w:pPr>
                          <w:r>
                            <w:t>Datum</w:t>
                          </w:r>
                        </w:p>
                        <w:p w14:paraId="23FE9D62" w14:textId="4E0AB7FA" w:rsidR="00094F48" w:rsidRDefault="00C3062E">
                          <w:pPr>
                            <w:pStyle w:val="Referentiegegevens"/>
                          </w:pPr>
                          <w:r>
                            <w:t>26-05-2026</w:t>
                          </w:r>
                          <w:r>
                            <w:fldChar w:fldCharType="begin"/>
                          </w:r>
                          <w:r>
                            <w:instrText xml:space="preserve"> DOCPROPERTY  "iDatum"  \* MERGEFORMAT </w:instrText>
                          </w:r>
                          <w:r>
                            <w:fldChar w:fldCharType="end"/>
                          </w:r>
                        </w:p>
                        <w:p w14:paraId="0425BDB1" w14:textId="77777777" w:rsidR="0045393E" w:rsidRDefault="0045393E">
                          <w:pPr>
                            <w:pStyle w:val="WitregelW1"/>
                          </w:pPr>
                        </w:p>
                        <w:p w14:paraId="0425BDB2" w14:textId="77777777" w:rsidR="0045393E" w:rsidRDefault="005C3ADE">
                          <w:pPr>
                            <w:pStyle w:val="Referentiegegevenskopjes"/>
                          </w:pPr>
                          <w:r>
                            <w:t>Onze referentie</w:t>
                          </w:r>
                        </w:p>
                        <w:p w14:paraId="7CC82CF8" w14:textId="2D3C3F48" w:rsidR="00824171" w:rsidRDefault="00A45B2C">
                          <w:pPr>
                            <w:pStyle w:val="ReferentiegegevensHL"/>
                          </w:pPr>
                          <w:fldSimple w:instr=" DOCPROPERTY  &quot;iOnsKenmerk&quot;  \* MERGEFORMAT ">
                            <w:r w:rsidR="00CA1A62">
                              <w:t>2026-0000083055</w:t>
                            </w:r>
                          </w:fldSimple>
                        </w:p>
                      </w:txbxContent>
                    </wps:txbx>
                    <wps:bodyPr vert="horz" wrap="square" lIns="0" tIns="0" rIns="0" bIns="0" anchor="t" anchorCtr="0"/>
                  </wps:wsp>
                </a:graphicData>
              </a:graphic>
            </wp:anchor>
          </w:drawing>
        </mc:Choice>
        <mc:Fallback>
          <w:pict>
            <v:shapetype w14:anchorId="0425BD7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425BDAF" w14:textId="77777777" w:rsidR="0045393E" w:rsidRDefault="005C3ADE">
                    <w:pPr>
                      <w:pStyle w:val="Referentiegegevenskopjes"/>
                    </w:pPr>
                    <w:r>
                      <w:t>Datum</w:t>
                    </w:r>
                  </w:p>
                  <w:p w14:paraId="23FE9D62" w14:textId="4E0AB7FA" w:rsidR="00094F48" w:rsidRDefault="00C3062E">
                    <w:pPr>
                      <w:pStyle w:val="Referentiegegevens"/>
                    </w:pPr>
                    <w:r>
                      <w:t>26-05-2026</w:t>
                    </w:r>
                    <w:r>
                      <w:fldChar w:fldCharType="begin"/>
                    </w:r>
                    <w:r>
                      <w:instrText xml:space="preserve"> DOCPROPERTY  "iDatum"  \* MERGEFORMAT </w:instrText>
                    </w:r>
                    <w:r>
                      <w:fldChar w:fldCharType="end"/>
                    </w:r>
                  </w:p>
                  <w:p w14:paraId="0425BDB1" w14:textId="77777777" w:rsidR="0045393E" w:rsidRDefault="0045393E">
                    <w:pPr>
                      <w:pStyle w:val="WitregelW1"/>
                    </w:pPr>
                  </w:p>
                  <w:p w14:paraId="0425BDB2" w14:textId="77777777" w:rsidR="0045393E" w:rsidRDefault="005C3ADE">
                    <w:pPr>
                      <w:pStyle w:val="Referentiegegevenskopjes"/>
                    </w:pPr>
                    <w:r>
                      <w:t>Onze referentie</w:t>
                    </w:r>
                  </w:p>
                  <w:p w14:paraId="7CC82CF8" w14:textId="2D3C3F48" w:rsidR="00824171" w:rsidRDefault="00A45B2C">
                    <w:pPr>
                      <w:pStyle w:val="ReferentiegegevensHL"/>
                    </w:pPr>
                    <w:fldSimple w:instr=" DOCPROPERTY  &quot;iOnsKenmerk&quot;  \* MERGEFORMAT ">
                      <w:r w:rsidR="00CA1A62">
                        <w:t>2026-0000083055</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425BD80" wp14:editId="0425BD81">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0BB360B" w14:textId="77777777" w:rsidR="00094F48" w:rsidRDefault="00C3062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425BD8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0BB360B" w14:textId="77777777" w:rsidR="00094F48" w:rsidRDefault="00C3062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BD7C" w14:textId="77777777" w:rsidR="0045393E" w:rsidRDefault="005C3ADE">
    <w:pPr>
      <w:spacing w:after="7029" w:line="14" w:lineRule="exact"/>
    </w:pPr>
    <w:r>
      <w:rPr>
        <w:noProof/>
      </w:rPr>
      <mc:AlternateContent>
        <mc:Choice Requires="wps">
          <w:drawing>
            <wp:anchor distT="0" distB="0" distL="0" distR="0" simplePos="0" relativeHeight="251656192" behindDoc="0" locked="1" layoutInCell="1" allowOverlap="1" wp14:anchorId="0425BD82" wp14:editId="0425BD83">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25BD8E" w14:textId="77777777" w:rsidR="0045393E" w:rsidRDefault="005C3AD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425BD8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425BD8E" w14:textId="77777777" w:rsidR="0045393E" w:rsidRDefault="005C3AD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425BD84" wp14:editId="0425BD85">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425BD91" w14:textId="77777777" w:rsidR="0045393E" w:rsidRPr="00EF12E3" w:rsidRDefault="005C3ADE">
                          <w:pPr>
                            <w:pStyle w:val="Afzendgegevens"/>
                            <w:rPr>
                              <w:lang w:val="de-DE"/>
                            </w:rPr>
                          </w:pPr>
                          <w:r w:rsidRPr="00EF12E3">
                            <w:rPr>
                              <w:lang w:val="de-DE"/>
                            </w:rPr>
                            <w:t>Postbus 90801</w:t>
                          </w:r>
                        </w:p>
                        <w:p w14:paraId="0425BD92" w14:textId="139B19DC" w:rsidR="0045393E" w:rsidRPr="00EF12E3" w:rsidRDefault="005C3ADE">
                          <w:pPr>
                            <w:pStyle w:val="Afzendgegevens"/>
                            <w:rPr>
                              <w:lang w:val="de-DE"/>
                            </w:rPr>
                          </w:pPr>
                          <w:r w:rsidRPr="00EF12E3">
                            <w:rPr>
                              <w:lang w:val="de-DE"/>
                            </w:rPr>
                            <w:t>2509 LV Den Haag</w:t>
                          </w:r>
                        </w:p>
                        <w:p w14:paraId="0425BD93" w14:textId="77777777" w:rsidR="0045393E" w:rsidRPr="00EF12E3" w:rsidRDefault="005C3ADE">
                          <w:pPr>
                            <w:pStyle w:val="Afzendgegevens"/>
                            <w:rPr>
                              <w:lang w:val="de-DE"/>
                            </w:rPr>
                          </w:pPr>
                          <w:r w:rsidRPr="00EF12E3">
                            <w:rPr>
                              <w:lang w:val="de-DE"/>
                            </w:rPr>
                            <w:t>T   070 333 44 44</w:t>
                          </w:r>
                        </w:p>
                        <w:p w14:paraId="0425BD94" w14:textId="77777777" w:rsidR="0045393E" w:rsidRPr="00EF12E3" w:rsidRDefault="0045393E">
                          <w:pPr>
                            <w:pStyle w:val="WitregelW2"/>
                            <w:rPr>
                              <w:lang w:val="de-DE"/>
                            </w:rPr>
                          </w:pPr>
                        </w:p>
                        <w:p w14:paraId="0425BD95" w14:textId="77777777" w:rsidR="0045393E" w:rsidRDefault="005C3ADE">
                          <w:pPr>
                            <w:pStyle w:val="Referentiegegevenskopjes"/>
                          </w:pPr>
                          <w:r>
                            <w:t>Onze referentie</w:t>
                          </w:r>
                        </w:p>
                        <w:p w14:paraId="00A30BCF" w14:textId="74DFD566" w:rsidR="00824171" w:rsidRDefault="00A45B2C">
                          <w:pPr>
                            <w:pStyle w:val="ReferentiegegevensHL"/>
                          </w:pPr>
                          <w:fldSimple w:instr=" DOCPROPERTY  &quot;iOnsKenmerk&quot;  \* MERGEFORMAT ">
                            <w:r w:rsidR="00CA1A62">
                              <w:t>2026-0000083055</w:t>
                            </w:r>
                          </w:fldSimple>
                        </w:p>
                        <w:p w14:paraId="0425BD97" w14:textId="77777777" w:rsidR="0045393E" w:rsidRDefault="0045393E">
                          <w:pPr>
                            <w:pStyle w:val="WitregelW1"/>
                          </w:pPr>
                        </w:p>
                        <w:p w14:paraId="0324C093" w14:textId="179127F3" w:rsidR="00192743" w:rsidRDefault="00192743">
                          <w:pPr>
                            <w:pStyle w:val="Referentiegegevens"/>
                            <w:rPr>
                              <w:b/>
                              <w:bCs/>
                            </w:rPr>
                          </w:pPr>
                          <w:r w:rsidRPr="00192743">
                            <w:rPr>
                              <w:b/>
                              <w:bCs/>
                            </w:rPr>
                            <w:t>Bijlage</w:t>
                          </w:r>
                          <w:r w:rsidR="00C3062E" w:rsidRPr="00192743">
                            <w:rPr>
                              <w:b/>
                              <w:bCs/>
                            </w:rPr>
                            <w:fldChar w:fldCharType="begin"/>
                          </w:r>
                          <w:r w:rsidR="00C3062E" w:rsidRPr="00192743">
                            <w:rPr>
                              <w:b/>
                              <w:bCs/>
                            </w:rPr>
                            <w:instrText xml:space="preserve"> DOCPROPERTY  "iCC"  \* MERGEFORMAT </w:instrText>
                          </w:r>
                          <w:r w:rsidR="00C3062E" w:rsidRPr="00192743">
                            <w:rPr>
                              <w:b/>
                              <w:bCs/>
                            </w:rPr>
                            <w:fldChar w:fldCharType="end"/>
                          </w:r>
                        </w:p>
                        <w:p w14:paraId="6DDE86FD" w14:textId="0A70C185" w:rsidR="00094F48" w:rsidRPr="00192743" w:rsidRDefault="00192743">
                          <w:pPr>
                            <w:pStyle w:val="Referentiegegevens"/>
                            <w:rPr>
                              <w:b/>
                              <w:bCs/>
                            </w:rPr>
                          </w:pPr>
                          <w:r>
                            <w:t>2</w:t>
                          </w:r>
                          <w:r w:rsidR="00C3062E">
                            <w:fldChar w:fldCharType="begin"/>
                          </w:r>
                          <w:r w:rsidR="00C3062E">
                            <w:instrText xml:space="preserve"> DOCPROPERTY  "iBijlagen"  \* MERGEFORMAT </w:instrText>
                          </w:r>
                          <w:r w:rsidR="00C3062E">
                            <w:fldChar w:fldCharType="end"/>
                          </w:r>
                        </w:p>
                      </w:txbxContent>
                    </wps:txbx>
                    <wps:bodyPr vert="horz" wrap="square" lIns="0" tIns="0" rIns="0" bIns="0" anchor="t" anchorCtr="0"/>
                  </wps:wsp>
                </a:graphicData>
              </a:graphic>
            </wp:anchor>
          </w:drawing>
        </mc:Choice>
        <mc:Fallback>
          <w:pict>
            <v:shape w14:anchorId="0425BD8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425BD91" w14:textId="77777777" w:rsidR="0045393E" w:rsidRPr="00EF12E3" w:rsidRDefault="005C3ADE">
                    <w:pPr>
                      <w:pStyle w:val="Afzendgegevens"/>
                      <w:rPr>
                        <w:lang w:val="de-DE"/>
                      </w:rPr>
                    </w:pPr>
                    <w:r w:rsidRPr="00EF12E3">
                      <w:rPr>
                        <w:lang w:val="de-DE"/>
                      </w:rPr>
                      <w:t>Postbus 90801</w:t>
                    </w:r>
                  </w:p>
                  <w:p w14:paraId="0425BD92" w14:textId="139B19DC" w:rsidR="0045393E" w:rsidRPr="00EF12E3" w:rsidRDefault="005C3ADE">
                    <w:pPr>
                      <w:pStyle w:val="Afzendgegevens"/>
                      <w:rPr>
                        <w:lang w:val="de-DE"/>
                      </w:rPr>
                    </w:pPr>
                    <w:r w:rsidRPr="00EF12E3">
                      <w:rPr>
                        <w:lang w:val="de-DE"/>
                      </w:rPr>
                      <w:t>2509 LV Den Haag</w:t>
                    </w:r>
                  </w:p>
                  <w:p w14:paraId="0425BD93" w14:textId="77777777" w:rsidR="0045393E" w:rsidRPr="00EF12E3" w:rsidRDefault="005C3ADE">
                    <w:pPr>
                      <w:pStyle w:val="Afzendgegevens"/>
                      <w:rPr>
                        <w:lang w:val="de-DE"/>
                      </w:rPr>
                    </w:pPr>
                    <w:r w:rsidRPr="00EF12E3">
                      <w:rPr>
                        <w:lang w:val="de-DE"/>
                      </w:rPr>
                      <w:t>T   070 333 44 44</w:t>
                    </w:r>
                  </w:p>
                  <w:p w14:paraId="0425BD94" w14:textId="77777777" w:rsidR="0045393E" w:rsidRPr="00EF12E3" w:rsidRDefault="0045393E">
                    <w:pPr>
                      <w:pStyle w:val="WitregelW2"/>
                      <w:rPr>
                        <w:lang w:val="de-DE"/>
                      </w:rPr>
                    </w:pPr>
                  </w:p>
                  <w:p w14:paraId="0425BD95" w14:textId="77777777" w:rsidR="0045393E" w:rsidRDefault="005C3ADE">
                    <w:pPr>
                      <w:pStyle w:val="Referentiegegevenskopjes"/>
                    </w:pPr>
                    <w:r>
                      <w:t>Onze referentie</w:t>
                    </w:r>
                  </w:p>
                  <w:p w14:paraId="00A30BCF" w14:textId="74DFD566" w:rsidR="00824171" w:rsidRDefault="00A45B2C">
                    <w:pPr>
                      <w:pStyle w:val="ReferentiegegevensHL"/>
                    </w:pPr>
                    <w:fldSimple w:instr=" DOCPROPERTY  &quot;iOnsKenmerk&quot;  \* MERGEFORMAT ">
                      <w:r w:rsidR="00CA1A62">
                        <w:t>2026-0000083055</w:t>
                      </w:r>
                    </w:fldSimple>
                  </w:p>
                  <w:p w14:paraId="0425BD97" w14:textId="77777777" w:rsidR="0045393E" w:rsidRDefault="0045393E">
                    <w:pPr>
                      <w:pStyle w:val="WitregelW1"/>
                    </w:pPr>
                  </w:p>
                  <w:p w14:paraId="0324C093" w14:textId="179127F3" w:rsidR="00192743" w:rsidRDefault="00192743">
                    <w:pPr>
                      <w:pStyle w:val="Referentiegegevens"/>
                      <w:rPr>
                        <w:b/>
                        <w:bCs/>
                      </w:rPr>
                    </w:pPr>
                    <w:r w:rsidRPr="00192743">
                      <w:rPr>
                        <w:b/>
                        <w:bCs/>
                      </w:rPr>
                      <w:t>Bijlage</w:t>
                    </w:r>
                    <w:r w:rsidR="00C3062E" w:rsidRPr="00192743">
                      <w:rPr>
                        <w:b/>
                        <w:bCs/>
                      </w:rPr>
                      <w:fldChar w:fldCharType="begin"/>
                    </w:r>
                    <w:r w:rsidR="00C3062E" w:rsidRPr="00192743">
                      <w:rPr>
                        <w:b/>
                        <w:bCs/>
                      </w:rPr>
                      <w:instrText xml:space="preserve"> DOCPROPERTY  "iCC"  \* MERGEFORMAT </w:instrText>
                    </w:r>
                    <w:r w:rsidR="00C3062E" w:rsidRPr="00192743">
                      <w:rPr>
                        <w:b/>
                        <w:bCs/>
                      </w:rPr>
                      <w:fldChar w:fldCharType="end"/>
                    </w:r>
                  </w:p>
                  <w:p w14:paraId="6DDE86FD" w14:textId="0A70C185" w:rsidR="00094F48" w:rsidRPr="00192743" w:rsidRDefault="00192743">
                    <w:pPr>
                      <w:pStyle w:val="Referentiegegevens"/>
                      <w:rPr>
                        <w:b/>
                        <w:bCs/>
                      </w:rPr>
                    </w:pPr>
                    <w:r>
                      <w:t>2</w:t>
                    </w:r>
                    <w:r w:rsidR="00C3062E">
                      <w:fldChar w:fldCharType="begin"/>
                    </w:r>
                    <w:r w:rsidR="00C3062E">
                      <w:instrText xml:space="preserve"> DOCPROPERTY  "iBijlagen"  \* MERGEFORMAT </w:instrText>
                    </w:r>
                    <w:r w:rsidR="00C3062E">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425BD86" wp14:editId="0425BD87">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425BD9B" w14:textId="77777777" w:rsidR="0045393E" w:rsidRDefault="005C3AD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425BD86"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425BD9B" w14:textId="77777777" w:rsidR="0045393E" w:rsidRDefault="005C3ADE">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425BD88" wp14:editId="0425BD89">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425BD9C" w14:textId="77777777" w:rsidR="0045393E" w:rsidRDefault="005C3ADE">
                          <w:r>
                            <w:t>De voorzitter van de Tweede Kamer der Staten-Generaal</w:t>
                          </w:r>
                        </w:p>
                        <w:p w14:paraId="0425BD9D" w14:textId="77777777" w:rsidR="0045393E" w:rsidRDefault="005C3ADE">
                          <w:r>
                            <w:t xml:space="preserve">Postbus 20018 </w:t>
                          </w:r>
                        </w:p>
                        <w:p w14:paraId="0425BD9E" w14:textId="77777777" w:rsidR="0045393E" w:rsidRDefault="005C3ADE">
                          <w:r>
                            <w:t>2500 EA  Den Haag</w:t>
                          </w:r>
                        </w:p>
                        <w:p w14:paraId="0425BD9F" w14:textId="77777777" w:rsidR="0045393E" w:rsidRDefault="005C3ADE">
                          <w:pPr>
                            <w:pStyle w:val="KixCode"/>
                          </w:pPr>
                          <w:r>
                            <w:t>2500 EA</w:t>
                          </w:r>
                        </w:p>
                      </w:txbxContent>
                    </wps:txbx>
                    <wps:bodyPr vert="horz" wrap="square" lIns="0" tIns="0" rIns="0" bIns="0" anchor="t" anchorCtr="0"/>
                  </wps:wsp>
                </a:graphicData>
              </a:graphic>
            </wp:anchor>
          </w:drawing>
        </mc:Choice>
        <mc:Fallback>
          <w:pict>
            <v:shape w14:anchorId="0425BD88"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425BD9C" w14:textId="77777777" w:rsidR="0045393E" w:rsidRDefault="005C3ADE">
                    <w:r>
                      <w:t>De voorzitter van de Tweede Kamer der Staten-Generaal</w:t>
                    </w:r>
                  </w:p>
                  <w:p w14:paraId="0425BD9D" w14:textId="77777777" w:rsidR="0045393E" w:rsidRDefault="005C3ADE">
                    <w:r>
                      <w:t xml:space="preserve">Postbus 20018 </w:t>
                    </w:r>
                  </w:p>
                  <w:p w14:paraId="0425BD9E" w14:textId="77777777" w:rsidR="0045393E" w:rsidRDefault="005C3ADE">
                    <w:r>
                      <w:t>2500 EA  Den Haag</w:t>
                    </w:r>
                  </w:p>
                  <w:p w14:paraId="0425BD9F" w14:textId="77777777" w:rsidR="0045393E" w:rsidRDefault="005C3ADE">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425BD8A" wp14:editId="0425BD8B">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5393E" w14:paraId="0425BDA2" w14:textId="77777777">
                            <w:trPr>
                              <w:trHeight w:val="200"/>
                            </w:trPr>
                            <w:tc>
                              <w:tcPr>
                                <w:tcW w:w="1134" w:type="dxa"/>
                              </w:tcPr>
                              <w:p w14:paraId="0425BDA0" w14:textId="77777777" w:rsidR="0045393E" w:rsidRDefault="0045393E"/>
                            </w:tc>
                            <w:tc>
                              <w:tcPr>
                                <w:tcW w:w="5244" w:type="dxa"/>
                              </w:tcPr>
                              <w:p w14:paraId="0425BDA1" w14:textId="77777777" w:rsidR="0045393E" w:rsidRDefault="0045393E"/>
                            </w:tc>
                          </w:tr>
                          <w:tr w:rsidR="0045393E" w14:paraId="0425BDA5" w14:textId="77777777">
                            <w:trPr>
                              <w:trHeight w:val="240"/>
                            </w:trPr>
                            <w:tc>
                              <w:tcPr>
                                <w:tcW w:w="1134" w:type="dxa"/>
                              </w:tcPr>
                              <w:p w14:paraId="0425BDA3" w14:textId="77777777" w:rsidR="0045393E" w:rsidRDefault="005C3ADE">
                                <w:r>
                                  <w:t>Datum</w:t>
                                </w:r>
                              </w:p>
                            </w:tc>
                            <w:tc>
                              <w:tcPr>
                                <w:tcW w:w="5244" w:type="dxa"/>
                              </w:tcPr>
                              <w:p w14:paraId="216F402E" w14:textId="407CC610" w:rsidR="00094F48" w:rsidRDefault="00C3062E">
                                <w:r>
                                  <w:t>26 mei 2026</w:t>
                                </w:r>
                                <w:r>
                                  <w:fldChar w:fldCharType="begin"/>
                                </w:r>
                                <w:r>
                                  <w:instrText xml:space="preserve"> DOCPROPERTY  "iDatum"  \* MERGEFORMAT </w:instrText>
                                </w:r>
                                <w:r>
                                  <w:fldChar w:fldCharType="end"/>
                                </w:r>
                              </w:p>
                            </w:tc>
                          </w:tr>
                          <w:tr w:rsidR="0045393E" w14:paraId="0425BDA8" w14:textId="77777777">
                            <w:trPr>
                              <w:trHeight w:val="240"/>
                            </w:trPr>
                            <w:tc>
                              <w:tcPr>
                                <w:tcW w:w="1134" w:type="dxa"/>
                              </w:tcPr>
                              <w:p w14:paraId="0425BDA6" w14:textId="77777777" w:rsidR="0045393E" w:rsidRDefault="005C3ADE">
                                <w:r>
                                  <w:t>Betreft</w:t>
                                </w:r>
                              </w:p>
                            </w:tc>
                            <w:tc>
                              <w:tcPr>
                                <w:tcW w:w="5244" w:type="dxa"/>
                              </w:tcPr>
                              <w:p w14:paraId="227E797F" w14:textId="2AE7AB98" w:rsidR="00824171" w:rsidRDefault="00A45B2C">
                                <w:fldSimple w:instr=" DOCPROPERTY  &quot;iOnderwerp&quot;  \* MERGEFORMAT ">
                                  <w:r w:rsidR="00CA1A62">
                                    <w:t>Evaluatie arbeidsmarktkraptebeleid kinderopvang</w:t>
                                  </w:r>
                                </w:fldSimple>
                              </w:p>
                            </w:tc>
                          </w:tr>
                          <w:tr w:rsidR="0045393E" w14:paraId="0425BDAB" w14:textId="77777777">
                            <w:trPr>
                              <w:trHeight w:val="200"/>
                            </w:trPr>
                            <w:tc>
                              <w:tcPr>
                                <w:tcW w:w="1134" w:type="dxa"/>
                              </w:tcPr>
                              <w:p w14:paraId="0425BDA9" w14:textId="77777777" w:rsidR="0045393E" w:rsidRDefault="0045393E"/>
                            </w:tc>
                            <w:tc>
                              <w:tcPr>
                                <w:tcW w:w="5244" w:type="dxa"/>
                              </w:tcPr>
                              <w:p w14:paraId="0425BDAA" w14:textId="77777777" w:rsidR="0045393E" w:rsidRDefault="0045393E"/>
                            </w:tc>
                          </w:tr>
                        </w:tbl>
                        <w:p w14:paraId="0425BDB9" w14:textId="77777777" w:rsidR="005C3ADE" w:rsidRDefault="005C3ADE"/>
                      </w:txbxContent>
                    </wps:txbx>
                    <wps:bodyPr vert="horz" wrap="square" lIns="0" tIns="0" rIns="0" bIns="0" anchor="t" anchorCtr="0"/>
                  </wps:wsp>
                </a:graphicData>
              </a:graphic>
            </wp:anchor>
          </w:drawing>
        </mc:Choice>
        <mc:Fallback>
          <w:pict>
            <v:shape w14:anchorId="0425BD8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5393E" w14:paraId="0425BDA2" w14:textId="77777777">
                      <w:trPr>
                        <w:trHeight w:val="200"/>
                      </w:trPr>
                      <w:tc>
                        <w:tcPr>
                          <w:tcW w:w="1134" w:type="dxa"/>
                        </w:tcPr>
                        <w:p w14:paraId="0425BDA0" w14:textId="77777777" w:rsidR="0045393E" w:rsidRDefault="0045393E"/>
                      </w:tc>
                      <w:tc>
                        <w:tcPr>
                          <w:tcW w:w="5244" w:type="dxa"/>
                        </w:tcPr>
                        <w:p w14:paraId="0425BDA1" w14:textId="77777777" w:rsidR="0045393E" w:rsidRDefault="0045393E"/>
                      </w:tc>
                    </w:tr>
                    <w:tr w:rsidR="0045393E" w14:paraId="0425BDA5" w14:textId="77777777">
                      <w:trPr>
                        <w:trHeight w:val="240"/>
                      </w:trPr>
                      <w:tc>
                        <w:tcPr>
                          <w:tcW w:w="1134" w:type="dxa"/>
                        </w:tcPr>
                        <w:p w14:paraId="0425BDA3" w14:textId="77777777" w:rsidR="0045393E" w:rsidRDefault="005C3ADE">
                          <w:r>
                            <w:t>Datum</w:t>
                          </w:r>
                        </w:p>
                      </w:tc>
                      <w:tc>
                        <w:tcPr>
                          <w:tcW w:w="5244" w:type="dxa"/>
                        </w:tcPr>
                        <w:p w14:paraId="216F402E" w14:textId="407CC610" w:rsidR="00094F48" w:rsidRDefault="00C3062E">
                          <w:r>
                            <w:t>26 mei 2026</w:t>
                          </w:r>
                          <w:r>
                            <w:fldChar w:fldCharType="begin"/>
                          </w:r>
                          <w:r>
                            <w:instrText xml:space="preserve"> DOCPROPERTY  "iDatum"  \* MERGEFORMAT </w:instrText>
                          </w:r>
                          <w:r>
                            <w:fldChar w:fldCharType="end"/>
                          </w:r>
                        </w:p>
                      </w:tc>
                    </w:tr>
                    <w:tr w:rsidR="0045393E" w14:paraId="0425BDA8" w14:textId="77777777">
                      <w:trPr>
                        <w:trHeight w:val="240"/>
                      </w:trPr>
                      <w:tc>
                        <w:tcPr>
                          <w:tcW w:w="1134" w:type="dxa"/>
                        </w:tcPr>
                        <w:p w14:paraId="0425BDA6" w14:textId="77777777" w:rsidR="0045393E" w:rsidRDefault="005C3ADE">
                          <w:r>
                            <w:t>Betreft</w:t>
                          </w:r>
                        </w:p>
                      </w:tc>
                      <w:tc>
                        <w:tcPr>
                          <w:tcW w:w="5244" w:type="dxa"/>
                        </w:tcPr>
                        <w:p w14:paraId="227E797F" w14:textId="2AE7AB98" w:rsidR="00824171" w:rsidRDefault="00A45B2C">
                          <w:fldSimple w:instr=" DOCPROPERTY  &quot;iOnderwerp&quot;  \* MERGEFORMAT ">
                            <w:r w:rsidR="00CA1A62">
                              <w:t>Evaluatie arbeidsmarktkraptebeleid kinderopvang</w:t>
                            </w:r>
                          </w:fldSimple>
                        </w:p>
                      </w:tc>
                    </w:tr>
                    <w:tr w:rsidR="0045393E" w14:paraId="0425BDAB" w14:textId="77777777">
                      <w:trPr>
                        <w:trHeight w:val="200"/>
                      </w:trPr>
                      <w:tc>
                        <w:tcPr>
                          <w:tcW w:w="1134" w:type="dxa"/>
                        </w:tcPr>
                        <w:p w14:paraId="0425BDA9" w14:textId="77777777" w:rsidR="0045393E" w:rsidRDefault="0045393E"/>
                      </w:tc>
                      <w:tc>
                        <w:tcPr>
                          <w:tcW w:w="5244" w:type="dxa"/>
                        </w:tcPr>
                        <w:p w14:paraId="0425BDAA" w14:textId="77777777" w:rsidR="0045393E" w:rsidRDefault="0045393E"/>
                      </w:tc>
                    </w:tr>
                  </w:tbl>
                  <w:p w14:paraId="0425BDB9" w14:textId="77777777" w:rsidR="005C3ADE" w:rsidRDefault="005C3ADE"/>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425BD8C" wp14:editId="0425BD8D">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797002" w14:textId="77777777" w:rsidR="00094F48" w:rsidRDefault="00C3062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425BD8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B797002" w14:textId="77777777" w:rsidR="00094F48" w:rsidRDefault="00C3062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3F3198"/>
    <w:multiLevelType w:val="multilevel"/>
    <w:tmpl w:val="F6E01C5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9491ED"/>
    <w:multiLevelType w:val="multilevel"/>
    <w:tmpl w:val="A2E6A8C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118108F"/>
    <w:multiLevelType w:val="multilevel"/>
    <w:tmpl w:val="98C2128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7191671"/>
    <w:multiLevelType w:val="multilevel"/>
    <w:tmpl w:val="5A60FB2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B684D98"/>
    <w:multiLevelType w:val="multilevel"/>
    <w:tmpl w:val="CC49BE7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187DE0"/>
    <w:multiLevelType w:val="hybridMultilevel"/>
    <w:tmpl w:val="B8AE6E4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45DDF634"/>
    <w:multiLevelType w:val="multilevel"/>
    <w:tmpl w:val="870767E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F188F0"/>
    <w:multiLevelType w:val="multilevel"/>
    <w:tmpl w:val="D4FD45E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A04C97"/>
    <w:multiLevelType w:val="hybridMultilevel"/>
    <w:tmpl w:val="41F83592"/>
    <w:lvl w:ilvl="0" w:tplc="A53ED4BC">
      <w:start w:val="1"/>
      <w:numFmt w:val="bullet"/>
      <w:pStyle w:val="Lijstopsomteken20"/>
      <w:lvlText w:val="–"/>
      <w:lvlJc w:val="left"/>
      <w:pPr>
        <w:tabs>
          <w:tab w:val="num" w:pos="227"/>
        </w:tabs>
        <w:ind w:left="454"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F3421D"/>
    <w:multiLevelType w:val="multilevel"/>
    <w:tmpl w:val="D04FE2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39335935">
    <w:abstractNumId w:val="2"/>
  </w:num>
  <w:num w:numId="2" w16cid:durableId="1911184806">
    <w:abstractNumId w:val="7"/>
  </w:num>
  <w:num w:numId="3" w16cid:durableId="1557856381">
    <w:abstractNumId w:val="3"/>
  </w:num>
  <w:num w:numId="4" w16cid:durableId="2121335580">
    <w:abstractNumId w:val="9"/>
  </w:num>
  <w:num w:numId="5" w16cid:durableId="289825889">
    <w:abstractNumId w:val="1"/>
  </w:num>
  <w:num w:numId="6" w16cid:durableId="947657715">
    <w:abstractNumId w:val="0"/>
  </w:num>
  <w:num w:numId="7" w16cid:durableId="1884177193">
    <w:abstractNumId w:val="6"/>
  </w:num>
  <w:num w:numId="8" w16cid:durableId="1013995166">
    <w:abstractNumId w:val="4"/>
  </w:num>
  <w:num w:numId="9" w16cid:durableId="650603311">
    <w:abstractNumId w:val="8"/>
  </w:num>
  <w:num w:numId="10" w16cid:durableId="791292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93E"/>
    <w:rsid w:val="00006A31"/>
    <w:rsid w:val="000230D4"/>
    <w:rsid w:val="0003261C"/>
    <w:rsid w:val="0003274C"/>
    <w:rsid w:val="00036EB3"/>
    <w:rsid w:val="00040EBB"/>
    <w:rsid w:val="00050545"/>
    <w:rsid w:val="00051443"/>
    <w:rsid w:val="00053763"/>
    <w:rsid w:val="00053A8F"/>
    <w:rsid w:val="00070E6E"/>
    <w:rsid w:val="000755F5"/>
    <w:rsid w:val="0008323E"/>
    <w:rsid w:val="00087B89"/>
    <w:rsid w:val="00094F48"/>
    <w:rsid w:val="000959F2"/>
    <w:rsid w:val="000A5A0B"/>
    <w:rsid w:val="000B3AE5"/>
    <w:rsid w:val="000E1FBB"/>
    <w:rsid w:val="000E74D1"/>
    <w:rsid w:val="00112521"/>
    <w:rsid w:val="00116FCB"/>
    <w:rsid w:val="0012635D"/>
    <w:rsid w:val="00145311"/>
    <w:rsid w:val="00154065"/>
    <w:rsid w:val="00167627"/>
    <w:rsid w:val="00174BDF"/>
    <w:rsid w:val="00175935"/>
    <w:rsid w:val="00192743"/>
    <w:rsid w:val="001932BA"/>
    <w:rsid w:val="00197606"/>
    <w:rsid w:val="001A2B56"/>
    <w:rsid w:val="001B0B16"/>
    <w:rsid w:val="001E106D"/>
    <w:rsid w:val="001E2AA6"/>
    <w:rsid w:val="001E5DD4"/>
    <w:rsid w:val="001F5028"/>
    <w:rsid w:val="0020127B"/>
    <w:rsid w:val="0020165C"/>
    <w:rsid w:val="00201C31"/>
    <w:rsid w:val="00213658"/>
    <w:rsid w:val="00217272"/>
    <w:rsid w:val="00263B46"/>
    <w:rsid w:val="00267B41"/>
    <w:rsid w:val="00271785"/>
    <w:rsid w:val="00273985"/>
    <w:rsid w:val="00280E89"/>
    <w:rsid w:val="002842D2"/>
    <w:rsid w:val="002851A4"/>
    <w:rsid w:val="00294654"/>
    <w:rsid w:val="002A1912"/>
    <w:rsid w:val="002A498E"/>
    <w:rsid w:val="002B4247"/>
    <w:rsid w:val="002D27B2"/>
    <w:rsid w:val="002E0098"/>
    <w:rsid w:val="002E1C09"/>
    <w:rsid w:val="002E66D0"/>
    <w:rsid w:val="002F511D"/>
    <w:rsid w:val="00302363"/>
    <w:rsid w:val="00303A66"/>
    <w:rsid w:val="003053BB"/>
    <w:rsid w:val="0032686A"/>
    <w:rsid w:val="00331142"/>
    <w:rsid w:val="00335B96"/>
    <w:rsid w:val="00343C83"/>
    <w:rsid w:val="00353108"/>
    <w:rsid w:val="0037051B"/>
    <w:rsid w:val="0038083A"/>
    <w:rsid w:val="00380C85"/>
    <w:rsid w:val="00385A8A"/>
    <w:rsid w:val="00390A23"/>
    <w:rsid w:val="003932D9"/>
    <w:rsid w:val="003A4B7F"/>
    <w:rsid w:val="003B4EC6"/>
    <w:rsid w:val="003B5EE6"/>
    <w:rsid w:val="003B6159"/>
    <w:rsid w:val="003C327D"/>
    <w:rsid w:val="003C37A1"/>
    <w:rsid w:val="003C6EF6"/>
    <w:rsid w:val="003E7877"/>
    <w:rsid w:val="003F6343"/>
    <w:rsid w:val="003F6697"/>
    <w:rsid w:val="0041757B"/>
    <w:rsid w:val="00417D3E"/>
    <w:rsid w:val="00431EFF"/>
    <w:rsid w:val="00434A57"/>
    <w:rsid w:val="00441CB8"/>
    <w:rsid w:val="004421F6"/>
    <w:rsid w:val="00443D14"/>
    <w:rsid w:val="004445FE"/>
    <w:rsid w:val="0045393E"/>
    <w:rsid w:val="00462B07"/>
    <w:rsid w:val="004653AF"/>
    <w:rsid w:val="00471F79"/>
    <w:rsid w:val="004742A4"/>
    <w:rsid w:val="00477C84"/>
    <w:rsid w:val="00484942"/>
    <w:rsid w:val="00485C7A"/>
    <w:rsid w:val="004904C5"/>
    <w:rsid w:val="0049184B"/>
    <w:rsid w:val="0049389B"/>
    <w:rsid w:val="00497AAC"/>
    <w:rsid w:val="004A3333"/>
    <w:rsid w:val="004B3D26"/>
    <w:rsid w:val="004C0D58"/>
    <w:rsid w:val="004C3FBB"/>
    <w:rsid w:val="004C64BD"/>
    <w:rsid w:val="004D0DF9"/>
    <w:rsid w:val="004E43E1"/>
    <w:rsid w:val="004E7E98"/>
    <w:rsid w:val="004F1C88"/>
    <w:rsid w:val="004F4039"/>
    <w:rsid w:val="004F744C"/>
    <w:rsid w:val="005109C4"/>
    <w:rsid w:val="00515C87"/>
    <w:rsid w:val="0052288E"/>
    <w:rsid w:val="00523B3D"/>
    <w:rsid w:val="005253B3"/>
    <w:rsid w:val="00545121"/>
    <w:rsid w:val="005460C2"/>
    <w:rsid w:val="00554699"/>
    <w:rsid w:val="00570532"/>
    <w:rsid w:val="005715D4"/>
    <w:rsid w:val="00577FFE"/>
    <w:rsid w:val="00581D34"/>
    <w:rsid w:val="0058310A"/>
    <w:rsid w:val="005832EE"/>
    <w:rsid w:val="00584C03"/>
    <w:rsid w:val="005944AE"/>
    <w:rsid w:val="005956C1"/>
    <w:rsid w:val="005A41C2"/>
    <w:rsid w:val="005B25FF"/>
    <w:rsid w:val="005C3ADE"/>
    <w:rsid w:val="005D00B0"/>
    <w:rsid w:val="006020E5"/>
    <w:rsid w:val="00603038"/>
    <w:rsid w:val="0060588F"/>
    <w:rsid w:val="0061142C"/>
    <w:rsid w:val="006129DC"/>
    <w:rsid w:val="00616CB5"/>
    <w:rsid w:val="006271D5"/>
    <w:rsid w:val="00650B5B"/>
    <w:rsid w:val="00656178"/>
    <w:rsid w:val="00670BCC"/>
    <w:rsid w:val="00674329"/>
    <w:rsid w:val="0068530F"/>
    <w:rsid w:val="00694FE9"/>
    <w:rsid w:val="006A5DA8"/>
    <w:rsid w:val="006A63D9"/>
    <w:rsid w:val="006A650D"/>
    <w:rsid w:val="006C3946"/>
    <w:rsid w:val="006C6197"/>
    <w:rsid w:val="006D193A"/>
    <w:rsid w:val="006D5C4D"/>
    <w:rsid w:val="006D663D"/>
    <w:rsid w:val="006E1AAF"/>
    <w:rsid w:val="006E4AA4"/>
    <w:rsid w:val="006F1EBB"/>
    <w:rsid w:val="00701587"/>
    <w:rsid w:val="0070367F"/>
    <w:rsid w:val="0070491A"/>
    <w:rsid w:val="00706BEE"/>
    <w:rsid w:val="00711AB5"/>
    <w:rsid w:val="00711D7C"/>
    <w:rsid w:val="00724C3C"/>
    <w:rsid w:val="00727EE8"/>
    <w:rsid w:val="00731461"/>
    <w:rsid w:val="00733A0C"/>
    <w:rsid w:val="00733D4D"/>
    <w:rsid w:val="00742B3B"/>
    <w:rsid w:val="007451FD"/>
    <w:rsid w:val="00747BC2"/>
    <w:rsid w:val="00751B01"/>
    <w:rsid w:val="00793F3B"/>
    <w:rsid w:val="00796B53"/>
    <w:rsid w:val="007B2445"/>
    <w:rsid w:val="007B3245"/>
    <w:rsid w:val="007B3A3F"/>
    <w:rsid w:val="007C0D9C"/>
    <w:rsid w:val="007D660B"/>
    <w:rsid w:val="007E785B"/>
    <w:rsid w:val="00802F49"/>
    <w:rsid w:val="00811CFB"/>
    <w:rsid w:val="0081566E"/>
    <w:rsid w:val="00822BA9"/>
    <w:rsid w:val="00824171"/>
    <w:rsid w:val="0082699D"/>
    <w:rsid w:val="00832706"/>
    <w:rsid w:val="00844343"/>
    <w:rsid w:val="00855784"/>
    <w:rsid w:val="008678B1"/>
    <w:rsid w:val="008762D4"/>
    <w:rsid w:val="00883436"/>
    <w:rsid w:val="00885F42"/>
    <w:rsid w:val="0089228B"/>
    <w:rsid w:val="008A294B"/>
    <w:rsid w:val="008A3945"/>
    <w:rsid w:val="008A49E0"/>
    <w:rsid w:val="008B4097"/>
    <w:rsid w:val="008B745A"/>
    <w:rsid w:val="008C0F02"/>
    <w:rsid w:val="008C3029"/>
    <w:rsid w:val="008C3177"/>
    <w:rsid w:val="008D30BD"/>
    <w:rsid w:val="008F5721"/>
    <w:rsid w:val="00900A30"/>
    <w:rsid w:val="00905BB2"/>
    <w:rsid w:val="009119B1"/>
    <w:rsid w:val="009144D0"/>
    <w:rsid w:val="0092230D"/>
    <w:rsid w:val="0093647E"/>
    <w:rsid w:val="00956357"/>
    <w:rsid w:val="00967ADB"/>
    <w:rsid w:val="00972678"/>
    <w:rsid w:val="009A0DCB"/>
    <w:rsid w:val="009B565B"/>
    <w:rsid w:val="009B64C0"/>
    <w:rsid w:val="009C0EB2"/>
    <w:rsid w:val="009D175F"/>
    <w:rsid w:val="009D67AA"/>
    <w:rsid w:val="009D67D3"/>
    <w:rsid w:val="009E1E02"/>
    <w:rsid w:val="009F7252"/>
    <w:rsid w:val="00A01118"/>
    <w:rsid w:val="00A0241C"/>
    <w:rsid w:val="00A06E22"/>
    <w:rsid w:val="00A10179"/>
    <w:rsid w:val="00A14EF4"/>
    <w:rsid w:val="00A22859"/>
    <w:rsid w:val="00A24BE8"/>
    <w:rsid w:val="00A25734"/>
    <w:rsid w:val="00A35173"/>
    <w:rsid w:val="00A4260B"/>
    <w:rsid w:val="00A4510B"/>
    <w:rsid w:val="00A45B2C"/>
    <w:rsid w:val="00A45E26"/>
    <w:rsid w:val="00A57A9F"/>
    <w:rsid w:val="00A6184F"/>
    <w:rsid w:val="00A75B21"/>
    <w:rsid w:val="00A86F72"/>
    <w:rsid w:val="00A96358"/>
    <w:rsid w:val="00A9732E"/>
    <w:rsid w:val="00AB6B8B"/>
    <w:rsid w:val="00AD4A89"/>
    <w:rsid w:val="00AE5CF1"/>
    <w:rsid w:val="00AE60DE"/>
    <w:rsid w:val="00AF42C2"/>
    <w:rsid w:val="00B10B31"/>
    <w:rsid w:val="00B16D43"/>
    <w:rsid w:val="00B21594"/>
    <w:rsid w:val="00B23EA6"/>
    <w:rsid w:val="00B24393"/>
    <w:rsid w:val="00B30090"/>
    <w:rsid w:val="00B34165"/>
    <w:rsid w:val="00B41D46"/>
    <w:rsid w:val="00B42C18"/>
    <w:rsid w:val="00B436DF"/>
    <w:rsid w:val="00B44B9A"/>
    <w:rsid w:val="00B4522B"/>
    <w:rsid w:val="00B462E2"/>
    <w:rsid w:val="00B662F3"/>
    <w:rsid w:val="00B74649"/>
    <w:rsid w:val="00B81AD0"/>
    <w:rsid w:val="00B90CA2"/>
    <w:rsid w:val="00BB312C"/>
    <w:rsid w:val="00BC796D"/>
    <w:rsid w:val="00BE6D95"/>
    <w:rsid w:val="00BE7725"/>
    <w:rsid w:val="00BE7BB2"/>
    <w:rsid w:val="00C049AF"/>
    <w:rsid w:val="00C12A73"/>
    <w:rsid w:val="00C169D5"/>
    <w:rsid w:val="00C22DD4"/>
    <w:rsid w:val="00C2764F"/>
    <w:rsid w:val="00C33425"/>
    <w:rsid w:val="00C33D88"/>
    <w:rsid w:val="00C36DAC"/>
    <w:rsid w:val="00C44670"/>
    <w:rsid w:val="00C6083B"/>
    <w:rsid w:val="00C7094D"/>
    <w:rsid w:val="00C74B91"/>
    <w:rsid w:val="00C75756"/>
    <w:rsid w:val="00C773C8"/>
    <w:rsid w:val="00C82918"/>
    <w:rsid w:val="00C91529"/>
    <w:rsid w:val="00C96129"/>
    <w:rsid w:val="00C972D5"/>
    <w:rsid w:val="00CA0F74"/>
    <w:rsid w:val="00CA1A62"/>
    <w:rsid w:val="00CA6D9D"/>
    <w:rsid w:val="00CB320B"/>
    <w:rsid w:val="00CB7CD2"/>
    <w:rsid w:val="00CC1B9A"/>
    <w:rsid w:val="00CD2AB1"/>
    <w:rsid w:val="00CD6391"/>
    <w:rsid w:val="00CD7DE0"/>
    <w:rsid w:val="00CE0739"/>
    <w:rsid w:val="00CE3ADF"/>
    <w:rsid w:val="00CF214C"/>
    <w:rsid w:val="00CF3A8D"/>
    <w:rsid w:val="00CF7AE0"/>
    <w:rsid w:val="00D00D04"/>
    <w:rsid w:val="00D13FCE"/>
    <w:rsid w:val="00D16A7F"/>
    <w:rsid w:val="00D17279"/>
    <w:rsid w:val="00D537E6"/>
    <w:rsid w:val="00D72E4E"/>
    <w:rsid w:val="00D74AFF"/>
    <w:rsid w:val="00D83954"/>
    <w:rsid w:val="00D90828"/>
    <w:rsid w:val="00D950A6"/>
    <w:rsid w:val="00DA1AE3"/>
    <w:rsid w:val="00DC08FC"/>
    <w:rsid w:val="00DC650D"/>
    <w:rsid w:val="00DE34B0"/>
    <w:rsid w:val="00DE7823"/>
    <w:rsid w:val="00E0092E"/>
    <w:rsid w:val="00E0407F"/>
    <w:rsid w:val="00E14016"/>
    <w:rsid w:val="00E1594A"/>
    <w:rsid w:val="00E2042F"/>
    <w:rsid w:val="00E30718"/>
    <w:rsid w:val="00E30CB0"/>
    <w:rsid w:val="00E31890"/>
    <w:rsid w:val="00E36CD7"/>
    <w:rsid w:val="00E4158E"/>
    <w:rsid w:val="00E420F0"/>
    <w:rsid w:val="00E46F75"/>
    <w:rsid w:val="00E5776B"/>
    <w:rsid w:val="00E75751"/>
    <w:rsid w:val="00E929B5"/>
    <w:rsid w:val="00EA3299"/>
    <w:rsid w:val="00EA4AD5"/>
    <w:rsid w:val="00EB5DEE"/>
    <w:rsid w:val="00ED0E33"/>
    <w:rsid w:val="00EE238F"/>
    <w:rsid w:val="00EE6E6A"/>
    <w:rsid w:val="00EF12E3"/>
    <w:rsid w:val="00F13358"/>
    <w:rsid w:val="00F16BBD"/>
    <w:rsid w:val="00F30848"/>
    <w:rsid w:val="00F4048A"/>
    <w:rsid w:val="00F44CF4"/>
    <w:rsid w:val="00F460BF"/>
    <w:rsid w:val="00F50B66"/>
    <w:rsid w:val="00F53237"/>
    <w:rsid w:val="00F61939"/>
    <w:rsid w:val="00F67413"/>
    <w:rsid w:val="00F74C0F"/>
    <w:rsid w:val="00F8107A"/>
    <w:rsid w:val="00F87263"/>
    <w:rsid w:val="00F95DEF"/>
    <w:rsid w:val="00FA5F2C"/>
    <w:rsid w:val="00FB52C3"/>
    <w:rsid w:val="00FC3D63"/>
    <w:rsid w:val="00FC46FE"/>
    <w:rsid w:val="00FC696E"/>
    <w:rsid w:val="00FD0128"/>
    <w:rsid w:val="00FD0C17"/>
    <w:rsid w:val="00FE26DD"/>
    <w:rsid w:val="00FF6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0425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rsid w:val="002F511D"/>
    <w:pPr>
      <w:autoSpaceDN/>
      <w:spacing w:line="180" w:lineRule="atLeast"/>
      <w:textAlignment w:val="auto"/>
    </w:pPr>
    <w:rPr>
      <w:rFonts w:eastAsia="Times New Roman" w:cs="Times New Roman"/>
      <w:color w:val="auto"/>
      <w:kern w:val="2"/>
      <w:sz w:val="13"/>
      <w:szCs w:val="20"/>
      <w14:ligatures w14:val="standardContextual"/>
    </w:rPr>
  </w:style>
  <w:style w:type="character" w:customStyle="1" w:styleId="VoetnoottekstChar">
    <w:name w:val="Voetnoottekst Char"/>
    <w:basedOn w:val="Standaardalinea-lettertype"/>
    <w:link w:val="Voetnoottekst"/>
    <w:uiPriority w:val="99"/>
    <w:rsid w:val="002F511D"/>
    <w:rPr>
      <w:rFonts w:ascii="Verdana" w:eastAsia="Times New Roman" w:hAnsi="Verdana" w:cs="Times New Roman"/>
      <w:kern w:val="2"/>
      <w:sz w:val="13"/>
      <w14:ligatures w14:val="standardContextual"/>
    </w:rPr>
  </w:style>
  <w:style w:type="character" w:styleId="Voetnootmarkering">
    <w:name w:val="footnote reference"/>
    <w:basedOn w:val="Standaardalinea-lettertype"/>
    <w:uiPriority w:val="99"/>
    <w:rsid w:val="002F511D"/>
    <w:rPr>
      <w:vertAlign w:val="superscript"/>
    </w:rPr>
  </w:style>
  <w:style w:type="paragraph" w:styleId="Lijstopsomteken20">
    <w:name w:val="List Bullet 2"/>
    <w:basedOn w:val="Standaard"/>
    <w:rsid w:val="002F511D"/>
    <w:pPr>
      <w:numPr>
        <w:numId w:val="9"/>
      </w:numPr>
      <w:tabs>
        <w:tab w:val="clear" w:pos="227"/>
      </w:tabs>
      <w:autoSpaceDN/>
      <w:ind w:left="0" w:firstLine="0"/>
      <w:textAlignment w:val="auto"/>
    </w:pPr>
    <w:rPr>
      <w:rFonts w:eastAsia="Times New Roman" w:cs="Times New Roman"/>
      <w:noProof/>
      <w:color w:val="auto"/>
      <w:kern w:val="2"/>
      <w:szCs w:val="24"/>
      <w14:ligatures w14:val="standardContextual"/>
    </w:rPr>
  </w:style>
  <w:style w:type="paragraph" w:styleId="Revisie">
    <w:name w:val="Revision"/>
    <w:hidden/>
    <w:uiPriority w:val="99"/>
    <w:semiHidden/>
    <w:rsid w:val="000E74D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C6197"/>
    <w:rPr>
      <w:sz w:val="16"/>
      <w:szCs w:val="16"/>
    </w:rPr>
  </w:style>
  <w:style w:type="paragraph" w:styleId="Tekstopmerking">
    <w:name w:val="annotation text"/>
    <w:basedOn w:val="Standaard"/>
    <w:link w:val="TekstopmerkingChar"/>
    <w:uiPriority w:val="99"/>
    <w:unhideWhenUsed/>
    <w:rsid w:val="006C6197"/>
    <w:pPr>
      <w:spacing w:line="240" w:lineRule="auto"/>
    </w:pPr>
    <w:rPr>
      <w:sz w:val="20"/>
      <w:szCs w:val="20"/>
    </w:rPr>
  </w:style>
  <w:style w:type="character" w:customStyle="1" w:styleId="TekstopmerkingChar">
    <w:name w:val="Tekst opmerking Char"/>
    <w:basedOn w:val="Standaardalinea-lettertype"/>
    <w:link w:val="Tekstopmerking"/>
    <w:uiPriority w:val="99"/>
    <w:rsid w:val="006C619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C6197"/>
    <w:rPr>
      <w:b/>
      <w:bCs/>
    </w:rPr>
  </w:style>
  <w:style w:type="character" w:customStyle="1" w:styleId="OnderwerpvanopmerkingChar">
    <w:name w:val="Onderwerp van opmerking Char"/>
    <w:basedOn w:val="TekstopmerkingChar"/>
    <w:link w:val="Onderwerpvanopmerking"/>
    <w:uiPriority w:val="99"/>
    <w:semiHidden/>
    <w:rsid w:val="006C6197"/>
    <w:rPr>
      <w:rFonts w:ascii="Verdana" w:hAnsi="Verdana"/>
      <w:b/>
      <w:bCs/>
      <w:color w:val="000000"/>
    </w:rPr>
  </w:style>
  <w:style w:type="character" w:styleId="Onopgelostemelding">
    <w:name w:val="Unresolved Mention"/>
    <w:basedOn w:val="Standaardalinea-lettertype"/>
    <w:uiPriority w:val="99"/>
    <w:semiHidden/>
    <w:unhideWhenUsed/>
    <w:rsid w:val="00885F42"/>
    <w:rPr>
      <w:color w:val="605E5C"/>
      <w:shd w:val="clear" w:color="auto" w:fill="E1DFDD"/>
    </w:rPr>
  </w:style>
  <w:style w:type="table" w:styleId="Tabelraster">
    <w:name w:val="Table Grid"/>
    <w:basedOn w:val="Standaardtabel"/>
    <w:uiPriority w:val="39"/>
    <w:rsid w:val="00C04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C049AF"/>
    <w:pPr>
      <w:spacing w:after="200" w:line="240" w:lineRule="auto"/>
    </w:pPr>
    <w:rPr>
      <w:i/>
      <w:iCs/>
      <w:color w:val="0E2841"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697">
      <w:bodyDiv w:val="1"/>
      <w:marLeft w:val="0"/>
      <w:marRight w:val="0"/>
      <w:marTop w:val="0"/>
      <w:marBottom w:val="0"/>
      <w:divBdr>
        <w:top w:val="none" w:sz="0" w:space="0" w:color="auto"/>
        <w:left w:val="none" w:sz="0" w:space="0" w:color="auto"/>
        <w:bottom w:val="none" w:sz="0" w:space="0" w:color="auto"/>
        <w:right w:val="none" w:sz="0" w:space="0" w:color="auto"/>
      </w:divBdr>
    </w:div>
    <w:div w:id="66922231">
      <w:bodyDiv w:val="1"/>
      <w:marLeft w:val="0"/>
      <w:marRight w:val="0"/>
      <w:marTop w:val="0"/>
      <w:marBottom w:val="0"/>
      <w:divBdr>
        <w:top w:val="none" w:sz="0" w:space="0" w:color="auto"/>
        <w:left w:val="none" w:sz="0" w:space="0" w:color="auto"/>
        <w:bottom w:val="none" w:sz="0" w:space="0" w:color="auto"/>
        <w:right w:val="none" w:sz="0" w:space="0" w:color="auto"/>
      </w:divBdr>
    </w:div>
    <w:div w:id="272175339">
      <w:bodyDiv w:val="1"/>
      <w:marLeft w:val="0"/>
      <w:marRight w:val="0"/>
      <w:marTop w:val="0"/>
      <w:marBottom w:val="0"/>
      <w:divBdr>
        <w:top w:val="none" w:sz="0" w:space="0" w:color="auto"/>
        <w:left w:val="none" w:sz="0" w:space="0" w:color="auto"/>
        <w:bottom w:val="none" w:sz="0" w:space="0" w:color="auto"/>
        <w:right w:val="none" w:sz="0" w:space="0" w:color="auto"/>
      </w:divBdr>
    </w:div>
    <w:div w:id="1590961527">
      <w:bodyDiv w:val="1"/>
      <w:marLeft w:val="0"/>
      <w:marRight w:val="0"/>
      <w:marTop w:val="0"/>
      <w:marBottom w:val="0"/>
      <w:divBdr>
        <w:top w:val="none" w:sz="0" w:space="0" w:color="auto"/>
        <w:left w:val="none" w:sz="0" w:space="0" w:color="auto"/>
        <w:bottom w:val="none" w:sz="0" w:space="0" w:color="auto"/>
        <w:right w:val="none" w:sz="0" w:space="0" w:color="auto"/>
      </w:divBdr>
    </w:div>
    <w:div w:id="1925526198">
      <w:bodyDiv w:val="1"/>
      <w:marLeft w:val="0"/>
      <w:marRight w:val="0"/>
      <w:marTop w:val="0"/>
      <w:marBottom w:val="0"/>
      <w:divBdr>
        <w:top w:val="none" w:sz="0" w:space="0" w:color="auto"/>
        <w:left w:val="none" w:sz="0" w:space="0" w:color="auto"/>
        <w:bottom w:val="none" w:sz="0" w:space="0" w:color="auto"/>
        <w:right w:val="none" w:sz="0" w:space="0" w:color="auto"/>
      </w:divBdr>
    </w:div>
    <w:div w:id="2055539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2236</ap:Words>
  <ap:Characters>12298</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Brief Kamer - Evaluatie arbeidsmarktkraptebeleid kinderopvang</vt:lpstr>
    </vt:vector>
  </ap:TitlesOfParts>
  <ap:LinksUpToDate>false</ap:LinksUpToDate>
  <ap:CharactersWithSpaces>14505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2026-05-26T07:48:00.0000000Z</dcterms:created>
  <dcterms:modified xsi:type="dcterms:W3CDTF">2026-05-26T07:48:00.0000000Z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Evaluatie arbeidsmarktkraptebeleid kinderopvang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 Coenradij</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Evaluatie arbeidsmarktkraptebeleid kinderopvang</vt:lpwstr>
  </property>
  <property fmtid="{D5CDD505-2E9C-101B-9397-08002B2CF9AE}" pid="36" name="iOnsKenmerk">
    <vt:lpwstr>2026-0000083055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