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31C9" w:rsidR="00D05C74" w:rsidP="04390F88" w:rsidRDefault="04390F88" w14:paraId="3DC9DA81" w14:textId="4D026635">
      <w:pPr>
        <w:jc w:val="both"/>
        <w:rPr>
          <w:rFonts w:ascii="Verdana" w:hAnsi="Verdana"/>
          <w:b/>
          <w:bCs/>
          <w:sz w:val="18"/>
          <w:szCs w:val="18"/>
        </w:rPr>
      </w:pPr>
      <w:r w:rsidRPr="04390F88">
        <w:rPr>
          <w:rFonts w:ascii="Verdana" w:hAnsi="Verdana"/>
          <w:b/>
          <w:bCs/>
          <w:sz w:val="18"/>
          <w:szCs w:val="18"/>
        </w:rPr>
        <w:t xml:space="preserve">Goedkeuring van het op 9 september 1998 te </w:t>
      </w:r>
      <w:proofErr w:type="spellStart"/>
      <w:r w:rsidRPr="04390F88">
        <w:rPr>
          <w:rFonts w:ascii="Verdana" w:hAnsi="Verdana"/>
          <w:b/>
          <w:bCs/>
          <w:sz w:val="18"/>
          <w:szCs w:val="18"/>
        </w:rPr>
        <w:t>Farnborough</w:t>
      </w:r>
      <w:proofErr w:type="spellEnd"/>
      <w:r w:rsidRPr="04390F88">
        <w:rPr>
          <w:rFonts w:ascii="Verdana" w:hAnsi="Verdana"/>
          <w:b/>
          <w:bCs/>
          <w:sz w:val="18"/>
          <w:szCs w:val="18"/>
        </w:rPr>
        <w:t xml:space="preserve"> tot stand gekomen Verdrag tussen de Regering van het Verenigd Koninkrijk van Groot-Brittannië en Noord-Ierland, de Regering van de Franse Republiek, de Regering van de Bondsrepubliek Duitsland en de Regering van de Italiaanse Republiek tot oprichting van een Gezamenlijke Organisatie voor Samenwerking op Defensie-materieelgebied (</w:t>
      </w:r>
      <w:proofErr w:type="spellStart"/>
      <w:r w:rsidRPr="04390F88">
        <w:rPr>
          <w:rFonts w:ascii="Verdana" w:hAnsi="Verdana"/>
          <w:b/>
          <w:bCs/>
          <w:sz w:val="18"/>
          <w:szCs w:val="18"/>
        </w:rPr>
        <w:t>Organisation</w:t>
      </w:r>
      <w:proofErr w:type="spellEnd"/>
      <w:r w:rsidRPr="04390F88">
        <w:rPr>
          <w:rFonts w:ascii="Verdana" w:hAnsi="Verdana"/>
          <w:b/>
          <w:bCs/>
          <w:sz w:val="18"/>
          <w:szCs w:val="18"/>
        </w:rPr>
        <w:t xml:space="preserve"> </w:t>
      </w:r>
      <w:proofErr w:type="spellStart"/>
      <w:r w:rsidRPr="04390F88">
        <w:rPr>
          <w:rFonts w:ascii="Verdana" w:hAnsi="Verdana"/>
          <w:b/>
          <w:bCs/>
          <w:sz w:val="18"/>
          <w:szCs w:val="18"/>
        </w:rPr>
        <w:t>Conjointe</w:t>
      </w:r>
      <w:proofErr w:type="spellEnd"/>
      <w:r w:rsidRPr="04390F88">
        <w:rPr>
          <w:rFonts w:ascii="Verdana" w:hAnsi="Verdana"/>
          <w:b/>
          <w:bCs/>
          <w:sz w:val="18"/>
          <w:szCs w:val="18"/>
        </w:rPr>
        <w:t xml:space="preserve"> de Coopération en </w:t>
      </w:r>
      <w:proofErr w:type="spellStart"/>
      <w:r w:rsidRPr="04390F88">
        <w:rPr>
          <w:rFonts w:ascii="Verdana" w:hAnsi="Verdana"/>
          <w:b/>
          <w:bCs/>
          <w:sz w:val="18"/>
          <w:szCs w:val="18"/>
        </w:rPr>
        <w:t>matière</w:t>
      </w:r>
      <w:proofErr w:type="spellEnd"/>
      <w:r w:rsidRPr="04390F88">
        <w:rPr>
          <w:rFonts w:ascii="Verdana" w:hAnsi="Verdana"/>
          <w:b/>
          <w:bCs/>
          <w:sz w:val="18"/>
          <w:szCs w:val="18"/>
        </w:rPr>
        <w:t xml:space="preserve"> </w:t>
      </w:r>
      <w:proofErr w:type="spellStart"/>
      <w:r w:rsidRPr="04390F88">
        <w:rPr>
          <w:rFonts w:ascii="Verdana" w:hAnsi="Verdana"/>
          <w:b/>
          <w:bCs/>
          <w:sz w:val="18"/>
          <w:szCs w:val="18"/>
        </w:rPr>
        <w:t>d’Armement</w:t>
      </w:r>
      <w:proofErr w:type="spellEnd"/>
      <w:r w:rsidRPr="04390F88">
        <w:rPr>
          <w:rFonts w:ascii="Verdana" w:hAnsi="Verdana"/>
          <w:b/>
          <w:bCs/>
          <w:sz w:val="18"/>
          <w:szCs w:val="18"/>
        </w:rPr>
        <w:t>) OCCAR8 (</w:t>
      </w:r>
      <w:proofErr w:type="spellStart"/>
      <w:r w:rsidRPr="04390F88">
        <w:rPr>
          <w:rFonts w:ascii="Verdana" w:hAnsi="Verdana"/>
          <w:b/>
          <w:bCs/>
          <w:sz w:val="18"/>
          <w:szCs w:val="18"/>
        </w:rPr>
        <w:t>Trb</w:t>
      </w:r>
      <w:proofErr w:type="spellEnd"/>
      <w:r w:rsidRPr="04390F88">
        <w:rPr>
          <w:rFonts w:ascii="Verdana" w:hAnsi="Verdana"/>
          <w:b/>
          <w:bCs/>
          <w:sz w:val="18"/>
          <w:szCs w:val="18"/>
        </w:rPr>
        <w:t xml:space="preserve">. 1999, 174 en </w:t>
      </w:r>
      <w:proofErr w:type="spellStart"/>
      <w:r w:rsidRPr="04390F88">
        <w:rPr>
          <w:rFonts w:ascii="Verdana" w:hAnsi="Verdana"/>
          <w:b/>
          <w:bCs/>
          <w:sz w:val="18"/>
          <w:szCs w:val="18"/>
        </w:rPr>
        <w:t>Trb</w:t>
      </w:r>
      <w:proofErr w:type="spellEnd"/>
      <w:r w:rsidRPr="04390F88">
        <w:rPr>
          <w:rFonts w:ascii="Verdana" w:hAnsi="Verdana"/>
          <w:b/>
          <w:bCs/>
          <w:sz w:val="18"/>
          <w:szCs w:val="18"/>
        </w:rPr>
        <w:t>. 2024, 109) en het op 24 september 2004 te Parijs tot stand gekomen OCCAR-Beveiligingsverdrag tussen de Regering van de Franse Republiek, de Regering van de Bondsrepubliek Duitsland, de Regering van het Koninkrijk België, de Regering van de Italiaanse Republiek en de Regering van het Verenigd Koninkrijk van Groot-Brittannië en Noord-Ierland, zoals gewijzigd door het op 13 november 2025 te Parijs tot stand gekomen Verdrag tussen de Regering van de Franse Republiek, de Regering van de Bondsrepubliek Duitsland, de Regering van het Koninkrijk België, de Regering van de Italiaanse Republiek, de Regering van het Koninkrijk Spanje en de Regering van het Verenigd Koninkrijk van Groot-Brittannië en Noord-Ierland tot wijziging van het OCCAR-Beveiligingsverdrag (</w:t>
      </w:r>
      <w:proofErr w:type="spellStart"/>
      <w:r w:rsidRPr="04390F88">
        <w:rPr>
          <w:rFonts w:ascii="Verdana" w:hAnsi="Verdana"/>
          <w:b/>
          <w:bCs/>
          <w:sz w:val="18"/>
          <w:szCs w:val="18"/>
        </w:rPr>
        <w:t>Trb</w:t>
      </w:r>
      <w:proofErr w:type="spellEnd"/>
      <w:r w:rsidRPr="04390F88">
        <w:rPr>
          <w:rFonts w:ascii="Verdana" w:hAnsi="Verdana"/>
          <w:b/>
          <w:bCs/>
          <w:sz w:val="18"/>
          <w:szCs w:val="18"/>
        </w:rPr>
        <w:t xml:space="preserve">. 2024, 31 en </w:t>
      </w:r>
      <w:proofErr w:type="spellStart"/>
      <w:r w:rsidRPr="04390F88">
        <w:rPr>
          <w:rFonts w:ascii="Verdana" w:hAnsi="Verdana"/>
          <w:b/>
          <w:bCs/>
          <w:sz w:val="18"/>
          <w:szCs w:val="18"/>
        </w:rPr>
        <w:t>Trb</w:t>
      </w:r>
      <w:proofErr w:type="spellEnd"/>
      <w:r w:rsidRPr="04390F88">
        <w:rPr>
          <w:rFonts w:ascii="Verdana" w:hAnsi="Verdana"/>
          <w:b/>
          <w:bCs/>
          <w:sz w:val="18"/>
          <w:szCs w:val="18"/>
        </w:rPr>
        <w:t xml:space="preserve">. 2025, 95) </w:t>
      </w:r>
      <w:bookmarkStart w:name="_Hlk211434499" w:id="0"/>
      <w:bookmarkStart w:name="_Hlk215647800" w:id="1"/>
      <w:bookmarkEnd w:id="0"/>
    </w:p>
    <w:bookmarkEnd w:id="1"/>
    <w:p w:rsidRPr="008131C9" w:rsidR="00F02BAA" w:rsidP="003B7EFC" w:rsidRDefault="00F02BAA" w14:paraId="6946B723" w14:textId="4DDEC2A6">
      <w:pPr>
        <w:jc w:val="both"/>
        <w:rPr>
          <w:rFonts w:ascii="Verdana" w:hAnsi="Verdana"/>
          <w:b/>
          <w:bCs/>
          <w:sz w:val="18"/>
          <w:szCs w:val="18"/>
        </w:rPr>
      </w:pPr>
      <w:r w:rsidRPr="008131C9">
        <w:rPr>
          <w:rFonts w:ascii="Verdana" w:hAnsi="Verdana"/>
          <w:b/>
          <w:bCs/>
          <w:sz w:val="18"/>
          <w:szCs w:val="18"/>
        </w:rPr>
        <w:t>MEMORIE VAN TOELICHTING</w:t>
      </w:r>
    </w:p>
    <w:p w:rsidR="00DC0E68" w:rsidP="003B7EFC" w:rsidRDefault="00F02BAA" w14:paraId="2D623471" w14:textId="01779D16">
      <w:pPr>
        <w:pStyle w:val="ListParagraph"/>
        <w:numPr>
          <w:ilvl w:val="0"/>
          <w:numId w:val="10"/>
        </w:numPr>
        <w:jc w:val="both"/>
        <w:rPr>
          <w:rFonts w:ascii="Verdana" w:hAnsi="Verdana"/>
          <w:b/>
          <w:bCs/>
          <w:sz w:val="18"/>
          <w:szCs w:val="18"/>
        </w:rPr>
      </w:pPr>
      <w:r w:rsidRPr="00E9538D">
        <w:rPr>
          <w:rFonts w:ascii="Verdana" w:hAnsi="Verdana"/>
          <w:b/>
          <w:bCs/>
          <w:sz w:val="18"/>
          <w:szCs w:val="18"/>
        </w:rPr>
        <w:t>Algemeen</w:t>
      </w:r>
    </w:p>
    <w:p w:rsidR="0059374F" w:rsidP="0059374F" w:rsidRDefault="007D4AEB" w14:paraId="7D8D7DEA" w14:textId="00DC5260">
      <w:pPr>
        <w:pStyle w:val="NormalWeb"/>
        <w:spacing w:before="0" w:beforeAutospacing="0" w:after="0" w:afterAutospacing="0" w:line="259" w:lineRule="auto"/>
        <w:jc w:val="both"/>
        <w:rPr>
          <w:rFonts w:ascii="Verdana" w:hAnsi="Verdana"/>
          <w:iCs/>
          <w:sz w:val="18"/>
          <w:szCs w:val="18"/>
        </w:rPr>
      </w:pPr>
      <w:r w:rsidRPr="007D4AEB">
        <w:rPr>
          <w:rFonts w:ascii="Verdana" w:hAnsi="Verdana"/>
          <w:iCs/>
          <w:sz w:val="18"/>
          <w:szCs w:val="18"/>
        </w:rPr>
        <w:t xml:space="preserve">1.1 </w:t>
      </w:r>
      <w:r w:rsidRPr="007D4AEB" w:rsidR="0059374F">
        <w:rPr>
          <w:rFonts w:ascii="Verdana" w:hAnsi="Verdana"/>
          <w:iCs/>
          <w:sz w:val="18"/>
          <w:szCs w:val="18"/>
        </w:rPr>
        <w:t>Inleiding</w:t>
      </w:r>
    </w:p>
    <w:p w:rsidRPr="007D4AEB" w:rsidR="007D4AEB" w:rsidP="0059374F" w:rsidRDefault="007D4AEB" w14:paraId="1F50EBAB" w14:textId="77777777">
      <w:pPr>
        <w:pStyle w:val="NormalWeb"/>
        <w:spacing w:before="0" w:beforeAutospacing="0" w:after="0" w:afterAutospacing="0" w:line="259" w:lineRule="auto"/>
        <w:jc w:val="both"/>
        <w:rPr>
          <w:rFonts w:ascii="Verdana" w:hAnsi="Verdana"/>
          <w:iCs/>
          <w:sz w:val="18"/>
          <w:szCs w:val="18"/>
        </w:rPr>
      </w:pPr>
    </w:p>
    <w:p w:rsidR="00BD3008" w:rsidP="00BD3008" w:rsidRDefault="00B22AE3" w14:paraId="667880FD" w14:textId="422AC327">
      <w:pPr>
        <w:pStyle w:val="NormalWeb"/>
        <w:spacing w:before="0" w:beforeAutospacing="0" w:after="160" w:afterAutospacing="0" w:line="259" w:lineRule="auto"/>
        <w:jc w:val="both"/>
        <w:rPr>
          <w:rFonts w:ascii="Verdana" w:hAnsi="Verdana"/>
          <w:sz w:val="18"/>
          <w:szCs w:val="18"/>
        </w:rPr>
      </w:pPr>
      <w:r w:rsidRPr="00AD3560">
        <w:rPr>
          <w:rFonts w:ascii="Verdana" w:hAnsi="Verdana"/>
          <w:sz w:val="18"/>
          <w:szCs w:val="18"/>
        </w:rPr>
        <w:t>De</w:t>
      </w:r>
      <w:r w:rsidRPr="00AD3560" w:rsidR="00DB0EEC">
        <w:rPr>
          <w:rFonts w:ascii="Verdana" w:hAnsi="Verdana"/>
          <w:sz w:val="18"/>
          <w:szCs w:val="18"/>
        </w:rPr>
        <w:t xml:space="preserve"> </w:t>
      </w:r>
      <w:proofErr w:type="spellStart"/>
      <w:r w:rsidRPr="00AD3560" w:rsidR="00893F46">
        <w:rPr>
          <w:rFonts w:ascii="Verdana" w:hAnsi="Verdana"/>
          <w:i/>
          <w:sz w:val="18"/>
          <w:szCs w:val="18"/>
        </w:rPr>
        <w:t>Organisation</w:t>
      </w:r>
      <w:proofErr w:type="spellEnd"/>
      <w:r w:rsidRPr="00AD3560" w:rsidR="00893F46">
        <w:rPr>
          <w:rFonts w:ascii="Verdana" w:hAnsi="Verdana"/>
          <w:i/>
          <w:sz w:val="18"/>
          <w:szCs w:val="18"/>
        </w:rPr>
        <w:t xml:space="preserve"> </w:t>
      </w:r>
      <w:proofErr w:type="spellStart"/>
      <w:r w:rsidRPr="00AD3560" w:rsidR="00893F46">
        <w:rPr>
          <w:rFonts w:ascii="Verdana" w:hAnsi="Verdana"/>
          <w:i/>
          <w:sz w:val="18"/>
          <w:szCs w:val="18"/>
        </w:rPr>
        <w:t>Conjointe</w:t>
      </w:r>
      <w:proofErr w:type="spellEnd"/>
      <w:r w:rsidRPr="00AD3560" w:rsidR="00893F46">
        <w:rPr>
          <w:rFonts w:ascii="Verdana" w:hAnsi="Verdana"/>
          <w:i/>
          <w:sz w:val="18"/>
          <w:szCs w:val="18"/>
        </w:rPr>
        <w:t xml:space="preserve"> de Coopération en </w:t>
      </w:r>
      <w:proofErr w:type="spellStart"/>
      <w:r w:rsidRPr="00AD3560" w:rsidR="00893F46">
        <w:rPr>
          <w:rFonts w:ascii="Verdana" w:hAnsi="Verdana"/>
          <w:i/>
          <w:sz w:val="18"/>
          <w:szCs w:val="18"/>
        </w:rPr>
        <w:t>matière</w:t>
      </w:r>
      <w:proofErr w:type="spellEnd"/>
      <w:r w:rsidRPr="00AD3560" w:rsidR="00893F46">
        <w:rPr>
          <w:rFonts w:ascii="Verdana" w:hAnsi="Verdana"/>
          <w:i/>
          <w:sz w:val="18"/>
          <w:szCs w:val="18"/>
        </w:rPr>
        <w:t xml:space="preserve"> </w:t>
      </w:r>
      <w:proofErr w:type="spellStart"/>
      <w:r w:rsidRPr="00AD3560" w:rsidR="00893F46">
        <w:rPr>
          <w:rFonts w:ascii="Verdana" w:hAnsi="Verdana"/>
          <w:i/>
          <w:sz w:val="18"/>
          <w:szCs w:val="18"/>
        </w:rPr>
        <w:t>d’Armement</w:t>
      </w:r>
      <w:proofErr w:type="spellEnd"/>
      <w:r w:rsidRPr="00AD3560" w:rsidR="00893F46">
        <w:rPr>
          <w:rFonts w:ascii="Verdana" w:hAnsi="Verdana"/>
          <w:i/>
          <w:sz w:val="18"/>
          <w:szCs w:val="18"/>
        </w:rPr>
        <w:t xml:space="preserve"> </w:t>
      </w:r>
      <w:r w:rsidRPr="00AD3560" w:rsidR="00893F46">
        <w:rPr>
          <w:rFonts w:ascii="Verdana" w:hAnsi="Verdana"/>
          <w:sz w:val="18"/>
          <w:szCs w:val="18"/>
        </w:rPr>
        <w:t>(</w:t>
      </w:r>
      <w:r w:rsidRPr="00AD3560" w:rsidR="00BD3008">
        <w:rPr>
          <w:rFonts w:ascii="Verdana" w:hAnsi="Verdana"/>
          <w:sz w:val="18"/>
          <w:szCs w:val="18"/>
        </w:rPr>
        <w:t>OCCAR</w:t>
      </w:r>
      <w:r w:rsidRPr="00AD3560" w:rsidR="00893F46">
        <w:rPr>
          <w:rFonts w:ascii="Verdana" w:hAnsi="Verdana"/>
          <w:sz w:val="18"/>
          <w:szCs w:val="18"/>
        </w:rPr>
        <w:t>)</w:t>
      </w:r>
      <w:r w:rsidR="00BD3008">
        <w:rPr>
          <w:rStyle w:val="FootnoteReference"/>
          <w:rFonts w:ascii="Verdana" w:hAnsi="Verdana"/>
          <w:sz w:val="18"/>
          <w:szCs w:val="18"/>
        </w:rPr>
        <w:footnoteReference w:id="2"/>
      </w:r>
      <w:r w:rsidR="00BD3008">
        <w:rPr>
          <w:rFonts w:ascii="Verdana" w:hAnsi="Verdana"/>
          <w:sz w:val="18"/>
          <w:szCs w:val="18"/>
        </w:rPr>
        <w:t>, opgericht in 2001, is een organisatie van momenteel zes Europese landen:</w:t>
      </w:r>
      <w:r w:rsidRPr="00A53F4C" w:rsidR="00BD3008">
        <w:rPr>
          <w:rFonts w:ascii="Verdana" w:hAnsi="Verdana"/>
          <w:sz w:val="18"/>
          <w:szCs w:val="18"/>
        </w:rPr>
        <w:t xml:space="preserve"> </w:t>
      </w:r>
      <w:r w:rsidR="00BD3008">
        <w:rPr>
          <w:rFonts w:ascii="Verdana" w:hAnsi="Verdana"/>
          <w:sz w:val="18"/>
          <w:szCs w:val="18"/>
        </w:rPr>
        <w:t>België, Duitsland, Frankrijk, Italië, Spanje en het Verenigd Koninkrijk (VK). OCCAR</w:t>
      </w:r>
      <w:r w:rsidR="00B75392">
        <w:rPr>
          <w:rFonts w:ascii="Verdana" w:hAnsi="Verdana"/>
          <w:sz w:val="18"/>
          <w:szCs w:val="18"/>
        </w:rPr>
        <w:t xml:space="preserve">, dat los staat van de NAVO en de EU, </w:t>
      </w:r>
      <w:r w:rsidR="00FF02FF">
        <w:rPr>
          <w:rFonts w:ascii="Verdana" w:hAnsi="Verdana"/>
          <w:sz w:val="18"/>
          <w:szCs w:val="18"/>
        </w:rPr>
        <w:t xml:space="preserve">voert </w:t>
      </w:r>
      <w:r w:rsidR="00BD3008">
        <w:rPr>
          <w:rFonts w:ascii="Verdana" w:hAnsi="Verdana"/>
          <w:sz w:val="18"/>
          <w:szCs w:val="18"/>
        </w:rPr>
        <w:t>gemeenschappelijke pro</w:t>
      </w:r>
      <w:r w:rsidR="003F0E26">
        <w:rPr>
          <w:rFonts w:ascii="Verdana" w:hAnsi="Verdana"/>
          <w:sz w:val="18"/>
          <w:szCs w:val="18"/>
        </w:rPr>
        <w:t>jecten</w:t>
      </w:r>
      <w:r w:rsidR="00BD3008">
        <w:rPr>
          <w:rFonts w:ascii="Verdana" w:hAnsi="Verdana"/>
          <w:sz w:val="18"/>
          <w:szCs w:val="18"/>
        </w:rPr>
        <w:t xml:space="preserve"> uit voor de ontwikkeling en productie van defensiematerieel. </w:t>
      </w:r>
      <w:r w:rsidR="0001069B">
        <w:rPr>
          <w:rFonts w:ascii="Verdana" w:hAnsi="Verdana"/>
          <w:sz w:val="18"/>
          <w:szCs w:val="18"/>
        </w:rPr>
        <w:t xml:space="preserve">In 2001 heeft </w:t>
      </w:r>
      <w:r w:rsidR="001A2F22">
        <w:rPr>
          <w:rFonts w:ascii="Verdana" w:hAnsi="Verdana"/>
          <w:sz w:val="18"/>
          <w:szCs w:val="18"/>
        </w:rPr>
        <w:t>de regering</w:t>
      </w:r>
      <w:r w:rsidR="0001069B">
        <w:rPr>
          <w:rFonts w:ascii="Verdana" w:hAnsi="Verdana"/>
          <w:sz w:val="18"/>
          <w:szCs w:val="18"/>
        </w:rPr>
        <w:t xml:space="preserve"> de procedure voor toetreding tot OCCAR in gang gezet, maar een jaar later </w:t>
      </w:r>
      <w:r w:rsidR="00BD3008">
        <w:rPr>
          <w:rFonts w:ascii="Verdana" w:hAnsi="Verdana"/>
          <w:sz w:val="18"/>
          <w:szCs w:val="18"/>
        </w:rPr>
        <w:t xml:space="preserve">heeft </w:t>
      </w:r>
      <w:r w:rsidR="001A2F22">
        <w:rPr>
          <w:rFonts w:ascii="Verdana" w:hAnsi="Verdana"/>
          <w:sz w:val="18"/>
          <w:szCs w:val="18"/>
        </w:rPr>
        <w:t>de regering</w:t>
      </w:r>
      <w:r w:rsidR="00BD3008">
        <w:rPr>
          <w:rFonts w:ascii="Verdana" w:hAnsi="Verdana"/>
          <w:sz w:val="18"/>
          <w:szCs w:val="18"/>
        </w:rPr>
        <w:t xml:space="preserve"> na overleg met de Tweede Kamer besloten om </w:t>
      </w:r>
      <w:r w:rsidR="004D78A0">
        <w:rPr>
          <w:rFonts w:ascii="Verdana" w:hAnsi="Verdana"/>
          <w:sz w:val="18"/>
          <w:szCs w:val="18"/>
        </w:rPr>
        <w:t>de</w:t>
      </w:r>
      <w:r w:rsidR="001A2F22">
        <w:rPr>
          <w:rFonts w:ascii="Verdana" w:hAnsi="Verdana"/>
          <w:sz w:val="18"/>
          <w:szCs w:val="18"/>
        </w:rPr>
        <w:t>ze</w:t>
      </w:r>
      <w:r w:rsidR="004D78A0">
        <w:rPr>
          <w:rFonts w:ascii="Verdana" w:hAnsi="Verdana"/>
          <w:sz w:val="18"/>
          <w:szCs w:val="18"/>
        </w:rPr>
        <w:t xml:space="preserve"> procedure op te schorten</w:t>
      </w:r>
      <w:r w:rsidR="00BD3008">
        <w:rPr>
          <w:rFonts w:ascii="Verdana" w:hAnsi="Verdana"/>
          <w:sz w:val="18"/>
          <w:szCs w:val="18"/>
        </w:rPr>
        <w:t>.</w:t>
      </w:r>
      <w:r w:rsidR="00AD3560">
        <w:rPr>
          <w:rStyle w:val="FootnoteReference"/>
          <w:rFonts w:ascii="Verdana" w:hAnsi="Verdana"/>
          <w:sz w:val="18"/>
          <w:szCs w:val="18"/>
        </w:rPr>
        <w:footnoteReference w:id="3"/>
      </w:r>
      <w:r w:rsidR="00BD3008">
        <w:rPr>
          <w:rFonts w:ascii="Verdana" w:hAnsi="Verdana"/>
          <w:sz w:val="18"/>
          <w:szCs w:val="18"/>
        </w:rPr>
        <w:t xml:space="preserve"> Wel voert OCCAR sindsdien enkele projecten uit waar</w:t>
      </w:r>
      <w:r w:rsidR="000659A7">
        <w:rPr>
          <w:rFonts w:ascii="Verdana" w:hAnsi="Verdana"/>
          <w:sz w:val="18"/>
          <w:szCs w:val="18"/>
        </w:rPr>
        <w:t>bij</w:t>
      </w:r>
      <w:r w:rsidR="00BD3008">
        <w:rPr>
          <w:rFonts w:ascii="Verdana" w:hAnsi="Verdana"/>
          <w:sz w:val="18"/>
          <w:szCs w:val="18"/>
        </w:rPr>
        <w:t xml:space="preserve"> Nederland als samenwerkingspartner </w:t>
      </w:r>
      <w:r w:rsidR="000659A7">
        <w:rPr>
          <w:rFonts w:ascii="Verdana" w:hAnsi="Verdana"/>
          <w:sz w:val="18"/>
          <w:szCs w:val="18"/>
        </w:rPr>
        <w:t>is</w:t>
      </w:r>
      <w:r w:rsidR="00BD3008">
        <w:rPr>
          <w:rFonts w:ascii="Verdana" w:hAnsi="Verdana"/>
          <w:sz w:val="18"/>
          <w:szCs w:val="18"/>
        </w:rPr>
        <w:t xml:space="preserve"> betrokken</w:t>
      </w:r>
      <w:r w:rsidR="0098758C">
        <w:rPr>
          <w:rFonts w:ascii="Verdana" w:hAnsi="Verdana"/>
          <w:sz w:val="18"/>
          <w:szCs w:val="18"/>
        </w:rPr>
        <w:t>,</w:t>
      </w:r>
      <w:r w:rsidR="00BD3008">
        <w:rPr>
          <w:rFonts w:ascii="Verdana" w:hAnsi="Verdana"/>
          <w:sz w:val="18"/>
          <w:szCs w:val="18"/>
        </w:rPr>
        <w:t xml:space="preserve"> zoals het project voor de Boxer-pantservoertuigen. </w:t>
      </w:r>
    </w:p>
    <w:p w:rsidR="00BD3008" w:rsidP="00BD3008" w:rsidRDefault="00BD3008" w14:paraId="37F9653E" w14:textId="18314F79">
      <w:pPr>
        <w:pStyle w:val="NormalWeb"/>
        <w:spacing w:before="0" w:beforeAutospacing="0" w:after="160" w:afterAutospacing="0" w:line="259" w:lineRule="auto"/>
        <w:jc w:val="both"/>
        <w:rPr>
          <w:rFonts w:ascii="Verdana" w:hAnsi="Verdana"/>
          <w:sz w:val="18"/>
          <w:szCs w:val="18"/>
        </w:rPr>
      </w:pPr>
      <w:r>
        <w:rPr>
          <w:rFonts w:ascii="Verdana" w:hAnsi="Verdana"/>
          <w:sz w:val="18"/>
          <w:szCs w:val="18"/>
        </w:rPr>
        <w:t>Sinds 2002 zijn de internationale omstandigheden grondig gewijzigd. De Russische agressieoorlog in Oekraïne en de grote geostrategische verschuivingen maken het noodzakelijk dat Europa meer verantwoordelijkheid neemt voor de eigen veiligheid. Europese defensiesamenwerking</w:t>
      </w:r>
      <w:r w:rsidR="00320AC1">
        <w:rPr>
          <w:rFonts w:ascii="Verdana" w:hAnsi="Verdana"/>
          <w:sz w:val="18"/>
          <w:szCs w:val="18"/>
        </w:rPr>
        <w:t xml:space="preserve"> -</w:t>
      </w:r>
      <w:r>
        <w:rPr>
          <w:rFonts w:ascii="Verdana" w:hAnsi="Verdana"/>
          <w:sz w:val="18"/>
          <w:szCs w:val="18"/>
        </w:rPr>
        <w:t xml:space="preserve"> ook op materieelgebied</w:t>
      </w:r>
      <w:r w:rsidR="00320AC1">
        <w:rPr>
          <w:rFonts w:ascii="Verdana" w:hAnsi="Verdana"/>
          <w:sz w:val="18"/>
          <w:szCs w:val="18"/>
        </w:rPr>
        <w:t xml:space="preserve"> -</w:t>
      </w:r>
      <w:r>
        <w:rPr>
          <w:rFonts w:ascii="Verdana" w:hAnsi="Verdana"/>
          <w:sz w:val="18"/>
          <w:szCs w:val="18"/>
        </w:rPr>
        <w:t xml:space="preserve"> is daarbij essentieel</w:t>
      </w:r>
      <w:r w:rsidR="00320AC1">
        <w:rPr>
          <w:rFonts w:ascii="Verdana" w:hAnsi="Verdana"/>
          <w:sz w:val="18"/>
          <w:szCs w:val="18"/>
        </w:rPr>
        <w:t>, zoals ook benadrukt in het coalitieakkoord ‘Aan de slag’.</w:t>
      </w:r>
      <w:r w:rsidR="00320AC1">
        <w:rPr>
          <w:rStyle w:val="FootnoteReference"/>
          <w:rFonts w:ascii="Verdana" w:hAnsi="Verdana"/>
          <w:sz w:val="18"/>
          <w:szCs w:val="18"/>
        </w:rPr>
        <w:footnoteReference w:id="4"/>
      </w:r>
      <w:r w:rsidR="00320AC1">
        <w:rPr>
          <w:rFonts w:ascii="Verdana" w:hAnsi="Verdana"/>
          <w:sz w:val="18"/>
          <w:szCs w:val="18"/>
        </w:rPr>
        <w:t xml:space="preserve"> </w:t>
      </w:r>
      <w:r>
        <w:rPr>
          <w:rFonts w:ascii="Verdana" w:hAnsi="Verdana"/>
          <w:sz w:val="18"/>
          <w:szCs w:val="18"/>
        </w:rPr>
        <w:t>OCCAR kan daaraan een goede bijdrage leveren. Nederland</w:t>
      </w:r>
      <w:r w:rsidR="00FF02FF">
        <w:rPr>
          <w:rFonts w:ascii="Verdana" w:hAnsi="Verdana"/>
          <w:sz w:val="18"/>
          <w:szCs w:val="18"/>
        </w:rPr>
        <w:t xml:space="preserve"> heeft</w:t>
      </w:r>
      <w:r>
        <w:rPr>
          <w:rFonts w:ascii="Verdana" w:hAnsi="Verdana"/>
          <w:sz w:val="18"/>
          <w:szCs w:val="18"/>
        </w:rPr>
        <w:t xml:space="preserve"> daarom</w:t>
      </w:r>
      <w:r w:rsidR="004D78A0">
        <w:rPr>
          <w:rFonts w:ascii="Verdana" w:hAnsi="Verdana"/>
          <w:sz w:val="18"/>
          <w:szCs w:val="18"/>
        </w:rPr>
        <w:t xml:space="preserve"> de toetreding hervat</w:t>
      </w:r>
      <w:r w:rsidR="00FF02FF">
        <w:rPr>
          <w:rFonts w:ascii="Verdana" w:hAnsi="Verdana"/>
          <w:sz w:val="18"/>
          <w:szCs w:val="18"/>
        </w:rPr>
        <w:t xml:space="preserve"> om</w:t>
      </w:r>
      <w:r>
        <w:rPr>
          <w:rFonts w:ascii="Verdana" w:hAnsi="Verdana"/>
          <w:sz w:val="18"/>
          <w:szCs w:val="18"/>
        </w:rPr>
        <w:t xml:space="preserve"> alsnog volwaardig lid </w:t>
      </w:r>
      <w:r w:rsidR="00FF02FF">
        <w:rPr>
          <w:rFonts w:ascii="Verdana" w:hAnsi="Verdana"/>
          <w:sz w:val="18"/>
          <w:szCs w:val="18"/>
        </w:rPr>
        <w:t xml:space="preserve">te </w:t>
      </w:r>
      <w:r>
        <w:rPr>
          <w:rFonts w:ascii="Verdana" w:hAnsi="Verdana"/>
          <w:sz w:val="18"/>
          <w:szCs w:val="18"/>
        </w:rPr>
        <w:t>worden.</w:t>
      </w:r>
      <w:r w:rsidR="00AA7203">
        <w:rPr>
          <w:rFonts w:ascii="Verdana" w:hAnsi="Verdana"/>
          <w:sz w:val="18"/>
          <w:szCs w:val="18"/>
        </w:rPr>
        <w:t xml:space="preserve"> Naast het Europese aspect is h</w:t>
      </w:r>
      <w:r>
        <w:rPr>
          <w:rFonts w:ascii="Verdana" w:hAnsi="Verdana"/>
          <w:sz w:val="18"/>
          <w:szCs w:val="18"/>
        </w:rPr>
        <w:t>et lidmaatschap</w:t>
      </w:r>
      <w:r w:rsidR="00E24A59">
        <w:rPr>
          <w:rFonts w:ascii="Verdana" w:hAnsi="Verdana"/>
          <w:sz w:val="18"/>
          <w:szCs w:val="18"/>
        </w:rPr>
        <w:t xml:space="preserve"> een goede en nuttige aanvulling op het instrumentarium van Defensie voor de aanschaf van materieel</w:t>
      </w:r>
      <w:r w:rsidR="00A23DD2">
        <w:rPr>
          <w:rFonts w:ascii="Verdana" w:hAnsi="Verdana"/>
          <w:sz w:val="18"/>
          <w:szCs w:val="18"/>
        </w:rPr>
        <w:t xml:space="preserve">, versterkt </w:t>
      </w:r>
      <w:r w:rsidR="00AA7203">
        <w:rPr>
          <w:rFonts w:ascii="Verdana" w:hAnsi="Verdana"/>
          <w:sz w:val="18"/>
          <w:szCs w:val="18"/>
        </w:rPr>
        <w:t xml:space="preserve">het </w:t>
      </w:r>
      <w:r w:rsidR="00A23DD2">
        <w:rPr>
          <w:rFonts w:ascii="Verdana" w:hAnsi="Verdana"/>
          <w:sz w:val="18"/>
          <w:szCs w:val="18"/>
        </w:rPr>
        <w:t>de Nederlandse invloed op de pro</w:t>
      </w:r>
      <w:r w:rsidR="003F0E26">
        <w:rPr>
          <w:rFonts w:ascii="Verdana" w:hAnsi="Verdana"/>
          <w:sz w:val="18"/>
          <w:szCs w:val="18"/>
        </w:rPr>
        <w:t>jecten</w:t>
      </w:r>
      <w:r w:rsidR="00A23DD2">
        <w:rPr>
          <w:rFonts w:ascii="Verdana" w:hAnsi="Verdana"/>
          <w:sz w:val="18"/>
          <w:szCs w:val="18"/>
        </w:rPr>
        <w:t xml:space="preserve"> van OCCAR</w:t>
      </w:r>
      <w:r w:rsidR="00E24A59">
        <w:rPr>
          <w:rFonts w:ascii="Verdana" w:hAnsi="Verdana"/>
          <w:sz w:val="18"/>
          <w:szCs w:val="18"/>
        </w:rPr>
        <w:t xml:space="preserve"> en</w:t>
      </w:r>
      <w:r>
        <w:rPr>
          <w:rFonts w:ascii="Verdana" w:hAnsi="Verdana"/>
          <w:sz w:val="18"/>
          <w:szCs w:val="18"/>
        </w:rPr>
        <w:t xml:space="preserve"> vergroot </w:t>
      </w:r>
      <w:r w:rsidR="00AA7203">
        <w:rPr>
          <w:rFonts w:ascii="Verdana" w:hAnsi="Verdana"/>
          <w:sz w:val="18"/>
          <w:szCs w:val="18"/>
        </w:rPr>
        <w:t xml:space="preserve">het </w:t>
      </w:r>
      <w:r>
        <w:rPr>
          <w:rFonts w:ascii="Verdana" w:hAnsi="Verdana"/>
          <w:sz w:val="18"/>
          <w:szCs w:val="18"/>
        </w:rPr>
        <w:t>de kansen op inschakeling van de Nederlandse defensie-industrie bij internationale projecten</w:t>
      </w:r>
      <w:r w:rsidR="00461D91">
        <w:rPr>
          <w:rFonts w:ascii="Verdana" w:hAnsi="Verdana"/>
          <w:sz w:val="18"/>
          <w:szCs w:val="18"/>
        </w:rPr>
        <w:t>, ook als Nederland daar zelf niet aan meedoet</w:t>
      </w:r>
      <w:r>
        <w:rPr>
          <w:rFonts w:ascii="Verdana" w:hAnsi="Verdana"/>
          <w:sz w:val="18"/>
          <w:szCs w:val="18"/>
        </w:rPr>
        <w:t>.</w:t>
      </w:r>
      <w:r w:rsidR="00E24A59">
        <w:rPr>
          <w:rFonts w:ascii="Verdana" w:hAnsi="Verdana"/>
          <w:sz w:val="18"/>
          <w:szCs w:val="18"/>
        </w:rPr>
        <w:t xml:space="preserve"> </w:t>
      </w:r>
    </w:p>
    <w:p w:rsidR="00BD3008" w:rsidP="00BD3008" w:rsidRDefault="008C1F1F" w14:paraId="75ADD49C" w14:textId="5856B081">
      <w:pPr>
        <w:pStyle w:val="NormalWeb"/>
        <w:spacing w:before="0" w:beforeAutospacing="0" w:after="160" w:afterAutospacing="0" w:line="259" w:lineRule="auto"/>
        <w:jc w:val="both"/>
        <w:rPr>
          <w:rFonts w:ascii="Verdana" w:hAnsi="Verdana"/>
          <w:sz w:val="18"/>
          <w:szCs w:val="18"/>
        </w:rPr>
      </w:pPr>
      <w:r>
        <w:rPr>
          <w:rFonts w:ascii="Verdana" w:hAnsi="Verdana"/>
          <w:sz w:val="18"/>
          <w:szCs w:val="18"/>
        </w:rPr>
        <w:t xml:space="preserve">Om lid te kunnen worden van OCCAR </w:t>
      </w:r>
      <w:r w:rsidR="00F6174B">
        <w:rPr>
          <w:rFonts w:ascii="Verdana" w:hAnsi="Verdana"/>
          <w:sz w:val="18"/>
          <w:szCs w:val="18"/>
        </w:rPr>
        <w:t>dient</w:t>
      </w:r>
      <w:r>
        <w:rPr>
          <w:rFonts w:ascii="Verdana" w:hAnsi="Verdana"/>
          <w:sz w:val="18"/>
          <w:szCs w:val="18"/>
        </w:rPr>
        <w:t xml:space="preserve"> </w:t>
      </w:r>
      <w:r w:rsidR="00AD3560">
        <w:rPr>
          <w:rFonts w:ascii="Verdana" w:hAnsi="Verdana"/>
          <w:sz w:val="18"/>
          <w:szCs w:val="18"/>
        </w:rPr>
        <w:t xml:space="preserve">het Koninkrijk toe te treden tot </w:t>
      </w:r>
      <w:r>
        <w:rPr>
          <w:rFonts w:ascii="Verdana" w:hAnsi="Verdana"/>
          <w:sz w:val="18"/>
          <w:szCs w:val="18"/>
        </w:rPr>
        <w:t>twee verdragen</w:t>
      </w:r>
      <w:r w:rsidR="00B22AE3">
        <w:rPr>
          <w:rFonts w:ascii="Verdana" w:hAnsi="Verdana"/>
          <w:sz w:val="18"/>
          <w:szCs w:val="18"/>
        </w:rPr>
        <w:t>.</w:t>
      </w:r>
      <w:r w:rsidR="00BD3008">
        <w:rPr>
          <w:rFonts w:ascii="Verdana" w:hAnsi="Verdana"/>
          <w:sz w:val="18"/>
          <w:szCs w:val="18"/>
        </w:rPr>
        <w:t xml:space="preserve"> Dit betreft </w:t>
      </w:r>
      <w:r w:rsidR="00AD3560">
        <w:rPr>
          <w:rFonts w:ascii="Verdana" w:hAnsi="Verdana"/>
          <w:sz w:val="18"/>
          <w:szCs w:val="18"/>
        </w:rPr>
        <w:t xml:space="preserve">het op 9 september 1998 te </w:t>
      </w:r>
      <w:proofErr w:type="spellStart"/>
      <w:r w:rsidR="00AD3560">
        <w:rPr>
          <w:rFonts w:ascii="Verdana" w:hAnsi="Verdana"/>
          <w:sz w:val="18"/>
          <w:szCs w:val="18"/>
        </w:rPr>
        <w:t>Farnborough</w:t>
      </w:r>
      <w:proofErr w:type="spellEnd"/>
      <w:r w:rsidR="00DE0224">
        <w:rPr>
          <w:rFonts w:ascii="Verdana" w:hAnsi="Verdana"/>
          <w:sz w:val="18"/>
          <w:szCs w:val="18"/>
        </w:rPr>
        <w:t xml:space="preserve"> tot stand gekomen </w:t>
      </w:r>
      <w:r w:rsidRPr="00DE0224" w:rsidR="00DE0224">
        <w:rPr>
          <w:rFonts w:ascii="Verdana" w:hAnsi="Verdana"/>
          <w:sz w:val="18"/>
          <w:szCs w:val="18"/>
        </w:rPr>
        <w:t>Verdrag tussen de Regering van het Verenigd Koninkrijk van Groot-Brittannië en Noord-Ierland, de Regering van de Franse Republiek, de Regering van de Bondsrepubliek Duitsland en de Regering van de Italiaanse Republiek tot oprichting van een Gezamenlijke Organisatie voor Samenwerking op Defensie-materieelgebied (</w:t>
      </w:r>
      <w:proofErr w:type="spellStart"/>
      <w:r w:rsidRPr="001505EC" w:rsidR="00DE0224">
        <w:rPr>
          <w:rFonts w:ascii="Verdana" w:hAnsi="Verdana"/>
          <w:i/>
          <w:sz w:val="18"/>
          <w:szCs w:val="18"/>
        </w:rPr>
        <w:t>Organisation</w:t>
      </w:r>
      <w:proofErr w:type="spellEnd"/>
      <w:r w:rsidRPr="001505EC" w:rsidR="00DE0224">
        <w:rPr>
          <w:rFonts w:ascii="Verdana" w:hAnsi="Verdana"/>
          <w:i/>
          <w:sz w:val="18"/>
          <w:szCs w:val="18"/>
        </w:rPr>
        <w:t xml:space="preserve"> </w:t>
      </w:r>
      <w:proofErr w:type="spellStart"/>
      <w:r w:rsidRPr="001505EC" w:rsidR="00DE0224">
        <w:rPr>
          <w:rFonts w:ascii="Verdana" w:hAnsi="Verdana"/>
          <w:i/>
          <w:sz w:val="18"/>
          <w:szCs w:val="18"/>
        </w:rPr>
        <w:t>Conjointe</w:t>
      </w:r>
      <w:proofErr w:type="spellEnd"/>
      <w:r w:rsidRPr="001505EC" w:rsidR="00DE0224">
        <w:rPr>
          <w:rFonts w:ascii="Verdana" w:hAnsi="Verdana"/>
          <w:i/>
          <w:sz w:val="18"/>
          <w:szCs w:val="18"/>
        </w:rPr>
        <w:t xml:space="preserve"> de Coopération en </w:t>
      </w:r>
      <w:proofErr w:type="spellStart"/>
      <w:r w:rsidRPr="001505EC" w:rsidR="00DE0224">
        <w:rPr>
          <w:rFonts w:ascii="Verdana" w:hAnsi="Verdana"/>
          <w:i/>
          <w:sz w:val="18"/>
          <w:szCs w:val="18"/>
        </w:rPr>
        <w:t>matière</w:t>
      </w:r>
      <w:proofErr w:type="spellEnd"/>
      <w:r w:rsidRPr="001505EC" w:rsidR="00DE0224">
        <w:rPr>
          <w:rFonts w:ascii="Verdana" w:hAnsi="Verdana"/>
          <w:i/>
          <w:sz w:val="18"/>
          <w:szCs w:val="18"/>
        </w:rPr>
        <w:t xml:space="preserve"> </w:t>
      </w:r>
      <w:proofErr w:type="spellStart"/>
      <w:r w:rsidRPr="001505EC" w:rsidR="00DE0224">
        <w:rPr>
          <w:rFonts w:ascii="Verdana" w:hAnsi="Verdana"/>
          <w:i/>
          <w:sz w:val="18"/>
          <w:szCs w:val="18"/>
        </w:rPr>
        <w:t>d’Armement</w:t>
      </w:r>
      <w:proofErr w:type="spellEnd"/>
      <w:r w:rsidR="006A6440">
        <w:rPr>
          <w:rFonts w:ascii="Verdana" w:hAnsi="Verdana"/>
          <w:sz w:val="18"/>
          <w:szCs w:val="18"/>
        </w:rPr>
        <w:t xml:space="preserve">; </w:t>
      </w:r>
      <w:r w:rsidR="00DE0224">
        <w:rPr>
          <w:rFonts w:ascii="Verdana" w:hAnsi="Verdana"/>
          <w:sz w:val="18"/>
          <w:szCs w:val="18"/>
        </w:rPr>
        <w:t>hierna: het OCCAR-Verdrag)</w:t>
      </w:r>
      <w:r w:rsidR="00DE0224">
        <w:rPr>
          <w:rStyle w:val="FootnoteReference"/>
          <w:rFonts w:ascii="Verdana" w:hAnsi="Verdana"/>
          <w:sz w:val="18"/>
          <w:szCs w:val="18"/>
        </w:rPr>
        <w:footnoteReference w:id="5"/>
      </w:r>
      <w:r w:rsidR="00F6174B">
        <w:rPr>
          <w:rFonts w:ascii="Verdana" w:hAnsi="Verdana"/>
          <w:sz w:val="18"/>
          <w:szCs w:val="18"/>
        </w:rPr>
        <w:t xml:space="preserve"> </w:t>
      </w:r>
      <w:r w:rsidR="00BD3008">
        <w:rPr>
          <w:rFonts w:ascii="Verdana" w:hAnsi="Verdana"/>
          <w:sz w:val="18"/>
          <w:szCs w:val="18"/>
        </w:rPr>
        <w:t xml:space="preserve">en het </w:t>
      </w:r>
      <w:r w:rsidR="00F6174B">
        <w:rPr>
          <w:rFonts w:ascii="Verdana" w:hAnsi="Verdana"/>
          <w:sz w:val="18"/>
          <w:szCs w:val="18"/>
        </w:rPr>
        <w:t xml:space="preserve">op 24 september 2004 te Parijs tot stand gekomen </w:t>
      </w:r>
      <w:r w:rsidR="00BD3008">
        <w:rPr>
          <w:rFonts w:ascii="Verdana" w:hAnsi="Verdana"/>
          <w:sz w:val="18"/>
          <w:szCs w:val="18"/>
        </w:rPr>
        <w:t>OCCAR-</w:t>
      </w:r>
      <w:r w:rsidR="001F586D">
        <w:rPr>
          <w:rFonts w:ascii="Verdana" w:hAnsi="Verdana"/>
          <w:sz w:val="18"/>
          <w:szCs w:val="18"/>
        </w:rPr>
        <w:t>B</w:t>
      </w:r>
      <w:r w:rsidR="00BD3008">
        <w:rPr>
          <w:rFonts w:ascii="Verdana" w:hAnsi="Verdana"/>
          <w:sz w:val="18"/>
          <w:szCs w:val="18"/>
        </w:rPr>
        <w:t>eveiligingsverdrag</w:t>
      </w:r>
      <w:r w:rsidR="00591763">
        <w:rPr>
          <w:rFonts w:ascii="Verdana" w:hAnsi="Verdana"/>
          <w:sz w:val="18"/>
          <w:szCs w:val="18"/>
        </w:rPr>
        <w:t>, zoals gewijzigd door het Verdrag van 13 november 2025,</w:t>
      </w:r>
      <w:r w:rsidR="00BD3008">
        <w:rPr>
          <w:rFonts w:ascii="Verdana" w:hAnsi="Verdana"/>
          <w:sz w:val="18"/>
          <w:szCs w:val="18"/>
        </w:rPr>
        <w:t xml:space="preserve"> waar</w:t>
      </w:r>
      <w:r w:rsidR="007D7877">
        <w:rPr>
          <w:rFonts w:ascii="Verdana" w:hAnsi="Verdana"/>
          <w:sz w:val="18"/>
          <w:szCs w:val="18"/>
        </w:rPr>
        <w:t>in</w:t>
      </w:r>
      <w:r w:rsidR="00BD3008">
        <w:rPr>
          <w:rFonts w:ascii="Verdana" w:hAnsi="Verdana"/>
          <w:sz w:val="18"/>
          <w:szCs w:val="18"/>
        </w:rPr>
        <w:t xml:space="preserve"> afspraken </w:t>
      </w:r>
      <w:r w:rsidR="00DE0224">
        <w:rPr>
          <w:rFonts w:ascii="Verdana" w:hAnsi="Verdana"/>
          <w:sz w:val="18"/>
          <w:szCs w:val="18"/>
        </w:rPr>
        <w:t>zijn</w:t>
      </w:r>
      <w:r w:rsidR="007D7877">
        <w:rPr>
          <w:rFonts w:ascii="Verdana" w:hAnsi="Verdana"/>
          <w:sz w:val="18"/>
          <w:szCs w:val="18"/>
        </w:rPr>
        <w:t xml:space="preserve"> gemaakt </w:t>
      </w:r>
      <w:r w:rsidR="00BD3008">
        <w:rPr>
          <w:rFonts w:ascii="Verdana" w:hAnsi="Verdana"/>
          <w:sz w:val="18"/>
          <w:szCs w:val="18"/>
        </w:rPr>
        <w:t xml:space="preserve">over de </w:t>
      </w:r>
      <w:r w:rsidR="00DE0224">
        <w:rPr>
          <w:rFonts w:ascii="Verdana" w:hAnsi="Verdana"/>
          <w:sz w:val="18"/>
          <w:szCs w:val="18"/>
        </w:rPr>
        <w:t xml:space="preserve">uitwisseling en wederzijdse </w:t>
      </w:r>
      <w:r w:rsidR="00BD3008">
        <w:rPr>
          <w:rFonts w:ascii="Verdana" w:hAnsi="Verdana"/>
          <w:sz w:val="18"/>
          <w:szCs w:val="18"/>
        </w:rPr>
        <w:t>beveiliging van informatie</w:t>
      </w:r>
      <w:r w:rsidR="001C4E01">
        <w:rPr>
          <w:rFonts w:ascii="Verdana" w:hAnsi="Verdana"/>
          <w:sz w:val="18"/>
          <w:szCs w:val="18"/>
        </w:rPr>
        <w:t>.</w:t>
      </w:r>
      <w:r w:rsidR="00DE0224">
        <w:rPr>
          <w:rStyle w:val="FootnoteReference"/>
          <w:rFonts w:ascii="Verdana" w:hAnsi="Verdana"/>
          <w:sz w:val="18"/>
          <w:szCs w:val="18"/>
        </w:rPr>
        <w:footnoteReference w:id="6"/>
      </w:r>
      <w:r w:rsidR="00BD3008">
        <w:rPr>
          <w:rFonts w:ascii="Verdana" w:hAnsi="Verdana"/>
          <w:sz w:val="18"/>
          <w:szCs w:val="18"/>
        </w:rPr>
        <w:t xml:space="preserve"> </w:t>
      </w:r>
      <w:r w:rsidR="00DE0224">
        <w:rPr>
          <w:rFonts w:ascii="Verdana" w:hAnsi="Verdana"/>
          <w:sz w:val="18"/>
          <w:szCs w:val="18"/>
        </w:rPr>
        <w:t xml:space="preserve">Dit voorstel van wet strekt tot goedkeuring van deze </w:t>
      </w:r>
      <w:r w:rsidR="00DE0224">
        <w:rPr>
          <w:rFonts w:ascii="Verdana" w:hAnsi="Verdana"/>
          <w:sz w:val="18"/>
          <w:szCs w:val="18"/>
        </w:rPr>
        <w:lastRenderedPageBreak/>
        <w:t>verdragen.</w:t>
      </w:r>
      <w:r w:rsidRPr="00AA7203" w:rsidR="00AA7203">
        <w:rPr>
          <w:rFonts w:ascii="Verdana" w:hAnsi="Verdana" w:eastAsiaTheme="minorHAnsi" w:cstheme="minorBidi"/>
          <w:sz w:val="18"/>
          <w:szCs w:val="18"/>
          <w:lang w:eastAsia="en-US"/>
        </w:rPr>
        <w:t xml:space="preserve"> </w:t>
      </w:r>
      <w:r w:rsidRPr="00AA7203" w:rsidR="00AA7203">
        <w:rPr>
          <w:rFonts w:ascii="Verdana" w:hAnsi="Verdana"/>
          <w:sz w:val="18"/>
          <w:szCs w:val="18"/>
        </w:rPr>
        <w:t>Het inmiddels verouderde wetsvoorstel uit 2001 wordt gelijktijdig met de indiening van dit wetsvoorstel tot goedkeuring van deze verdragen ingetrokken.</w:t>
      </w:r>
    </w:p>
    <w:p w:rsidR="00BD3008" w:rsidP="00BD3008" w:rsidRDefault="00BD3008" w14:paraId="28C263C1" w14:textId="526BADE5">
      <w:pPr>
        <w:pStyle w:val="NormalWeb"/>
        <w:spacing w:before="0" w:beforeAutospacing="0" w:after="160" w:afterAutospacing="0" w:line="259" w:lineRule="auto"/>
        <w:jc w:val="both"/>
        <w:rPr>
          <w:rFonts w:ascii="Verdana" w:hAnsi="Verdana"/>
          <w:sz w:val="18"/>
          <w:szCs w:val="18"/>
        </w:rPr>
      </w:pPr>
      <w:r>
        <w:rPr>
          <w:rFonts w:ascii="Verdana" w:hAnsi="Verdana"/>
          <w:sz w:val="18"/>
          <w:szCs w:val="18"/>
        </w:rPr>
        <w:t xml:space="preserve">Hoofdstuk 2 gaat in op de achtergronden van OCCAR en de redenen waarom de regering kiest voor </w:t>
      </w:r>
      <w:r w:rsidR="001070DF">
        <w:rPr>
          <w:rFonts w:ascii="Verdana" w:hAnsi="Verdana"/>
          <w:sz w:val="18"/>
          <w:szCs w:val="18"/>
        </w:rPr>
        <w:t>hervatt</w:t>
      </w:r>
      <w:r w:rsidR="00C50403">
        <w:rPr>
          <w:rFonts w:ascii="Verdana" w:hAnsi="Verdana"/>
          <w:sz w:val="18"/>
          <w:szCs w:val="18"/>
        </w:rPr>
        <w:t>ing</w:t>
      </w:r>
      <w:r w:rsidR="001070DF">
        <w:rPr>
          <w:rFonts w:ascii="Verdana" w:hAnsi="Verdana"/>
          <w:sz w:val="18"/>
          <w:szCs w:val="18"/>
        </w:rPr>
        <w:t xml:space="preserve"> van</w:t>
      </w:r>
      <w:r w:rsidR="00C50403">
        <w:rPr>
          <w:rFonts w:ascii="Verdana" w:hAnsi="Verdana"/>
          <w:sz w:val="18"/>
          <w:szCs w:val="18"/>
        </w:rPr>
        <w:t xml:space="preserve"> de toetredingsprocedure voor</w:t>
      </w:r>
      <w:r w:rsidR="001070DF">
        <w:rPr>
          <w:rFonts w:ascii="Verdana" w:hAnsi="Verdana"/>
          <w:sz w:val="18"/>
          <w:szCs w:val="18"/>
        </w:rPr>
        <w:t xml:space="preserve"> </w:t>
      </w:r>
      <w:r>
        <w:rPr>
          <w:rFonts w:ascii="Verdana" w:hAnsi="Verdana"/>
          <w:sz w:val="18"/>
          <w:szCs w:val="18"/>
        </w:rPr>
        <w:t>een volwaardig lidmaatschap. Hoofdstuk 3 bevat een artikelsgewijze toelichting op het OCCAR-</w:t>
      </w:r>
      <w:r w:rsidR="003E2C02">
        <w:rPr>
          <w:rFonts w:ascii="Verdana" w:hAnsi="Verdana"/>
          <w:sz w:val="18"/>
          <w:szCs w:val="18"/>
        </w:rPr>
        <w:t>V</w:t>
      </w:r>
      <w:r>
        <w:rPr>
          <w:rFonts w:ascii="Verdana" w:hAnsi="Verdana"/>
          <w:sz w:val="18"/>
          <w:szCs w:val="18"/>
        </w:rPr>
        <w:t>erdrag</w:t>
      </w:r>
      <w:r w:rsidR="00AA7203">
        <w:rPr>
          <w:rFonts w:ascii="Verdana" w:hAnsi="Verdana"/>
          <w:sz w:val="18"/>
          <w:szCs w:val="18"/>
        </w:rPr>
        <w:t xml:space="preserve"> waarbij ook de organisatorische aspecten aan bod komen. H</w:t>
      </w:r>
      <w:r>
        <w:rPr>
          <w:rFonts w:ascii="Verdana" w:hAnsi="Verdana"/>
          <w:sz w:val="18"/>
          <w:szCs w:val="18"/>
        </w:rPr>
        <w:t>oofdstuk 4 gaat in op het OCCAR-</w:t>
      </w:r>
      <w:r w:rsidR="00E13256">
        <w:rPr>
          <w:rFonts w:ascii="Verdana" w:hAnsi="Verdana"/>
          <w:sz w:val="18"/>
          <w:szCs w:val="18"/>
        </w:rPr>
        <w:t>B</w:t>
      </w:r>
      <w:r>
        <w:rPr>
          <w:rFonts w:ascii="Verdana" w:hAnsi="Verdana"/>
          <w:sz w:val="18"/>
          <w:szCs w:val="18"/>
        </w:rPr>
        <w:t>eveiligingsverdrag</w:t>
      </w:r>
      <w:r w:rsidR="0059374F">
        <w:rPr>
          <w:rFonts w:ascii="Verdana" w:hAnsi="Verdana"/>
          <w:sz w:val="18"/>
          <w:szCs w:val="18"/>
        </w:rPr>
        <w:t xml:space="preserve">. </w:t>
      </w:r>
    </w:p>
    <w:p w:rsidR="0059374F" w:rsidP="0059374F" w:rsidRDefault="007D4AEB" w14:paraId="3B72DC39" w14:textId="4B385907">
      <w:pPr>
        <w:pStyle w:val="NormalWeb"/>
        <w:spacing w:before="0" w:beforeAutospacing="0" w:after="0" w:afterAutospacing="0" w:line="259" w:lineRule="auto"/>
        <w:jc w:val="both"/>
        <w:rPr>
          <w:rFonts w:ascii="Verdana" w:hAnsi="Verdana"/>
          <w:iCs/>
          <w:sz w:val="18"/>
          <w:szCs w:val="18"/>
        </w:rPr>
      </w:pPr>
      <w:r w:rsidRPr="007D4AEB">
        <w:rPr>
          <w:rFonts w:ascii="Verdana" w:hAnsi="Verdana"/>
          <w:iCs/>
          <w:sz w:val="18"/>
          <w:szCs w:val="18"/>
        </w:rPr>
        <w:t xml:space="preserve">1.2 </w:t>
      </w:r>
      <w:r w:rsidRPr="007D4AEB" w:rsidR="0059374F">
        <w:rPr>
          <w:rFonts w:ascii="Verdana" w:hAnsi="Verdana"/>
          <w:iCs/>
          <w:sz w:val="18"/>
          <w:szCs w:val="18"/>
        </w:rPr>
        <w:t>Een ieder verbindende bepalingen</w:t>
      </w:r>
    </w:p>
    <w:p w:rsidRPr="007D4AEB" w:rsidR="007D4AEB" w:rsidP="0059374F" w:rsidRDefault="007D4AEB" w14:paraId="4BBC3E01" w14:textId="77777777">
      <w:pPr>
        <w:pStyle w:val="NormalWeb"/>
        <w:spacing w:before="0" w:beforeAutospacing="0" w:after="0" w:afterAutospacing="0" w:line="259" w:lineRule="auto"/>
        <w:jc w:val="both"/>
        <w:rPr>
          <w:rFonts w:ascii="Verdana" w:hAnsi="Verdana"/>
          <w:iCs/>
          <w:sz w:val="18"/>
          <w:szCs w:val="18"/>
        </w:rPr>
      </w:pPr>
    </w:p>
    <w:p w:rsidRPr="0059374F" w:rsidR="0059374F" w:rsidP="0059374F" w:rsidRDefault="0059374F" w14:paraId="541CD814" w14:textId="3ED68A9A">
      <w:pPr>
        <w:pStyle w:val="NormalWeb"/>
        <w:spacing w:before="0" w:beforeAutospacing="0" w:after="0" w:afterAutospacing="0" w:line="259" w:lineRule="auto"/>
        <w:jc w:val="both"/>
        <w:rPr>
          <w:rFonts w:ascii="Verdana" w:hAnsi="Verdana"/>
          <w:i/>
          <w:iCs/>
          <w:sz w:val="18"/>
          <w:szCs w:val="18"/>
        </w:rPr>
      </w:pPr>
      <w:r w:rsidRPr="0059374F">
        <w:rPr>
          <w:rFonts w:ascii="Verdana" w:hAnsi="Verdana"/>
          <w:sz w:val="18"/>
          <w:szCs w:val="18"/>
        </w:rPr>
        <w:t xml:space="preserve">Naar het oordeel van de regering bevat het OCCAR-Verdrag één een ieder verbindende bepaling in de zin van de artikelen 93 en 94 van de Grondwet, die aan rechtssubjecten rechtstreeks rechten toekent of plichten oplegt en die naar het oordeel van de regering onvoorwaardelijk en voldoende nauwkeurig is om rechtstreeks in de Nederlandse rechtsorde </w:t>
      </w:r>
      <w:r w:rsidR="00144B0A">
        <w:rPr>
          <w:rFonts w:ascii="Verdana" w:hAnsi="Verdana"/>
          <w:sz w:val="18"/>
          <w:szCs w:val="18"/>
        </w:rPr>
        <w:t>te</w:t>
      </w:r>
      <w:r w:rsidRPr="0059374F">
        <w:rPr>
          <w:rFonts w:ascii="Verdana" w:hAnsi="Verdana"/>
          <w:sz w:val="18"/>
          <w:szCs w:val="18"/>
        </w:rPr>
        <w:t xml:space="preserve"> worden toegepast. Dit betreft artikel 30 dat voorziet in een recht op informatie voor afgewezen bedrijven.</w:t>
      </w:r>
    </w:p>
    <w:p w:rsidR="0059374F" w:rsidP="0059374F" w:rsidRDefault="0059374F" w14:paraId="5D6761C1" w14:textId="77777777">
      <w:pPr>
        <w:pStyle w:val="NormalWeb"/>
        <w:spacing w:before="0" w:beforeAutospacing="0" w:after="0" w:afterAutospacing="0" w:line="259" w:lineRule="auto"/>
        <w:jc w:val="both"/>
        <w:rPr>
          <w:rFonts w:ascii="Verdana" w:hAnsi="Verdana"/>
          <w:sz w:val="18"/>
          <w:szCs w:val="18"/>
        </w:rPr>
      </w:pPr>
    </w:p>
    <w:p w:rsidR="0059374F" w:rsidP="0059374F" w:rsidRDefault="0059374F" w14:paraId="62405466" w14:textId="4645D413">
      <w:pPr>
        <w:pStyle w:val="NormalWeb"/>
        <w:spacing w:before="0" w:beforeAutospacing="0" w:after="0" w:afterAutospacing="0" w:line="259" w:lineRule="auto"/>
        <w:jc w:val="both"/>
        <w:rPr>
          <w:rFonts w:ascii="Verdana" w:hAnsi="Verdana"/>
          <w:sz w:val="18"/>
          <w:szCs w:val="18"/>
        </w:rPr>
      </w:pPr>
      <w:r w:rsidRPr="0059374F">
        <w:rPr>
          <w:rFonts w:ascii="Verdana" w:hAnsi="Verdana"/>
          <w:sz w:val="18"/>
          <w:szCs w:val="18"/>
        </w:rPr>
        <w:t>Het OCCAR-Beveiligingsverdrag en het verdrag tot wijziging van het OCCAR-Beveiligingsverdrag leggen verplichtingen op aan de verdragspartijen en bevatten naar het oordeel van de regering geen een ieder verbindende bepalingen.</w:t>
      </w:r>
    </w:p>
    <w:p w:rsidR="0059374F" w:rsidP="0059374F" w:rsidRDefault="0059374F" w14:paraId="64CE9078" w14:textId="77777777">
      <w:pPr>
        <w:pStyle w:val="NormalWeb"/>
        <w:spacing w:before="0" w:beforeAutospacing="0" w:after="0" w:afterAutospacing="0" w:line="259" w:lineRule="auto"/>
        <w:jc w:val="both"/>
        <w:rPr>
          <w:rFonts w:ascii="Verdana" w:hAnsi="Verdana"/>
          <w:sz w:val="18"/>
          <w:szCs w:val="18"/>
        </w:rPr>
      </w:pPr>
    </w:p>
    <w:p w:rsidR="0059374F" w:rsidP="0059374F" w:rsidRDefault="007D4AEB" w14:paraId="5383D308" w14:textId="32F26A6C">
      <w:pPr>
        <w:pStyle w:val="NormalWeb"/>
        <w:spacing w:before="0" w:beforeAutospacing="0" w:after="0" w:afterAutospacing="0" w:line="259" w:lineRule="auto"/>
        <w:jc w:val="both"/>
        <w:rPr>
          <w:rFonts w:ascii="Verdana" w:hAnsi="Verdana"/>
          <w:iCs/>
          <w:sz w:val="18"/>
          <w:szCs w:val="18"/>
        </w:rPr>
      </w:pPr>
      <w:r w:rsidRPr="007D4AEB">
        <w:rPr>
          <w:rFonts w:ascii="Verdana" w:hAnsi="Verdana"/>
          <w:iCs/>
          <w:sz w:val="18"/>
          <w:szCs w:val="18"/>
        </w:rPr>
        <w:t xml:space="preserve">1.3 </w:t>
      </w:r>
      <w:proofErr w:type="spellStart"/>
      <w:r w:rsidRPr="007D4AEB" w:rsidR="0059374F">
        <w:rPr>
          <w:rFonts w:ascii="Verdana" w:hAnsi="Verdana"/>
          <w:iCs/>
          <w:sz w:val="18"/>
          <w:szCs w:val="18"/>
        </w:rPr>
        <w:t>Koninkrijkspositie</w:t>
      </w:r>
      <w:proofErr w:type="spellEnd"/>
    </w:p>
    <w:p w:rsidRPr="007D4AEB" w:rsidR="00AD6432" w:rsidP="0059374F" w:rsidRDefault="00AD6432" w14:paraId="18E988FA" w14:textId="77777777">
      <w:pPr>
        <w:pStyle w:val="NormalWeb"/>
        <w:spacing w:before="0" w:beforeAutospacing="0" w:after="0" w:afterAutospacing="0" w:line="259" w:lineRule="auto"/>
        <w:jc w:val="both"/>
        <w:rPr>
          <w:rFonts w:ascii="Verdana" w:hAnsi="Verdana"/>
          <w:iCs/>
          <w:sz w:val="18"/>
          <w:szCs w:val="18"/>
        </w:rPr>
      </w:pPr>
    </w:p>
    <w:p w:rsidRPr="0059374F" w:rsidR="0059374F" w:rsidP="0059374F" w:rsidRDefault="0059374F" w14:paraId="51C18924" w14:textId="2F89C629">
      <w:pPr>
        <w:pStyle w:val="NormalWeb"/>
        <w:spacing w:before="0" w:beforeAutospacing="0" w:after="0" w:afterAutospacing="0" w:line="259" w:lineRule="auto"/>
        <w:jc w:val="both"/>
        <w:rPr>
          <w:rFonts w:ascii="Verdana" w:hAnsi="Verdana"/>
          <w:i/>
          <w:iCs/>
          <w:sz w:val="18"/>
          <w:szCs w:val="18"/>
        </w:rPr>
      </w:pPr>
      <w:r w:rsidRPr="0059374F">
        <w:rPr>
          <w:rFonts w:ascii="Verdana" w:hAnsi="Verdana"/>
          <w:sz w:val="18"/>
          <w:szCs w:val="18"/>
        </w:rPr>
        <w:t xml:space="preserve">Wat betreft het Koninkrijk der Nederlanden, zullen de verdragen alleen voor Nederland (het Europese en Caribische deel) gelden. </w:t>
      </w:r>
    </w:p>
    <w:p w:rsidR="0059374F" w:rsidP="0059374F" w:rsidRDefault="0059374F" w14:paraId="66D9BEA5" w14:textId="77777777">
      <w:pPr>
        <w:pStyle w:val="NormalWeb"/>
        <w:spacing w:before="0" w:beforeAutospacing="0" w:after="0" w:afterAutospacing="0" w:line="259" w:lineRule="auto"/>
        <w:jc w:val="both"/>
        <w:rPr>
          <w:rFonts w:ascii="Verdana" w:hAnsi="Verdana"/>
          <w:sz w:val="18"/>
          <w:szCs w:val="18"/>
        </w:rPr>
      </w:pPr>
    </w:p>
    <w:p w:rsidR="0059374F" w:rsidP="0059374F" w:rsidRDefault="0059374F" w14:paraId="070236C1" w14:textId="0FBD36EB">
      <w:pPr>
        <w:pStyle w:val="NormalWeb"/>
        <w:spacing w:before="0" w:beforeAutospacing="0" w:after="0" w:afterAutospacing="0" w:line="259" w:lineRule="auto"/>
        <w:jc w:val="both"/>
        <w:rPr>
          <w:rFonts w:ascii="Verdana" w:hAnsi="Verdana"/>
          <w:sz w:val="18"/>
          <w:szCs w:val="18"/>
        </w:rPr>
      </w:pPr>
      <w:r w:rsidRPr="0059374F">
        <w:rPr>
          <w:rFonts w:ascii="Verdana" w:hAnsi="Verdana"/>
          <w:sz w:val="18"/>
          <w:szCs w:val="18"/>
        </w:rPr>
        <w:t xml:space="preserve">De regeringen van Aruba, Curaçao en Sint Maarten achten op dit moment medegelding van de verdragen niet wenselijk, aangezien aldaar geen geschikte bedrijven zijn die kunnen meedingen naar een aanbesteding voor een OCCAR-project. Mocht de situatie veranderen voor </w:t>
      </w:r>
      <w:r w:rsidRPr="0059374F" w:rsidDel="00144B0A">
        <w:rPr>
          <w:rFonts w:ascii="Verdana" w:hAnsi="Verdana"/>
          <w:sz w:val="18"/>
          <w:szCs w:val="18"/>
        </w:rPr>
        <w:t>(ee</w:t>
      </w:r>
      <w:r w:rsidRPr="0059374F">
        <w:rPr>
          <w:rFonts w:ascii="Verdana" w:hAnsi="Verdana"/>
          <w:sz w:val="18"/>
          <w:szCs w:val="18"/>
        </w:rPr>
        <w:t>n van</w:t>
      </w:r>
      <w:r w:rsidRPr="0059374F" w:rsidDel="00E83713">
        <w:rPr>
          <w:rFonts w:ascii="Verdana" w:hAnsi="Verdana"/>
          <w:sz w:val="18"/>
          <w:szCs w:val="18"/>
        </w:rPr>
        <w:t>)</w:t>
      </w:r>
      <w:r w:rsidRPr="0059374F">
        <w:rPr>
          <w:rFonts w:ascii="Verdana" w:hAnsi="Verdana"/>
          <w:sz w:val="18"/>
          <w:szCs w:val="18"/>
        </w:rPr>
        <w:t xml:space="preserve"> de Caribische landen van het Koninkrijk, dan zal de goedkeuring van de uitbreiding van de verdragen naar de desbetreffende Caribische landen op dat moment aan de Staten-Generaal worden voorgelegd.</w:t>
      </w:r>
    </w:p>
    <w:p w:rsidRPr="0059374F" w:rsidR="0059374F" w:rsidP="0059374F" w:rsidRDefault="0059374F" w14:paraId="73F535DA" w14:textId="77777777">
      <w:pPr>
        <w:pStyle w:val="NormalWeb"/>
        <w:spacing w:before="0" w:beforeAutospacing="0" w:after="0" w:afterAutospacing="0" w:line="259" w:lineRule="auto"/>
        <w:jc w:val="both"/>
        <w:rPr>
          <w:rFonts w:ascii="Verdana" w:hAnsi="Verdana"/>
          <w:sz w:val="18"/>
          <w:szCs w:val="18"/>
        </w:rPr>
      </w:pPr>
    </w:p>
    <w:p w:rsidRPr="00BD3008" w:rsidR="00BD3008" w:rsidP="00C730D0" w:rsidRDefault="00BD3008" w14:paraId="09DAF358" w14:textId="7802A5E7">
      <w:pPr>
        <w:pStyle w:val="ListParagraph"/>
        <w:keepNext/>
        <w:numPr>
          <w:ilvl w:val="0"/>
          <w:numId w:val="10"/>
        </w:numPr>
        <w:ind w:left="357" w:hanging="357"/>
        <w:jc w:val="both"/>
        <w:rPr>
          <w:rFonts w:ascii="Verdana" w:hAnsi="Verdana"/>
          <w:b/>
          <w:sz w:val="18"/>
          <w:szCs w:val="18"/>
        </w:rPr>
      </w:pPr>
      <w:r w:rsidRPr="00BD3008">
        <w:rPr>
          <w:rFonts w:ascii="Verdana" w:hAnsi="Verdana"/>
          <w:b/>
          <w:sz w:val="18"/>
          <w:szCs w:val="18"/>
        </w:rPr>
        <w:t>OCCAR</w:t>
      </w:r>
    </w:p>
    <w:p w:rsidR="00BD3008" w:rsidP="00BD3008" w:rsidRDefault="00BD3008" w14:paraId="4F2D639D" w14:textId="77777777">
      <w:pPr>
        <w:pStyle w:val="NormalWeb"/>
        <w:spacing w:before="0" w:beforeAutospacing="0" w:after="160" w:afterAutospacing="0" w:line="259" w:lineRule="auto"/>
        <w:jc w:val="both"/>
        <w:rPr>
          <w:rFonts w:ascii="Verdana" w:hAnsi="Verdana"/>
          <w:sz w:val="18"/>
          <w:szCs w:val="18"/>
        </w:rPr>
      </w:pPr>
      <w:r>
        <w:rPr>
          <w:rFonts w:ascii="Verdana" w:hAnsi="Verdana"/>
          <w:sz w:val="18"/>
          <w:szCs w:val="18"/>
        </w:rPr>
        <w:t>2.1 Inleiding</w:t>
      </w:r>
    </w:p>
    <w:p w:rsidR="007B4CAE" w:rsidP="007B4CAE" w:rsidRDefault="00BD3008" w14:paraId="3AE48486" w14:textId="6890F0D6">
      <w:pPr>
        <w:pStyle w:val="NormalWeb"/>
        <w:spacing w:before="0" w:beforeAutospacing="0" w:after="160" w:afterAutospacing="0" w:line="259" w:lineRule="auto"/>
        <w:jc w:val="both"/>
        <w:rPr>
          <w:rFonts w:ascii="Verdana" w:hAnsi="Verdana"/>
          <w:sz w:val="18"/>
          <w:szCs w:val="18"/>
        </w:rPr>
      </w:pPr>
      <w:r>
        <w:rPr>
          <w:rFonts w:ascii="Verdana" w:hAnsi="Verdana"/>
          <w:sz w:val="18"/>
          <w:szCs w:val="18"/>
        </w:rPr>
        <w:t>OCCAR is een multi</w:t>
      </w:r>
      <w:r w:rsidR="006D36B6">
        <w:rPr>
          <w:rFonts w:ascii="Verdana" w:hAnsi="Verdana"/>
          <w:sz w:val="18"/>
          <w:szCs w:val="18"/>
        </w:rPr>
        <w:t>laterale</w:t>
      </w:r>
      <w:r>
        <w:rPr>
          <w:rFonts w:ascii="Verdana" w:hAnsi="Verdana"/>
          <w:sz w:val="18"/>
          <w:szCs w:val="18"/>
        </w:rPr>
        <w:t xml:space="preserve"> organisatie die zelf niet beschikt over een investeringsbudget. Op verzoek van </w:t>
      </w:r>
      <w:r w:rsidR="001C4E01">
        <w:rPr>
          <w:rFonts w:ascii="Verdana" w:hAnsi="Verdana"/>
          <w:sz w:val="18"/>
          <w:szCs w:val="18"/>
        </w:rPr>
        <w:t>éé</w:t>
      </w:r>
      <w:r>
        <w:rPr>
          <w:rFonts w:ascii="Verdana" w:hAnsi="Verdana"/>
          <w:sz w:val="18"/>
          <w:szCs w:val="18"/>
        </w:rPr>
        <w:t xml:space="preserve">n of meer van de lidstaten voert OCCAR het management uit van projecten voor de ontwikkeling of productie van defensiematerieel. </w:t>
      </w:r>
      <w:r w:rsidR="00CA75CB">
        <w:rPr>
          <w:rFonts w:ascii="Verdana" w:hAnsi="Verdana"/>
          <w:sz w:val="18"/>
          <w:szCs w:val="18"/>
        </w:rPr>
        <w:t>Landen die geen OCCAR-lid zijn, kunnen zich bij deze projecten aansluiten</w:t>
      </w:r>
      <w:r w:rsidR="001C4E01">
        <w:rPr>
          <w:rFonts w:ascii="Verdana" w:hAnsi="Verdana"/>
          <w:sz w:val="18"/>
          <w:szCs w:val="18"/>
        </w:rPr>
        <w:t xml:space="preserve"> als samenwerkingspartner</w:t>
      </w:r>
      <w:r w:rsidR="00CA75CB">
        <w:rPr>
          <w:rFonts w:ascii="Verdana" w:hAnsi="Verdana"/>
          <w:sz w:val="18"/>
          <w:szCs w:val="18"/>
        </w:rPr>
        <w:t xml:space="preserve">. </w:t>
      </w:r>
      <w:r w:rsidR="007B4CAE">
        <w:rPr>
          <w:rFonts w:ascii="Verdana" w:hAnsi="Verdana"/>
          <w:sz w:val="18"/>
          <w:szCs w:val="18"/>
        </w:rPr>
        <w:t xml:space="preserve">Ook voert OCCAR </w:t>
      </w:r>
      <w:r w:rsidR="00916537">
        <w:rPr>
          <w:rFonts w:ascii="Verdana" w:hAnsi="Verdana"/>
          <w:sz w:val="18"/>
          <w:szCs w:val="18"/>
        </w:rPr>
        <w:t xml:space="preserve">sinds kort </w:t>
      </w:r>
      <w:r w:rsidR="007B4CAE">
        <w:rPr>
          <w:rFonts w:ascii="Verdana" w:hAnsi="Verdana"/>
          <w:sz w:val="18"/>
          <w:szCs w:val="18"/>
        </w:rPr>
        <w:t xml:space="preserve">projecten uit </w:t>
      </w:r>
      <w:r w:rsidR="00916537">
        <w:rPr>
          <w:rFonts w:ascii="Verdana" w:hAnsi="Verdana"/>
          <w:sz w:val="18"/>
          <w:szCs w:val="18"/>
        </w:rPr>
        <w:t xml:space="preserve">die </w:t>
      </w:r>
      <w:r w:rsidR="005D7698">
        <w:rPr>
          <w:rFonts w:ascii="Verdana" w:hAnsi="Verdana"/>
          <w:sz w:val="18"/>
          <w:szCs w:val="18"/>
        </w:rPr>
        <w:t xml:space="preserve">mede </w:t>
      </w:r>
      <w:r w:rsidR="00916537">
        <w:rPr>
          <w:rFonts w:ascii="Verdana" w:hAnsi="Verdana"/>
          <w:sz w:val="18"/>
          <w:szCs w:val="18"/>
        </w:rPr>
        <w:t>worden gefinancierd door de EU</w:t>
      </w:r>
      <w:r w:rsidR="007B4CAE">
        <w:rPr>
          <w:rFonts w:ascii="Verdana" w:hAnsi="Verdana"/>
          <w:sz w:val="18"/>
          <w:szCs w:val="18"/>
        </w:rPr>
        <w:t xml:space="preserve">. Doordat OCCAR het gezamenlijke projectmanagement doet </w:t>
      </w:r>
      <w:r w:rsidR="00916537">
        <w:rPr>
          <w:rFonts w:ascii="Verdana" w:hAnsi="Verdana"/>
          <w:sz w:val="18"/>
          <w:szCs w:val="18"/>
        </w:rPr>
        <w:t xml:space="preserve">namens </w:t>
      </w:r>
      <w:r w:rsidR="007B4CAE">
        <w:rPr>
          <w:rFonts w:ascii="Verdana" w:hAnsi="Verdana"/>
          <w:sz w:val="18"/>
          <w:szCs w:val="18"/>
        </w:rPr>
        <w:t xml:space="preserve">de </w:t>
      </w:r>
      <w:r w:rsidR="00916537">
        <w:rPr>
          <w:rFonts w:ascii="Verdana" w:hAnsi="Verdana"/>
          <w:sz w:val="18"/>
          <w:szCs w:val="18"/>
        </w:rPr>
        <w:t xml:space="preserve">deelnemende </w:t>
      </w:r>
      <w:r w:rsidR="001C4E01">
        <w:rPr>
          <w:rFonts w:ascii="Verdana" w:hAnsi="Verdana"/>
          <w:sz w:val="18"/>
          <w:szCs w:val="18"/>
        </w:rPr>
        <w:t>lidstaten en samenwerkingspartners</w:t>
      </w:r>
      <w:r w:rsidR="007B4CAE">
        <w:rPr>
          <w:rFonts w:ascii="Verdana" w:hAnsi="Verdana"/>
          <w:sz w:val="18"/>
          <w:szCs w:val="18"/>
        </w:rPr>
        <w:t xml:space="preserve"> </w:t>
      </w:r>
      <w:r w:rsidR="001C4E01">
        <w:rPr>
          <w:rFonts w:ascii="Verdana" w:hAnsi="Verdana"/>
          <w:sz w:val="18"/>
          <w:szCs w:val="18"/>
        </w:rPr>
        <w:t>–</w:t>
      </w:r>
      <w:r w:rsidR="007B4CAE">
        <w:rPr>
          <w:rFonts w:ascii="Verdana" w:hAnsi="Verdana"/>
          <w:sz w:val="18"/>
          <w:szCs w:val="18"/>
        </w:rPr>
        <w:t xml:space="preserve"> in plaats van dat elk land dat zelf doet </w:t>
      </w:r>
      <w:r w:rsidR="00A23DD2">
        <w:rPr>
          <w:rFonts w:ascii="Verdana" w:hAnsi="Verdana"/>
          <w:sz w:val="18"/>
          <w:szCs w:val="18"/>
        </w:rPr>
        <w:t>–</w:t>
      </w:r>
      <w:r w:rsidR="007B4CAE">
        <w:rPr>
          <w:rFonts w:ascii="Verdana" w:hAnsi="Verdana"/>
          <w:sz w:val="18"/>
          <w:szCs w:val="18"/>
        </w:rPr>
        <w:t xml:space="preserve"> </w:t>
      </w:r>
      <w:r w:rsidR="00A23DD2">
        <w:rPr>
          <w:rFonts w:ascii="Verdana" w:hAnsi="Verdana"/>
          <w:sz w:val="18"/>
          <w:szCs w:val="18"/>
        </w:rPr>
        <w:t>verlaagt dit de</w:t>
      </w:r>
      <w:r w:rsidR="00916537">
        <w:rPr>
          <w:rFonts w:ascii="Verdana" w:hAnsi="Verdana"/>
          <w:sz w:val="18"/>
          <w:szCs w:val="18"/>
        </w:rPr>
        <w:t xml:space="preserve"> administratieve lasten voor de deeln</w:t>
      </w:r>
      <w:r w:rsidR="004222D3">
        <w:rPr>
          <w:rFonts w:ascii="Verdana" w:hAnsi="Verdana"/>
          <w:sz w:val="18"/>
          <w:szCs w:val="18"/>
        </w:rPr>
        <w:t>e</w:t>
      </w:r>
      <w:r w:rsidR="00916537">
        <w:rPr>
          <w:rFonts w:ascii="Verdana" w:hAnsi="Verdana"/>
          <w:sz w:val="18"/>
          <w:szCs w:val="18"/>
        </w:rPr>
        <w:t>mers</w:t>
      </w:r>
      <w:r w:rsidR="007B4CAE">
        <w:rPr>
          <w:rFonts w:ascii="Verdana" w:hAnsi="Verdana"/>
          <w:sz w:val="18"/>
          <w:szCs w:val="18"/>
        </w:rPr>
        <w:t xml:space="preserve">. Verder heeft OCCAR inmiddels veel ervaring met </w:t>
      </w:r>
      <w:r w:rsidR="00916537">
        <w:rPr>
          <w:rFonts w:ascii="Verdana" w:hAnsi="Verdana"/>
          <w:sz w:val="18"/>
          <w:szCs w:val="18"/>
        </w:rPr>
        <w:t xml:space="preserve">dergelijk </w:t>
      </w:r>
      <w:r w:rsidR="007B4CAE">
        <w:rPr>
          <w:rFonts w:ascii="Verdana" w:hAnsi="Verdana"/>
          <w:sz w:val="18"/>
          <w:szCs w:val="18"/>
        </w:rPr>
        <w:t xml:space="preserve">projectmanagement en heeft zij daarin deskundigheid opgebouwd. </w:t>
      </w:r>
    </w:p>
    <w:p w:rsidR="00BD3008" w:rsidP="00BD3008" w:rsidRDefault="00BD3008" w14:paraId="686A6905" w14:textId="5D437950">
      <w:pPr>
        <w:pStyle w:val="NormalWeb"/>
        <w:spacing w:before="0" w:beforeAutospacing="0" w:after="160" w:afterAutospacing="0" w:line="259" w:lineRule="auto"/>
        <w:jc w:val="both"/>
        <w:rPr>
          <w:rFonts w:ascii="Verdana" w:hAnsi="Verdana"/>
          <w:sz w:val="18"/>
          <w:szCs w:val="18"/>
        </w:rPr>
      </w:pPr>
      <w:r>
        <w:rPr>
          <w:rFonts w:ascii="Verdana" w:hAnsi="Verdana"/>
          <w:sz w:val="18"/>
          <w:szCs w:val="18"/>
        </w:rPr>
        <w:t>Op dit moment voert OCCAR 24 ontwikkelings- of investeringsprojecten uit. Grote projecten zijn bijvoorbeeld het A400M transportvliegtuig, het Boxer-pantservoertuig, en marineschepen voor Frankrijk en Italië. Voor het project van de tanker-transportvliegtuigen (</w:t>
      </w:r>
      <w:r w:rsidRPr="001A3008">
        <w:rPr>
          <w:rFonts w:ascii="Verdana" w:hAnsi="Verdana"/>
          <w:i/>
          <w:sz w:val="18"/>
          <w:szCs w:val="18"/>
        </w:rPr>
        <w:t>Multi-</w:t>
      </w:r>
      <w:proofErr w:type="spellStart"/>
      <w:r w:rsidRPr="001A3008">
        <w:rPr>
          <w:rFonts w:ascii="Verdana" w:hAnsi="Verdana"/>
          <w:i/>
          <w:sz w:val="18"/>
          <w:szCs w:val="18"/>
        </w:rPr>
        <w:t>Role</w:t>
      </w:r>
      <w:proofErr w:type="spellEnd"/>
      <w:r w:rsidRPr="001A3008">
        <w:rPr>
          <w:rFonts w:ascii="Verdana" w:hAnsi="Verdana"/>
          <w:i/>
          <w:sz w:val="18"/>
          <w:szCs w:val="18"/>
        </w:rPr>
        <w:t xml:space="preserve"> Tanker Transport Aircraft</w:t>
      </w:r>
      <w:r>
        <w:rPr>
          <w:rFonts w:ascii="Verdana" w:hAnsi="Verdana"/>
          <w:sz w:val="18"/>
          <w:szCs w:val="18"/>
        </w:rPr>
        <w:t>, MRTT) waar ook Nederland aan deelneemt, heeft OCCAR de verwerving gedaan.</w:t>
      </w:r>
      <w:r>
        <w:rPr>
          <w:rStyle w:val="FootnoteReference"/>
          <w:rFonts w:ascii="Verdana" w:hAnsi="Verdana"/>
          <w:sz w:val="18"/>
          <w:szCs w:val="18"/>
        </w:rPr>
        <w:footnoteReference w:id="7"/>
      </w:r>
      <w:r>
        <w:rPr>
          <w:rFonts w:ascii="Verdana" w:hAnsi="Verdana"/>
          <w:sz w:val="18"/>
          <w:szCs w:val="18"/>
        </w:rPr>
        <w:t xml:space="preserve"> Andere projecten gaan over componenten en wapensystemen zoals radio’s, radars, torpedo’s, raketten en software.</w:t>
      </w:r>
      <w:r w:rsidRPr="00CA75CB" w:rsidR="00CA75CB">
        <w:rPr>
          <w:rFonts w:ascii="Verdana" w:hAnsi="Verdana"/>
          <w:sz w:val="18"/>
          <w:szCs w:val="18"/>
        </w:rPr>
        <w:t xml:space="preserve"> </w:t>
      </w:r>
      <w:r w:rsidR="00CA75CB">
        <w:rPr>
          <w:rFonts w:ascii="Verdana" w:hAnsi="Verdana"/>
          <w:sz w:val="18"/>
          <w:szCs w:val="18"/>
        </w:rPr>
        <w:t>Lidstaten besluiten zelf of zij aan specifieke OCCAR-projecten meedoen, daartoe bestaat geen verplichting.</w:t>
      </w:r>
    </w:p>
    <w:p w:rsidR="00BD3008" w:rsidP="00BD3008" w:rsidRDefault="00BD3008" w14:paraId="554BDBE0" w14:textId="77777777">
      <w:pPr>
        <w:pStyle w:val="NormalWeb"/>
        <w:spacing w:before="0" w:beforeAutospacing="0" w:after="160" w:afterAutospacing="0" w:line="259" w:lineRule="auto"/>
        <w:jc w:val="both"/>
        <w:rPr>
          <w:rFonts w:ascii="Verdana" w:hAnsi="Verdana"/>
          <w:sz w:val="18"/>
          <w:szCs w:val="18"/>
        </w:rPr>
      </w:pPr>
      <w:r>
        <w:rPr>
          <w:rFonts w:ascii="Verdana" w:hAnsi="Verdana"/>
          <w:sz w:val="18"/>
          <w:szCs w:val="18"/>
        </w:rPr>
        <w:t xml:space="preserve">2.2 Werkwijze OCCAR </w:t>
      </w:r>
    </w:p>
    <w:p w:rsidR="00A524CF" w:rsidP="00BD3008" w:rsidRDefault="00BD3008" w14:paraId="0433DD77" w14:textId="433D6204">
      <w:pPr>
        <w:pStyle w:val="NormalWeb"/>
        <w:spacing w:before="0" w:beforeAutospacing="0" w:after="160" w:afterAutospacing="0" w:line="259" w:lineRule="auto"/>
        <w:jc w:val="both"/>
        <w:rPr>
          <w:rFonts w:ascii="Verdana" w:hAnsi="Verdana"/>
          <w:sz w:val="18"/>
          <w:szCs w:val="18"/>
        </w:rPr>
      </w:pPr>
      <w:r>
        <w:rPr>
          <w:rFonts w:ascii="Verdana" w:hAnsi="Verdana"/>
          <w:sz w:val="18"/>
          <w:szCs w:val="18"/>
        </w:rPr>
        <w:t xml:space="preserve">Bij internationale materieelprojecten </w:t>
      </w:r>
      <w:r w:rsidR="00C81170">
        <w:rPr>
          <w:rFonts w:ascii="Verdana" w:hAnsi="Verdana"/>
          <w:sz w:val="18"/>
          <w:szCs w:val="18"/>
        </w:rPr>
        <w:t xml:space="preserve">geldt </w:t>
      </w:r>
      <w:r>
        <w:rPr>
          <w:rFonts w:ascii="Verdana" w:hAnsi="Verdana"/>
          <w:sz w:val="18"/>
          <w:szCs w:val="18"/>
        </w:rPr>
        <w:t xml:space="preserve">meestal </w:t>
      </w:r>
      <w:r w:rsidR="0004207E">
        <w:rPr>
          <w:rFonts w:ascii="Verdana" w:hAnsi="Verdana"/>
          <w:sz w:val="18"/>
          <w:szCs w:val="18"/>
        </w:rPr>
        <w:t>als leidend beginsel</w:t>
      </w:r>
      <w:r w:rsidRPr="00046D9C">
        <w:rPr>
          <w:rFonts w:ascii="Verdana" w:hAnsi="Verdana"/>
          <w:sz w:val="18"/>
          <w:szCs w:val="18"/>
        </w:rPr>
        <w:t xml:space="preserve">: </w:t>
      </w:r>
      <w:proofErr w:type="spellStart"/>
      <w:r w:rsidRPr="00046D9C">
        <w:rPr>
          <w:rFonts w:ascii="Verdana" w:hAnsi="Verdana"/>
          <w:i/>
          <w:sz w:val="18"/>
          <w:szCs w:val="18"/>
        </w:rPr>
        <w:t>costshare</w:t>
      </w:r>
      <w:proofErr w:type="spellEnd"/>
      <w:r w:rsidRPr="00046D9C">
        <w:rPr>
          <w:rFonts w:ascii="Verdana" w:hAnsi="Verdana"/>
          <w:i/>
          <w:sz w:val="18"/>
          <w:szCs w:val="18"/>
        </w:rPr>
        <w:t xml:space="preserve"> is </w:t>
      </w:r>
      <w:proofErr w:type="spellStart"/>
      <w:r w:rsidRPr="00046D9C">
        <w:rPr>
          <w:rFonts w:ascii="Verdana" w:hAnsi="Verdana"/>
          <w:i/>
          <w:sz w:val="18"/>
          <w:szCs w:val="18"/>
        </w:rPr>
        <w:t>workshare</w:t>
      </w:r>
      <w:proofErr w:type="spellEnd"/>
      <w:r>
        <w:rPr>
          <w:rFonts w:ascii="Verdana" w:hAnsi="Verdana"/>
          <w:i/>
          <w:sz w:val="18"/>
          <w:szCs w:val="18"/>
        </w:rPr>
        <w:t>.</w:t>
      </w:r>
      <w:r w:rsidRPr="002B3DE0" w:rsidR="002B3DE0">
        <w:rPr>
          <w:rFonts w:ascii="Verdana" w:hAnsi="Verdana" w:cstheme="minorHAnsi"/>
          <w:sz w:val="18"/>
          <w:szCs w:val="18"/>
        </w:rPr>
        <w:t xml:space="preserve"> </w:t>
      </w:r>
      <w:r w:rsidRPr="008131C9" w:rsidR="002B3DE0">
        <w:rPr>
          <w:rFonts w:ascii="Verdana" w:hAnsi="Verdana" w:cstheme="minorHAnsi"/>
          <w:sz w:val="18"/>
          <w:szCs w:val="18"/>
        </w:rPr>
        <w:t xml:space="preserve">Dit beginsel </w:t>
      </w:r>
      <w:r w:rsidR="002B3DE0">
        <w:rPr>
          <w:rFonts w:ascii="Verdana" w:hAnsi="Verdana" w:cstheme="minorHAnsi"/>
          <w:sz w:val="18"/>
          <w:szCs w:val="18"/>
        </w:rPr>
        <w:t xml:space="preserve">houdt in </w:t>
      </w:r>
      <w:r w:rsidRPr="008131C9" w:rsidR="002B3DE0">
        <w:rPr>
          <w:rFonts w:ascii="Verdana" w:hAnsi="Verdana" w:cstheme="minorHAnsi"/>
          <w:sz w:val="18"/>
          <w:szCs w:val="18"/>
        </w:rPr>
        <w:t xml:space="preserve">dat de waarde van de industriële participatie in een project </w:t>
      </w:r>
      <w:r w:rsidR="002B3DE0">
        <w:rPr>
          <w:rFonts w:ascii="Verdana" w:hAnsi="Verdana" w:cstheme="minorHAnsi"/>
          <w:sz w:val="18"/>
          <w:szCs w:val="18"/>
        </w:rPr>
        <w:t xml:space="preserve">overeenkomt </w:t>
      </w:r>
      <w:r w:rsidRPr="008131C9" w:rsidR="002B3DE0">
        <w:rPr>
          <w:rFonts w:ascii="Verdana" w:hAnsi="Verdana" w:cstheme="minorHAnsi"/>
          <w:sz w:val="18"/>
          <w:szCs w:val="18"/>
        </w:rPr>
        <w:t xml:space="preserve">met de waarde van de order die het </w:t>
      </w:r>
      <w:r w:rsidR="002B3DE0">
        <w:rPr>
          <w:rFonts w:ascii="Verdana" w:hAnsi="Verdana" w:cstheme="minorHAnsi"/>
          <w:sz w:val="18"/>
          <w:szCs w:val="18"/>
        </w:rPr>
        <w:t xml:space="preserve">land </w:t>
      </w:r>
      <w:r w:rsidRPr="008131C9" w:rsidR="002B3DE0">
        <w:rPr>
          <w:rFonts w:ascii="Verdana" w:hAnsi="Verdana" w:cstheme="minorHAnsi"/>
          <w:sz w:val="18"/>
          <w:szCs w:val="18"/>
        </w:rPr>
        <w:t xml:space="preserve">heeft geplaatst. </w:t>
      </w:r>
      <w:r w:rsidR="00D41621">
        <w:rPr>
          <w:rFonts w:ascii="Verdana" w:hAnsi="Verdana"/>
          <w:sz w:val="18"/>
          <w:szCs w:val="18"/>
        </w:rPr>
        <w:t>Het OCCAR-</w:t>
      </w:r>
      <w:r w:rsidR="00837F3E">
        <w:rPr>
          <w:rFonts w:ascii="Verdana" w:hAnsi="Verdana"/>
          <w:sz w:val="18"/>
          <w:szCs w:val="18"/>
        </w:rPr>
        <w:t>V</w:t>
      </w:r>
      <w:r w:rsidR="00D41621">
        <w:rPr>
          <w:rFonts w:ascii="Verdana" w:hAnsi="Verdana"/>
          <w:sz w:val="18"/>
          <w:szCs w:val="18"/>
        </w:rPr>
        <w:t xml:space="preserve">erdrag neemt uitdrukkelijk afstand </w:t>
      </w:r>
      <w:r w:rsidR="00D41621">
        <w:rPr>
          <w:rFonts w:ascii="Verdana" w:hAnsi="Verdana"/>
          <w:sz w:val="18"/>
          <w:szCs w:val="18"/>
        </w:rPr>
        <w:lastRenderedPageBreak/>
        <w:t xml:space="preserve">van dit beginsel. </w:t>
      </w:r>
      <w:r w:rsidR="006A0559">
        <w:rPr>
          <w:rFonts w:ascii="Verdana" w:hAnsi="Verdana"/>
          <w:sz w:val="18"/>
          <w:szCs w:val="18"/>
        </w:rPr>
        <w:t xml:space="preserve">Om de </w:t>
      </w:r>
      <w:r w:rsidR="00837F3E">
        <w:rPr>
          <w:rFonts w:ascii="Verdana" w:hAnsi="Verdana"/>
          <w:sz w:val="18"/>
          <w:szCs w:val="18"/>
        </w:rPr>
        <w:t xml:space="preserve">doeltreffendheid </w:t>
      </w:r>
      <w:r w:rsidR="00DD78CC">
        <w:rPr>
          <w:rFonts w:ascii="Verdana" w:hAnsi="Verdana"/>
          <w:sz w:val="18"/>
          <w:szCs w:val="18"/>
        </w:rPr>
        <w:t>en doelmatigheid</w:t>
      </w:r>
      <w:r w:rsidR="006A0559">
        <w:rPr>
          <w:rFonts w:ascii="Verdana" w:hAnsi="Verdana"/>
          <w:sz w:val="18"/>
          <w:szCs w:val="18"/>
        </w:rPr>
        <w:t xml:space="preserve"> van </w:t>
      </w:r>
      <w:r w:rsidR="00837F3E">
        <w:rPr>
          <w:rFonts w:ascii="Verdana" w:hAnsi="Verdana"/>
          <w:sz w:val="18"/>
          <w:szCs w:val="18"/>
        </w:rPr>
        <w:t xml:space="preserve">Europese </w:t>
      </w:r>
      <w:r w:rsidR="006A0559">
        <w:rPr>
          <w:rFonts w:ascii="Verdana" w:hAnsi="Verdana"/>
          <w:sz w:val="18"/>
          <w:szCs w:val="18"/>
        </w:rPr>
        <w:t>materieelsamenwerking te vergroten, streeft OCCAR ernaar</w:t>
      </w:r>
      <w:r w:rsidR="0020047A">
        <w:rPr>
          <w:rFonts w:ascii="Verdana" w:hAnsi="Verdana"/>
          <w:sz w:val="18"/>
          <w:szCs w:val="18"/>
        </w:rPr>
        <w:t xml:space="preserve"> </w:t>
      </w:r>
      <w:r>
        <w:rPr>
          <w:rFonts w:ascii="Verdana" w:hAnsi="Verdana"/>
          <w:sz w:val="18"/>
          <w:szCs w:val="18"/>
        </w:rPr>
        <w:t>dat voor de lidstaten, over een langere periode en over het geheel van projecten, een globaal evenwicht (</w:t>
      </w:r>
      <w:proofErr w:type="spellStart"/>
      <w:r w:rsidRPr="00CB41EF">
        <w:rPr>
          <w:rFonts w:ascii="Verdana" w:hAnsi="Verdana"/>
          <w:i/>
          <w:sz w:val="18"/>
          <w:szCs w:val="18"/>
        </w:rPr>
        <w:t>global</w:t>
      </w:r>
      <w:proofErr w:type="spellEnd"/>
      <w:r w:rsidRPr="00CB41EF">
        <w:rPr>
          <w:rFonts w:ascii="Verdana" w:hAnsi="Verdana"/>
          <w:i/>
          <w:sz w:val="18"/>
          <w:szCs w:val="18"/>
        </w:rPr>
        <w:t xml:space="preserve"> </w:t>
      </w:r>
      <w:proofErr w:type="spellStart"/>
      <w:r w:rsidRPr="00CB41EF">
        <w:rPr>
          <w:rFonts w:ascii="Verdana" w:hAnsi="Verdana"/>
          <w:i/>
          <w:sz w:val="18"/>
          <w:szCs w:val="18"/>
        </w:rPr>
        <w:t>balance</w:t>
      </w:r>
      <w:proofErr w:type="spellEnd"/>
      <w:r>
        <w:rPr>
          <w:rFonts w:ascii="Verdana" w:hAnsi="Verdana"/>
          <w:sz w:val="18"/>
          <w:szCs w:val="18"/>
        </w:rPr>
        <w:t xml:space="preserve">) ontstaat tussen de financiële bijdragen aan projecten en de industriële pakketten van deze lidstaten. </w:t>
      </w:r>
      <w:r w:rsidR="00E653F2">
        <w:rPr>
          <w:rFonts w:ascii="Verdana" w:hAnsi="Verdana"/>
          <w:sz w:val="18"/>
          <w:szCs w:val="18"/>
        </w:rPr>
        <w:t xml:space="preserve">OCCAR </w:t>
      </w:r>
      <w:r w:rsidR="00041659">
        <w:rPr>
          <w:rFonts w:ascii="Verdana" w:hAnsi="Verdana"/>
          <w:sz w:val="18"/>
          <w:szCs w:val="18"/>
        </w:rPr>
        <w:t xml:space="preserve">rapporteert </w:t>
      </w:r>
      <w:r w:rsidR="00E653F2">
        <w:rPr>
          <w:rFonts w:ascii="Verdana" w:hAnsi="Verdana"/>
          <w:sz w:val="18"/>
          <w:szCs w:val="18"/>
        </w:rPr>
        <w:t xml:space="preserve">regelmatig </w:t>
      </w:r>
      <w:r w:rsidR="00041659">
        <w:rPr>
          <w:rFonts w:ascii="Verdana" w:hAnsi="Verdana"/>
          <w:sz w:val="18"/>
          <w:szCs w:val="18"/>
        </w:rPr>
        <w:t xml:space="preserve">aan de </w:t>
      </w:r>
      <w:r w:rsidR="009C3DE7">
        <w:rPr>
          <w:rFonts w:ascii="Verdana" w:hAnsi="Verdana"/>
          <w:sz w:val="18"/>
          <w:szCs w:val="18"/>
        </w:rPr>
        <w:t>lidstaten</w:t>
      </w:r>
      <w:r w:rsidR="00041659">
        <w:rPr>
          <w:rFonts w:ascii="Verdana" w:hAnsi="Verdana"/>
          <w:sz w:val="18"/>
          <w:szCs w:val="18"/>
        </w:rPr>
        <w:t xml:space="preserve"> over de </w:t>
      </w:r>
      <w:proofErr w:type="spellStart"/>
      <w:r w:rsidRPr="002B3DE0" w:rsidR="00041659">
        <w:rPr>
          <w:rFonts w:ascii="Verdana" w:hAnsi="Verdana"/>
          <w:i/>
          <w:sz w:val="18"/>
          <w:szCs w:val="18"/>
        </w:rPr>
        <w:t>global</w:t>
      </w:r>
      <w:proofErr w:type="spellEnd"/>
      <w:r w:rsidRPr="002B3DE0" w:rsidR="00041659">
        <w:rPr>
          <w:rFonts w:ascii="Verdana" w:hAnsi="Verdana"/>
          <w:i/>
          <w:sz w:val="18"/>
          <w:szCs w:val="18"/>
        </w:rPr>
        <w:t xml:space="preserve"> </w:t>
      </w:r>
      <w:proofErr w:type="spellStart"/>
      <w:r w:rsidRPr="002B3DE0" w:rsidR="00041659">
        <w:rPr>
          <w:rFonts w:ascii="Verdana" w:hAnsi="Verdana"/>
          <w:i/>
          <w:sz w:val="18"/>
          <w:szCs w:val="18"/>
        </w:rPr>
        <w:t>balance</w:t>
      </w:r>
      <w:proofErr w:type="spellEnd"/>
      <w:r w:rsidR="00041659">
        <w:rPr>
          <w:rFonts w:ascii="Verdana" w:hAnsi="Verdana"/>
          <w:sz w:val="18"/>
          <w:szCs w:val="18"/>
        </w:rPr>
        <w:t xml:space="preserve">. </w:t>
      </w:r>
      <w:r>
        <w:rPr>
          <w:rFonts w:ascii="Verdana" w:hAnsi="Verdana"/>
          <w:sz w:val="18"/>
          <w:szCs w:val="18"/>
        </w:rPr>
        <w:t>D</w:t>
      </w:r>
      <w:r w:rsidR="00041659">
        <w:rPr>
          <w:rFonts w:ascii="Verdana" w:hAnsi="Verdana"/>
          <w:sz w:val="18"/>
          <w:szCs w:val="18"/>
        </w:rPr>
        <w:t>ez</w:t>
      </w:r>
      <w:r>
        <w:rPr>
          <w:rFonts w:ascii="Verdana" w:hAnsi="Verdana"/>
          <w:sz w:val="18"/>
          <w:szCs w:val="18"/>
        </w:rPr>
        <w:t xml:space="preserve">e </w:t>
      </w:r>
      <w:r w:rsidR="00041659">
        <w:rPr>
          <w:rFonts w:ascii="Verdana" w:hAnsi="Verdana"/>
          <w:sz w:val="18"/>
          <w:szCs w:val="18"/>
        </w:rPr>
        <w:t xml:space="preserve">rapportages </w:t>
      </w:r>
      <w:r>
        <w:rPr>
          <w:rFonts w:ascii="Verdana" w:hAnsi="Verdana"/>
          <w:sz w:val="18"/>
          <w:szCs w:val="18"/>
        </w:rPr>
        <w:t xml:space="preserve">zijn vertrouwelijk. </w:t>
      </w:r>
    </w:p>
    <w:p w:rsidR="00D41621" w:rsidP="00BD3008" w:rsidRDefault="00D41621" w14:paraId="5A21890A" w14:textId="455CCD4A">
      <w:pPr>
        <w:pStyle w:val="NormalWeb"/>
        <w:spacing w:before="0" w:beforeAutospacing="0" w:after="160" w:afterAutospacing="0" w:line="259" w:lineRule="auto"/>
        <w:jc w:val="both"/>
        <w:rPr>
          <w:rFonts w:ascii="Verdana" w:hAnsi="Verdana"/>
          <w:sz w:val="18"/>
          <w:szCs w:val="18"/>
        </w:rPr>
      </w:pPr>
      <w:r w:rsidRPr="00D41621">
        <w:rPr>
          <w:rFonts w:ascii="Verdana" w:hAnsi="Verdana"/>
          <w:sz w:val="18"/>
          <w:szCs w:val="18"/>
        </w:rPr>
        <w:t xml:space="preserve">OCCAR selecteert </w:t>
      </w:r>
      <w:r w:rsidR="00A524CF">
        <w:rPr>
          <w:rFonts w:ascii="Verdana" w:hAnsi="Verdana"/>
          <w:sz w:val="18"/>
          <w:szCs w:val="18"/>
        </w:rPr>
        <w:t>per</w:t>
      </w:r>
      <w:r w:rsidRPr="00D41621">
        <w:rPr>
          <w:rFonts w:ascii="Verdana" w:hAnsi="Verdana"/>
          <w:sz w:val="18"/>
          <w:szCs w:val="18"/>
        </w:rPr>
        <w:t xml:space="preserve"> specifiek project de mogelijke leveranciers. In de praktijk betrekt OCCAR daarbij hoofdzakelijk geschikte leveranciers uit de lidstaten alsmede leveranciers uit andere landen die aan het project meedoen. Na de selectie is concurrentiestelling  het uitgangspunt. In voorkomend geval kan OCCAR afwijken van concurrentiestelling.</w:t>
      </w:r>
    </w:p>
    <w:p w:rsidR="00BD3008" w:rsidP="00D41621" w:rsidRDefault="00BD3008" w14:paraId="385563F6" w14:textId="4DD75F9F">
      <w:pPr>
        <w:pStyle w:val="NormalWeb"/>
        <w:spacing w:before="0" w:beforeAutospacing="0" w:after="160" w:afterAutospacing="0" w:line="259" w:lineRule="auto"/>
        <w:jc w:val="both"/>
        <w:rPr>
          <w:rFonts w:ascii="Verdana" w:hAnsi="Verdana"/>
          <w:sz w:val="18"/>
          <w:szCs w:val="18"/>
        </w:rPr>
      </w:pPr>
      <w:r>
        <w:rPr>
          <w:rFonts w:ascii="Verdana" w:hAnsi="Verdana"/>
          <w:sz w:val="18"/>
          <w:szCs w:val="18"/>
        </w:rPr>
        <w:t xml:space="preserve">Sinds enkele jaren voert OCCAR ook projecten uit die mede met Europees geld worden gefinancierd zoals via het Europees Defensiefonds (EDF). </w:t>
      </w:r>
      <w:r w:rsidR="000D0C45">
        <w:rPr>
          <w:rFonts w:ascii="Verdana" w:hAnsi="Verdana"/>
          <w:sz w:val="18"/>
          <w:szCs w:val="18"/>
        </w:rPr>
        <w:t>D</w:t>
      </w:r>
      <w:r>
        <w:rPr>
          <w:rFonts w:ascii="Verdana" w:hAnsi="Verdana"/>
          <w:sz w:val="18"/>
          <w:szCs w:val="18"/>
        </w:rPr>
        <w:t xml:space="preserve">e Europese </w:t>
      </w:r>
      <w:r w:rsidR="000D0C45">
        <w:rPr>
          <w:rFonts w:ascii="Verdana" w:hAnsi="Verdana"/>
          <w:sz w:val="18"/>
          <w:szCs w:val="18"/>
        </w:rPr>
        <w:t xml:space="preserve">Commissie stelt de budgetten vast </w:t>
      </w:r>
      <w:r>
        <w:rPr>
          <w:rFonts w:ascii="Verdana" w:hAnsi="Verdana"/>
          <w:sz w:val="18"/>
          <w:szCs w:val="18"/>
        </w:rPr>
        <w:t xml:space="preserve">en selecteert de uitvoerende </w:t>
      </w:r>
      <w:r w:rsidR="000D0C45">
        <w:rPr>
          <w:rFonts w:ascii="Verdana" w:hAnsi="Verdana"/>
          <w:sz w:val="18"/>
          <w:szCs w:val="18"/>
        </w:rPr>
        <w:t xml:space="preserve">consortia van </w:t>
      </w:r>
      <w:r>
        <w:rPr>
          <w:rFonts w:ascii="Verdana" w:hAnsi="Verdana"/>
          <w:sz w:val="18"/>
          <w:szCs w:val="18"/>
        </w:rPr>
        <w:t xml:space="preserve">industrie en kennisinstellingen. OCCAR </w:t>
      </w:r>
      <w:r w:rsidR="000D0C45">
        <w:rPr>
          <w:rFonts w:ascii="Verdana" w:hAnsi="Verdana"/>
          <w:sz w:val="18"/>
          <w:szCs w:val="18"/>
        </w:rPr>
        <w:t xml:space="preserve">voert daarna </w:t>
      </w:r>
      <w:r w:rsidR="00984D56">
        <w:rPr>
          <w:rFonts w:ascii="Verdana" w:hAnsi="Verdana"/>
          <w:sz w:val="18"/>
          <w:szCs w:val="18"/>
        </w:rPr>
        <w:t xml:space="preserve">het volledige </w:t>
      </w:r>
      <w:r>
        <w:rPr>
          <w:rFonts w:ascii="Verdana" w:hAnsi="Verdana"/>
          <w:sz w:val="18"/>
          <w:szCs w:val="18"/>
        </w:rPr>
        <w:t>projectmanagement</w:t>
      </w:r>
      <w:r w:rsidR="000D0C45">
        <w:rPr>
          <w:rFonts w:ascii="Verdana" w:hAnsi="Verdana"/>
          <w:sz w:val="18"/>
          <w:szCs w:val="18"/>
        </w:rPr>
        <w:t xml:space="preserve"> uit</w:t>
      </w:r>
      <w:r>
        <w:rPr>
          <w:rFonts w:ascii="Verdana" w:hAnsi="Verdana"/>
          <w:sz w:val="18"/>
          <w:szCs w:val="18"/>
        </w:rPr>
        <w:t>. Van de 24 huidige OCCAR-projecten ontvangen zeven E</w:t>
      </w:r>
      <w:r w:rsidR="000D0C45">
        <w:rPr>
          <w:rFonts w:ascii="Verdana" w:hAnsi="Verdana"/>
          <w:sz w:val="18"/>
          <w:szCs w:val="18"/>
        </w:rPr>
        <w:t>U</w:t>
      </w:r>
      <w:r w:rsidR="00ED2C9F">
        <w:rPr>
          <w:rFonts w:ascii="Verdana" w:hAnsi="Verdana"/>
          <w:sz w:val="18"/>
          <w:szCs w:val="18"/>
        </w:rPr>
        <w:t>-</w:t>
      </w:r>
      <w:r>
        <w:rPr>
          <w:rFonts w:ascii="Verdana" w:hAnsi="Verdana"/>
          <w:sz w:val="18"/>
          <w:szCs w:val="18"/>
        </w:rPr>
        <w:t>financiering.</w:t>
      </w:r>
    </w:p>
    <w:p w:rsidR="00BD3008" w:rsidP="007C25DE" w:rsidRDefault="00BD3008" w14:paraId="3EE8A7C3" w14:textId="77777777">
      <w:pPr>
        <w:pStyle w:val="NormalWeb"/>
        <w:keepNext/>
        <w:spacing w:before="0" w:beforeAutospacing="0" w:after="160" w:afterAutospacing="0" w:line="259" w:lineRule="auto"/>
        <w:jc w:val="both"/>
        <w:rPr>
          <w:rFonts w:ascii="Verdana" w:hAnsi="Verdana"/>
          <w:sz w:val="18"/>
          <w:szCs w:val="18"/>
        </w:rPr>
      </w:pPr>
      <w:r>
        <w:rPr>
          <w:rFonts w:ascii="Verdana" w:hAnsi="Verdana"/>
          <w:sz w:val="18"/>
          <w:szCs w:val="18"/>
        </w:rPr>
        <w:t>2.3 Internationale context</w:t>
      </w:r>
    </w:p>
    <w:p w:rsidR="00BD3008" w:rsidP="00BD3008" w:rsidRDefault="00BD3008" w14:paraId="7E78C40B" w14:textId="7B0C3255">
      <w:pPr>
        <w:pStyle w:val="NormalWeb"/>
        <w:spacing w:before="0" w:beforeAutospacing="0" w:after="160" w:afterAutospacing="0" w:line="259" w:lineRule="auto"/>
        <w:jc w:val="both"/>
        <w:rPr>
          <w:rFonts w:ascii="Verdana" w:hAnsi="Verdana"/>
          <w:sz w:val="18"/>
          <w:szCs w:val="18"/>
        </w:rPr>
      </w:pPr>
      <w:r>
        <w:rPr>
          <w:rFonts w:ascii="Verdana" w:hAnsi="Verdana"/>
          <w:sz w:val="18"/>
          <w:szCs w:val="18"/>
        </w:rPr>
        <w:t>Binnen de NAVO en de EU lopen verschillende initiatieven om de militaire</w:t>
      </w:r>
      <w:r w:rsidR="00444455">
        <w:rPr>
          <w:rFonts w:ascii="Verdana" w:hAnsi="Verdana"/>
          <w:sz w:val="18"/>
          <w:szCs w:val="18"/>
        </w:rPr>
        <w:t xml:space="preserve"> capaciteiten</w:t>
      </w:r>
      <w:r>
        <w:rPr>
          <w:rFonts w:ascii="Verdana" w:hAnsi="Verdana"/>
          <w:sz w:val="18"/>
          <w:szCs w:val="18"/>
        </w:rPr>
        <w:t xml:space="preserve"> en</w:t>
      </w:r>
      <w:r w:rsidR="00444455">
        <w:rPr>
          <w:rFonts w:ascii="Verdana" w:hAnsi="Verdana"/>
          <w:sz w:val="18"/>
          <w:szCs w:val="18"/>
        </w:rPr>
        <w:t xml:space="preserve"> de</w:t>
      </w:r>
      <w:r>
        <w:rPr>
          <w:rFonts w:ascii="Verdana" w:hAnsi="Verdana"/>
          <w:sz w:val="18"/>
          <w:szCs w:val="18"/>
        </w:rPr>
        <w:t xml:space="preserve"> defensie-industriële capaciteiten van de bondgenoten en </w:t>
      </w:r>
      <w:r w:rsidR="00260E91">
        <w:rPr>
          <w:rFonts w:ascii="Verdana" w:hAnsi="Verdana"/>
          <w:sz w:val="18"/>
          <w:szCs w:val="18"/>
        </w:rPr>
        <w:t>EU-</w:t>
      </w:r>
      <w:r>
        <w:rPr>
          <w:rFonts w:ascii="Verdana" w:hAnsi="Verdana"/>
          <w:sz w:val="18"/>
          <w:szCs w:val="18"/>
        </w:rPr>
        <w:t>lidstaten te versterken. De NAVO-</w:t>
      </w:r>
      <w:r w:rsidR="00D5575D">
        <w:rPr>
          <w:rFonts w:ascii="Verdana" w:hAnsi="Verdana"/>
          <w:sz w:val="18"/>
          <w:szCs w:val="18"/>
        </w:rPr>
        <w:t>bondgenoten</w:t>
      </w:r>
      <w:r>
        <w:rPr>
          <w:rFonts w:ascii="Verdana" w:hAnsi="Verdana"/>
          <w:sz w:val="18"/>
          <w:szCs w:val="18"/>
        </w:rPr>
        <w:t xml:space="preserve"> hebben tijdens de NAVO-top van eind juni 2025 in Den Haag afgesproken hun defensie-uitgaven en de bredere veiligheids- en </w:t>
      </w:r>
      <w:proofErr w:type="spellStart"/>
      <w:r>
        <w:rPr>
          <w:rFonts w:ascii="Verdana" w:hAnsi="Verdana"/>
          <w:sz w:val="18"/>
          <w:szCs w:val="18"/>
        </w:rPr>
        <w:t>defensiegerelateerde</w:t>
      </w:r>
      <w:proofErr w:type="spellEnd"/>
      <w:r>
        <w:rPr>
          <w:rFonts w:ascii="Verdana" w:hAnsi="Verdana"/>
          <w:sz w:val="18"/>
          <w:szCs w:val="18"/>
        </w:rPr>
        <w:t xml:space="preserve"> uitgaven stapsgewijs te verhogen tot 5 procent van het bnp, waarvan 3,5 procent is bedoeld om de doelstellingen voor militaire capaciteiten te kunnen halen.</w:t>
      </w:r>
      <w:r>
        <w:rPr>
          <w:rStyle w:val="FootnoteReference"/>
          <w:rFonts w:ascii="Verdana" w:hAnsi="Verdana"/>
          <w:sz w:val="18"/>
          <w:szCs w:val="18"/>
        </w:rPr>
        <w:footnoteReference w:id="8"/>
      </w:r>
      <w:r>
        <w:rPr>
          <w:rFonts w:ascii="Verdana" w:hAnsi="Verdana"/>
          <w:sz w:val="18"/>
          <w:szCs w:val="18"/>
        </w:rPr>
        <w:t xml:space="preserve"> De NAVO-bondgenoten zijn het eens dat naast onderlinge concurrentie meer internationale coördinatie moet plaatsvinden, zowel op het gebied van vraagbundeling als bij investeringen in productiecapaciteit. Tijdens de NAVO-top is het </w:t>
      </w:r>
      <w:proofErr w:type="spellStart"/>
      <w:r w:rsidRPr="00B91BC9">
        <w:rPr>
          <w:rFonts w:ascii="Verdana" w:hAnsi="Verdana"/>
          <w:i/>
          <w:sz w:val="18"/>
          <w:szCs w:val="18"/>
        </w:rPr>
        <w:t>Defence</w:t>
      </w:r>
      <w:proofErr w:type="spellEnd"/>
      <w:r w:rsidRPr="00B91BC9">
        <w:rPr>
          <w:rFonts w:ascii="Verdana" w:hAnsi="Verdana"/>
          <w:i/>
          <w:sz w:val="18"/>
          <w:szCs w:val="18"/>
        </w:rPr>
        <w:t xml:space="preserve"> </w:t>
      </w:r>
      <w:proofErr w:type="spellStart"/>
      <w:r w:rsidRPr="00B91BC9">
        <w:rPr>
          <w:rFonts w:ascii="Verdana" w:hAnsi="Verdana"/>
          <w:i/>
          <w:sz w:val="18"/>
          <w:szCs w:val="18"/>
        </w:rPr>
        <w:t>Production</w:t>
      </w:r>
      <w:proofErr w:type="spellEnd"/>
      <w:r w:rsidRPr="00B91BC9">
        <w:rPr>
          <w:rFonts w:ascii="Verdana" w:hAnsi="Verdana"/>
          <w:i/>
          <w:sz w:val="18"/>
          <w:szCs w:val="18"/>
        </w:rPr>
        <w:t xml:space="preserve"> Action Plan </w:t>
      </w:r>
      <w:r>
        <w:rPr>
          <w:rFonts w:ascii="Verdana" w:hAnsi="Verdana"/>
          <w:sz w:val="18"/>
          <w:szCs w:val="18"/>
        </w:rPr>
        <w:t>(DPAP) gepubliceerd dat inzet op NAVO-brede vraagbundeling, de uitbreiding van defensie-brede industriële capaciteiten en de verbetering van interoperabiliteit en materieelstandaardisatie.</w:t>
      </w:r>
    </w:p>
    <w:p w:rsidR="00BD3008" w:rsidP="00BD3008" w:rsidRDefault="00BD3008" w14:paraId="7A05E2E3" w14:textId="54E3BF1F">
      <w:pPr>
        <w:pStyle w:val="NormalWeb"/>
        <w:spacing w:before="0" w:beforeAutospacing="0" w:after="160" w:afterAutospacing="0" w:line="259" w:lineRule="auto"/>
        <w:jc w:val="both"/>
        <w:rPr>
          <w:rFonts w:ascii="Verdana" w:hAnsi="Verdana"/>
          <w:sz w:val="18"/>
          <w:szCs w:val="18"/>
        </w:rPr>
      </w:pPr>
      <w:r>
        <w:rPr>
          <w:rFonts w:ascii="Verdana" w:hAnsi="Verdana"/>
          <w:sz w:val="18"/>
          <w:szCs w:val="18"/>
        </w:rPr>
        <w:t xml:space="preserve">De Europese Commissie en de Hoge Vertegenwoordiger voor het Veiligheids- en Buitenlandsbeleid op hun beurt hebben initiatieven </w:t>
      </w:r>
      <w:r w:rsidR="005415D3">
        <w:rPr>
          <w:rFonts w:ascii="Verdana" w:hAnsi="Verdana"/>
          <w:sz w:val="18"/>
          <w:szCs w:val="18"/>
        </w:rPr>
        <w:t xml:space="preserve">gepresenteerd </w:t>
      </w:r>
      <w:r>
        <w:rPr>
          <w:rFonts w:ascii="Verdana" w:hAnsi="Verdana"/>
          <w:sz w:val="18"/>
          <w:szCs w:val="18"/>
        </w:rPr>
        <w:t>in het ‘Witboek Europese Defensie-Gereedheid 2030’ en het Commissievoorstel ‘</w:t>
      </w:r>
      <w:proofErr w:type="spellStart"/>
      <w:r>
        <w:rPr>
          <w:rFonts w:ascii="Verdana" w:hAnsi="Verdana"/>
          <w:sz w:val="18"/>
          <w:szCs w:val="18"/>
        </w:rPr>
        <w:t>ReArm</w:t>
      </w:r>
      <w:proofErr w:type="spellEnd"/>
      <w:r>
        <w:rPr>
          <w:rFonts w:ascii="Verdana" w:hAnsi="Verdana"/>
          <w:sz w:val="18"/>
          <w:szCs w:val="18"/>
        </w:rPr>
        <w:t xml:space="preserve"> Europe / Readiness 2030’.</w:t>
      </w:r>
      <w:r>
        <w:rPr>
          <w:rStyle w:val="FootnoteReference"/>
          <w:rFonts w:ascii="Verdana" w:hAnsi="Verdana"/>
          <w:sz w:val="18"/>
          <w:szCs w:val="18"/>
        </w:rPr>
        <w:footnoteReference w:id="9"/>
      </w:r>
      <w:r>
        <w:rPr>
          <w:rFonts w:ascii="Verdana" w:hAnsi="Verdana"/>
          <w:sz w:val="18"/>
          <w:szCs w:val="18"/>
        </w:rPr>
        <w:t xml:space="preserve"> </w:t>
      </w:r>
      <w:r w:rsidR="00260E91">
        <w:rPr>
          <w:rFonts w:ascii="Verdana" w:hAnsi="Verdana"/>
          <w:sz w:val="18"/>
          <w:szCs w:val="18"/>
        </w:rPr>
        <w:t>Hieruit</w:t>
      </w:r>
      <w:r>
        <w:rPr>
          <w:rFonts w:ascii="Verdana" w:hAnsi="Verdana"/>
          <w:sz w:val="18"/>
          <w:szCs w:val="18"/>
        </w:rPr>
        <w:t xml:space="preserve"> vloeit</w:t>
      </w:r>
      <w:r w:rsidR="005415D3">
        <w:rPr>
          <w:rFonts w:ascii="Verdana" w:hAnsi="Verdana"/>
          <w:sz w:val="18"/>
          <w:szCs w:val="18"/>
        </w:rPr>
        <w:t xml:space="preserve"> onder andere</w:t>
      </w:r>
      <w:r>
        <w:rPr>
          <w:rFonts w:ascii="Verdana" w:hAnsi="Verdana"/>
          <w:sz w:val="18"/>
          <w:szCs w:val="18"/>
        </w:rPr>
        <w:t xml:space="preserve"> </w:t>
      </w:r>
      <w:r w:rsidR="001C4E01">
        <w:rPr>
          <w:rFonts w:ascii="Verdana" w:hAnsi="Verdana"/>
          <w:sz w:val="18"/>
          <w:szCs w:val="18"/>
        </w:rPr>
        <w:t xml:space="preserve">voort </w:t>
      </w:r>
      <w:r>
        <w:rPr>
          <w:rFonts w:ascii="Verdana" w:hAnsi="Verdana"/>
          <w:sz w:val="18"/>
          <w:szCs w:val="18"/>
        </w:rPr>
        <w:t xml:space="preserve">de </w:t>
      </w:r>
      <w:r w:rsidRPr="00AE31E2">
        <w:rPr>
          <w:rFonts w:ascii="Verdana" w:hAnsi="Verdana"/>
          <w:i/>
          <w:sz w:val="18"/>
          <w:szCs w:val="18"/>
        </w:rPr>
        <w:t xml:space="preserve">Security Action </w:t>
      </w:r>
      <w:proofErr w:type="spellStart"/>
      <w:r w:rsidRPr="00AE31E2">
        <w:rPr>
          <w:rFonts w:ascii="Verdana" w:hAnsi="Verdana"/>
          <w:i/>
          <w:sz w:val="18"/>
          <w:szCs w:val="18"/>
        </w:rPr>
        <w:t>for</w:t>
      </w:r>
      <w:proofErr w:type="spellEnd"/>
      <w:r w:rsidRPr="00AE31E2">
        <w:rPr>
          <w:rFonts w:ascii="Verdana" w:hAnsi="Verdana"/>
          <w:i/>
          <w:sz w:val="18"/>
          <w:szCs w:val="18"/>
        </w:rPr>
        <w:t xml:space="preserve"> Europe</w:t>
      </w:r>
      <w:r>
        <w:rPr>
          <w:rFonts w:ascii="Verdana" w:hAnsi="Verdana"/>
          <w:sz w:val="18"/>
          <w:szCs w:val="18"/>
        </w:rPr>
        <w:t xml:space="preserve"> (SAFE-)verordening</w:t>
      </w:r>
      <w:r w:rsidR="000D0C45">
        <w:rPr>
          <w:rFonts w:ascii="Verdana" w:hAnsi="Verdana"/>
          <w:sz w:val="18"/>
          <w:szCs w:val="18"/>
        </w:rPr>
        <w:t xml:space="preserve">, een leningsinstrument voor gezamenlijke aanschaf, dat </w:t>
      </w:r>
      <w:r>
        <w:rPr>
          <w:rFonts w:ascii="Verdana" w:hAnsi="Verdana"/>
          <w:sz w:val="18"/>
          <w:szCs w:val="18"/>
        </w:rPr>
        <w:t xml:space="preserve">is </w:t>
      </w:r>
      <w:r w:rsidR="005415D3">
        <w:rPr>
          <w:rFonts w:ascii="Verdana" w:hAnsi="Verdana"/>
          <w:sz w:val="18"/>
          <w:szCs w:val="18"/>
        </w:rPr>
        <w:t xml:space="preserve">vastgesteld op </w:t>
      </w:r>
      <w:r>
        <w:rPr>
          <w:rFonts w:ascii="Verdana" w:hAnsi="Verdana"/>
          <w:sz w:val="18"/>
          <w:szCs w:val="18"/>
        </w:rPr>
        <w:t>27 mei 2025.</w:t>
      </w:r>
      <w:r w:rsidR="001D589F">
        <w:rPr>
          <w:rStyle w:val="FootnoteReference"/>
          <w:rFonts w:ascii="Verdana" w:hAnsi="Verdana"/>
          <w:sz w:val="18"/>
          <w:szCs w:val="18"/>
        </w:rPr>
        <w:footnoteReference w:id="10"/>
      </w:r>
      <w:r>
        <w:rPr>
          <w:rFonts w:ascii="Verdana" w:hAnsi="Verdana"/>
          <w:sz w:val="18"/>
          <w:szCs w:val="18"/>
        </w:rPr>
        <w:t xml:space="preserve"> </w:t>
      </w:r>
    </w:p>
    <w:p w:rsidR="00BD3008" w:rsidP="00BD3008" w:rsidRDefault="00BD3008" w14:paraId="4EDE1946" w14:textId="4585FA10">
      <w:pPr>
        <w:pStyle w:val="NormalWeb"/>
        <w:spacing w:before="0" w:beforeAutospacing="0" w:after="160" w:afterAutospacing="0" w:line="259" w:lineRule="auto"/>
        <w:jc w:val="both"/>
        <w:rPr>
          <w:rFonts w:ascii="Verdana" w:hAnsi="Verdana"/>
          <w:sz w:val="18"/>
          <w:szCs w:val="18"/>
        </w:rPr>
      </w:pPr>
      <w:r>
        <w:rPr>
          <w:rFonts w:ascii="Verdana" w:hAnsi="Verdana"/>
          <w:sz w:val="18"/>
          <w:szCs w:val="18"/>
        </w:rPr>
        <w:t xml:space="preserve">Het Witboek benadrukt dat de huidige tekorten aan militaire capaciteiten gezamenlijk moeten worden aangepakt omdat het vaak complexe ontwikkel- en aanschaftrajecten betreft met een investeringsomvang die te groot is voor individuele lidstaten. Samenwerking is ook nodig omdat de huidige gefragmenteerde aanpak leidt tot inefficiëntie </w:t>
      </w:r>
      <w:r w:rsidR="00A932D6">
        <w:rPr>
          <w:rFonts w:ascii="Verdana" w:hAnsi="Verdana"/>
          <w:sz w:val="18"/>
          <w:szCs w:val="18"/>
        </w:rPr>
        <w:t xml:space="preserve">en </w:t>
      </w:r>
      <w:r w:rsidR="001C4E01">
        <w:rPr>
          <w:rFonts w:ascii="Verdana" w:hAnsi="Verdana"/>
          <w:sz w:val="18"/>
          <w:szCs w:val="18"/>
        </w:rPr>
        <w:t>negatief</w:t>
      </w:r>
      <w:r w:rsidR="00A932D6">
        <w:rPr>
          <w:rFonts w:ascii="Verdana" w:hAnsi="Verdana"/>
          <w:sz w:val="18"/>
          <w:szCs w:val="18"/>
        </w:rPr>
        <w:t xml:space="preserve"> </w:t>
      </w:r>
      <w:r w:rsidR="00201294">
        <w:rPr>
          <w:rFonts w:ascii="Verdana" w:hAnsi="Verdana"/>
          <w:sz w:val="18"/>
          <w:szCs w:val="18"/>
        </w:rPr>
        <w:t>bijdraagt aan</w:t>
      </w:r>
      <w:r w:rsidR="00A932D6">
        <w:rPr>
          <w:rFonts w:ascii="Verdana" w:hAnsi="Verdana"/>
          <w:sz w:val="18"/>
          <w:szCs w:val="18"/>
        </w:rPr>
        <w:t xml:space="preserve"> de interoperabiliteit.</w:t>
      </w:r>
      <w:r w:rsidR="00FD20EA">
        <w:rPr>
          <w:rFonts w:ascii="Verdana" w:hAnsi="Verdana"/>
          <w:sz w:val="18"/>
          <w:szCs w:val="18"/>
        </w:rPr>
        <w:t xml:space="preserve"> Lidstaten zijn </w:t>
      </w:r>
      <w:r w:rsidR="00E133CC">
        <w:rPr>
          <w:rFonts w:ascii="Verdana" w:hAnsi="Verdana"/>
          <w:sz w:val="18"/>
          <w:szCs w:val="18"/>
        </w:rPr>
        <w:t xml:space="preserve">primair </w:t>
      </w:r>
      <w:r w:rsidR="005D7698">
        <w:rPr>
          <w:rFonts w:ascii="Verdana" w:hAnsi="Verdana"/>
          <w:sz w:val="18"/>
          <w:szCs w:val="18"/>
        </w:rPr>
        <w:t xml:space="preserve">zelf </w:t>
      </w:r>
      <w:r w:rsidR="00FD20EA">
        <w:rPr>
          <w:rFonts w:ascii="Verdana" w:hAnsi="Verdana"/>
          <w:sz w:val="18"/>
          <w:szCs w:val="18"/>
        </w:rPr>
        <w:t>verantwoordelijk voor de aanschaf van materieel, maar het Witboek legt de nadruk op vraagbundeling en gezamenlijke aanschaf</w:t>
      </w:r>
      <w:r>
        <w:rPr>
          <w:rFonts w:ascii="Verdana" w:hAnsi="Verdana"/>
          <w:sz w:val="18"/>
          <w:szCs w:val="18"/>
        </w:rPr>
        <w:t>. De SAFE-verordening biedt lidstaten de mogelijkheid tegen gunstige voorwaarden leningen aan te vragen</w:t>
      </w:r>
      <w:r w:rsidRPr="00907842">
        <w:rPr>
          <w:rFonts w:ascii="Verdana" w:hAnsi="Verdana"/>
          <w:sz w:val="18"/>
          <w:szCs w:val="18"/>
        </w:rPr>
        <w:t xml:space="preserve"> </w:t>
      </w:r>
      <w:r>
        <w:rPr>
          <w:rFonts w:ascii="Verdana" w:hAnsi="Verdana"/>
          <w:sz w:val="18"/>
          <w:szCs w:val="18"/>
        </w:rPr>
        <w:t xml:space="preserve">met een totale omvang van € 150 miljard ten behoeve van de aanschaf van defensiematerieel. Samenwerking tussen twee of meer landen is </w:t>
      </w:r>
      <w:r w:rsidR="001C4E01">
        <w:rPr>
          <w:rFonts w:ascii="Verdana" w:hAnsi="Verdana"/>
          <w:sz w:val="18"/>
          <w:szCs w:val="18"/>
        </w:rPr>
        <w:t>éé</w:t>
      </w:r>
      <w:r>
        <w:rPr>
          <w:rFonts w:ascii="Verdana" w:hAnsi="Verdana"/>
          <w:sz w:val="18"/>
          <w:szCs w:val="18"/>
        </w:rPr>
        <w:t>n van de voorwaarden. Het SAFE-instrument staat open voor samenwerking met bepaalde derde landen en de industrie uit die landen, waaronder het Verenigd Koninkrijk.</w:t>
      </w:r>
      <w:r>
        <w:rPr>
          <w:rStyle w:val="FootnoteReference"/>
          <w:rFonts w:ascii="Verdana" w:hAnsi="Verdana"/>
          <w:sz w:val="18"/>
          <w:szCs w:val="18"/>
        </w:rPr>
        <w:footnoteReference w:id="11"/>
      </w:r>
    </w:p>
    <w:p w:rsidR="00BD3008" w:rsidP="00BD3008" w:rsidRDefault="00BD3008" w14:paraId="397C612E" w14:textId="09768CF7">
      <w:pPr>
        <w:pStyle w:val="NormalWeb"/>
        <w:spacing w:before="0" w:beforeAutospacing="0" w:after="160" w:afterAutospacing="0" w:line="259" w:lineRule="auto"/>
        <w:jc w:val="both"/>
        <w:rPr>
          <w:rFonts w:ascii="Verdana" w:hAnsi="Verdana"/>
          <w:sz w:val="18"/>
          <w:szCs w:val="18"/>
        </w:rPr>
      </w:pPr>
      <w:r>
        <w:rPr>
          <w:rFonts w:ascii="Verdana" w:hAnsi="Verdana"/>
          <w:sz w:val="18"/>
          <w:szCs w:val="18"/>
        </w:rPr>
        <w:t xml:space="preserve">De betrokken landen en instanties staan voor de </w:t>
      </w:r>
      <w:r w:rsidR="00F36AAB">
        <w:rPr>
          <w:rFonts w:ascii="Verdana" w:hAnsi="Verdana"/>
          <w:sz w:val="18"/>
          <w:szCs w:val="18"/>
        </w:rPr>
        <w:t>opgave</w:t>
      </w:r>
      <w:r>
        <w:rPr>
          <w:rFonts w:ascii="Verdana" w:hAnsi="Verdana"/>
          <w:sz w:val="18"/>
          <w:szCs w:val="18"/>
        </w:rPr>
        <w:t xml:space="preserve"> hoe deze internationale initiatieven </w:t>
      </w:r>
      <w:r w:rsidR="006D472C">
        <w:rPr>
          <w:rFonts w:ascii="Verdana" w:hAnsi="Verdana"/>
          <w:sz w:val="18"/>
          <w:szCs w:val="18"/>
        </w:rPr>
        <w:t>om te zetten</w:t>
      </w:r>
      <w:r>
        <w:rPr>
          <w:rFonts w:ascii="Verdana" w:hAnsi="Verdana"/>
          <w:sz w:val="18"/>
          <w:szCs w:val="18"/>
        </w:rPr>
        <w:t xml:space="preserve"> in concrete, uitvoerbare projecten. Investeringen in productiecapaciteit zijn nodig maar daarnaast is </w:t>
      </w:r>
      <w:r w:rsidR="005D7698">
        <w:rPr>
          <w:rFonts w:ascii="Verdana" w:hAnsi="Verdana"/>
          <w:sz w:val="18"/>
          <w:szCs w:val="18"/>
        </w:rPr>
        <w:t xml:space="preserve">er behoefte aan </w:t>
      </w:r>
      <w:r>
        <w:rPr>
          <w:rFonts w:ascii="Verdana" w:hAnsi="Verdana"/>
          <w:sz w:val="18"/>
          <w:szCs w:val="18"/>
        </w:rPr>
        <w:t>meer capaciteit voor projectmanagement. Ook in Nederland is de beschikbare capaciteit voor het ‘voorzien-in’ proces van Defensie, van behoeftestelling tot levering, een aandachtspunt</w:t>
      </w:r>
      <w:r w:rsidR="001C4E01">
        <w:rPr>
          <w:rFonts w:ascii="Verdana" w:hAnsi="Verdana"/>
          <w:sz w:val="18"/>
          <w:szCs w:val="18"/>
        </w:rPr>
        <w:t>.</w:t>
      </w:r>
      <w:r>
        <w:rPr>
          <w:rFonts w:ascii="Verdana" w:hAnsi="Verdana"/>
          <w:sz w:val="18"/>
          <w:szCs w:val="18"/>
        </w:rPr>
        <w:t xml:space="preserve"> Defensie probeert dit proces te stroomlijnen en te versnellen.</w:t>
      </w:r>
      <w:r>
        <w:rPr>
          <w:rStyle w:val="FootnoteReference"/>
          <w:rFonts w:ascii="Verdana" w:hAnsi="Verdana"/>
          <w:sz w:val="18"/>
          <w:szCs w:val="18"/>
        </w:rPr>
        <w:footnoteReference w:id="12"/>
      </w:r>
      <w:r>
        <w:rPr>
          <w:rFonts w:ascii="Verdana" w:hAnsi="Verdana"/>
          <w:sz w:val="18"/>
          <w:szCs w:val="18"/>
        </w:rPr>
        <w:t xml:space="preserve"> OCCAR, waarvan projectmanagement juist een kerncompetentie is, kan de lidstaten hierbij werk uit handen nemen. Tegen die achtergrond is </w:t>
      </w:r>
      <w:r w:rsidR="00F36AAB">
        <w:rPr>
          <w:rFonts w:ascii="Verdana" w:hAnsi="Verdana"/>
          <w:sz w:val="18"/>
          <w:szCs w:val="18"/>
        </w:rPr>
        <w:t>de verwachting</w:t>
      </w:r>
      <w:r>
        <w:rPr>
          <w:rFonts w:ascii="Verdana" w:hAnsi="Verdana"/>
          <w:sz w:val="18"/>
          <w:szCs w:val="18"/>
        </w:rPr>
        <w:t xml:space="preserve"> dat OCCAR de komende jaren meer projecten gaat uitvoeren. Daarbij kan het zowel gaan om multilaterale pro</w:t>
      </w:r>
      <w:r w:rsidR="003F0E26">
        <w:rPr>
          <w:rFonts w:ascii="Verdana" w:hAnsi="Verdana"/>
          <w:sz w:val="18"/>
          <w:szCs w:val="18"/>
        </w:rPr>
        <w:t>jecten</w:t>
      </w:r>
      <w:r>
        <w:rPr>
          <w:rFonts w:ascii="Verdana" w:hAnsi="Verdana"/>
          <w:sz w:val="18"/>
          <w:szCs w:val="18"/>
        </w:rPr>
        <w:t xml:space="preserve"> van de OCCAR-lidstaten, eventueel </w:t>
      </w:r>
      <w:r>
        <w:rPr>
          <w:rFonts w:ascii="Verdana" w:hAnsi="Verdana"/>
          <w:sz w:val="18"/>
          <w:szCs w:val="18"/>
        </w:rPr>
        <w:lastRenderedPageBreak/>
        <w:t>in samenwerking met andere landen, als om pr</w:t>
      </w:r>
      <w:r w:rsidR="003F0E26">
        <w:rPr>
          <w:rFonts w:ascii="Verdana" w:hAnsi="Verdana"/>
          <w:sz w:val="18"/>
          <w:szCs w:val="18"/>
        </w:rPr>
        <w:t>ojecten</w:t>
      </w:r>
      <w:r>
        <w:rPr>
          <w:rFonts w:ascii="Verdana" w:hAnsi="Verdana"/>
          <w:sz w:val="18"/>
          <w:szCs w:val="18"/>
        </w:rPr>
        <w:t xml:space="preserve"> waartoe in Europees verband het initiatief wordt genomen. </w:t>
      </w:r>
    </w:p>
    <w:p w:rsidR="00BD3008" w:rsidP="00BD3008" w:rsidRDefault="00BD3008" w14:paraId="73A8F7E0" w14:textId="77777777">
      <w:pPr>
        <w:pStyle w:val="NormalWeb"/>
        <w:spacing w:before="0" w:beforeAutospacing="0" w:after="160" w:afterAutospacing="0" w:line="259" w:lineRule="auto"/>
        <w:jc w:val="both"/>
        <w:rPr>
          <w:rFonts w:ascii="Verdana" w:hAnsi="Verdana"/>
          <w:sz w:val="18"/>
          <w:szCs w:val="18"/>
        </w:rPr>
      </w:pPr>
      <w:r>
        <w:rPr>
          <w:rFonts w:ascii="Verdana" w:hAnsi="Verdana"/>
          <w:sz w:val="18"/>
          <w:szCs w:val="18"/>
        </w:rPr>
        <w:t>2.4 Nederlandse defensie-industrie</w:t>
      </w:r>
    </w:p>
    <w:p w:rsidR="00660D46" w:rsidP="00BD3008" w:rsidRDefault="003C709D" w14:paraId="2D308298" w14:textId="07821E39">
      <w:pPr>
        <w:pStyle w:val="NormalWeb"/>
        <w:spacing w:before="0" w:beforeAutospacing="0" w:after="160" w:afterAutospacing="0" w:line="259" w:lineRule="auto"/>
        <w:jc w:val="both"/>
        <w:rPr>
          <w:rFonts w:ascii="Verdana" w:hAnsi="Verdana"/>
          <w:sz w:val="18"/>
          <w:szCs w:val="18"/>
        </w:rPr>
      </w:pPr>
      <w:r>
        <w:rPr>
          <w:rFonts w:ascii="Verdana" w:hAnsi="Verdana"/>
          <w:sz w:val="18"/>
          <w:szCs w:val="18"/>
        </w:rPr>
        <w:t>E</w:t>
      </w:r>
      <w:r w:rsidR="00BD3008">
        <w:rPr>
          <w:rFonts w:ascii="Verdana" w:hAnsi="Verdana"/>
          <w:sz w:val="18"/>
          <w:szCs w:val="18"/>
        </w:rPr>
        <w:t xml:space="preserve">en sterke Nederlandse Defensie Technologische en Industriële Basis (NLDTIB) </w:t>
      </w:r>
      <w:r>
        <w:rPr>
          <w:rFonts w:ascii="Verdana" w:hAnsi="Verdana"/>
          <w:sz w:val="18"/>
          <w:szCs w:val="18"/>
        </w:rPr>
        <w:t>is</w:t>
      </w:r>
      <w:r w:rsidR="00BD3008">
        <w:rPr>
          <w:rFonts w:ascii="Verdana" w:hAnsi="Verdana"/>
          <w:sz w:val="18"/>
          <w:szCs w:val="18"/>
        </w:rPr>
        <w:t xml:space="preserve"> onmisbaar voor de nationale veiligheid. </w:t>
      </w:r>
      <w:r w:rsidR="00320AC1">
        <w:rPr>
          <w:rFonts w:ascii="Verdana" w:hAnsi="Verdana"/>
          <w:sz w:val="18"/>
          <w:szCs w:val="18"/>
        </w:rPr>
        <w:t xml:space="preserve">Het coalitieakkoord onderstreept dit. </w:t>
      </w:r>
      <w:r w:rsidR="00BD3008">
        <w:rPr>
          <w:rFonts w:ascii="Verdana" w:hAnsi="Verdana"/>
          <w:sz w:val="18"/>
          <w:szCs w:val="18"/>
        </w:rPr>
        <w:t>Met de Defensienota 2024</w:t>
      </w:r>
      <w:r w:rsidR="00BD3008">
        <w:rPr>
          <w:rStyle w:val="FootnoteReference"/>
          <w:rFonts w:ascii="Verdana" w:hAnsi="Verdana"/>
          <w:sz w:val="18"/>
          <w:szCs w:val="18"/>
        </w:rPr>
        <w:footnoteReference w:id="13"/>
      </w:r>
      <w:r w:rsidR="00BD3008">
        <w:rPr>
          <w:rFonts w:ascii="Verdana" w:hAnsi="Verdana"/>
          <w:sz w:val="18"/>
          <w:szCs w:val="18"/>
        </w:rPr>
        <w:t xml:space="preserve"> stelt Defensie € 1,15 miljard beschikbaar voor de versterking van innovatie en de Nederlandse defensie-industrie. Hoe dit geld wordt besteed, is opgenomen in de Defensie Strategie voor Industrie en Innovatie 2025-2029 (D-SII)</w:t>
      </w:r>
      <w:r w:rsidR="00BD3008">
        <w:rPr>
          <w:rStyle w:val="FootnoteReference"/>
          <w:rFonts w:ascii="Verdana" w:hAnsi="Verdana"/>
          <w:sz w:val="18"/>
          <w:szCs w:val="18"/>
        </w:rPr>
        <w:footnoteReference w:id="14"/>
      </w:r>
      <w:r w:rsidR="00BD3008">
        <w:rPr>
          <w:rFonts w:ascii="Verdana" w:hAnsi="Verdana"/>
          <w:sz w:val="18"/>
          <w:szCs w:val="18"/>
        </w:rPr>
        <w:t xml:space="preserve"> die de </w:t>
      </w:r>
      <w:r w:rsidR="00E133CC">
        <w:rPr>
          <w:rFonts w:ascii="Verdana" w:hAnsi="Verdana"/>
          <w:sz w:val="18"/>
          <w:szCs w:val="18"/>
        </w:rPr>
        <w:t>M</w:t>
      </w:r>
      <w:r w:rsidR="00BD3008">
        <w:rPr>
          <w:rFonts w:ascii="Verdana" w:hAnsi="Verdana"/>
          <w:sz w:val="18"/>
          <w:szCs w:val="18"/>
        </w:rPr>
        <w:t xml:space="preserve">inisteries van Defensie en van Economische Zaken samen hebben opgesteld. </w:t>
      </w:r>
    </w:p>
    <w:p w:rsidR="00BD3008" w:rsidP="00BD3008" w:rsidRDefault="00BD3008" w14:paraId="343A483C" w14:textId="535F51E8">
      <w:pPr>
        <w:pStyle w:val="NormalWeb"/>
        <w:spacing w:before="0" w:beforeAutospacing="0" w:after="160" w:afterAutospacing="0" w:line="259" w:lineRule="auto"/>
        <w:jc w:val="both"/>
        <w:rPr>
          <w:rFonts w:ascii="Verdana" w:hAnsi="Verdana"/>
          <w:sz w:val="18"/>
          <w:szCs w:val="18"/>
        </w:rPr>
      </w:pPr>
      <w:r>
        <w:rPr>
          <w:rFonts w:ascii="Verdana" w:hAnsi="Verdana"/>
          <w:sz w:val="18"/>
          <w:szCs w:val="18"/>
        </w:rPr>
        <w:t xml:space="preserve">In de veelheid van maatregelen van de D-SII neemt internationale samenwerking een belangrijke plaats in. Nederland wil sterker en pro-actiever inzetten op de ontwikkeling van Europese capaciteiten, vraagbundeling, grensoverschrijdende samenwerking, betere toegang tot toeleveringsketens en coproductie. Nederland kan standaardisatie bevorderen door dezelfde producten te kopen als onze bondgenoten: wat goed is voor hen, is ook goed voor Nederland en andersom. De gecoördineerde of gezamenlijke aanschaf van materieel leidt tot grotere orders en dit biedt langjarige zekerheid voor de industrie. </w:t>
      </w:r>
    </w:p>
    <w:p w:rsidR="00680930" w:rsidP="00BD3008" w:rsidRDefault="00BD3008" w14:paraId="3A88039C" w14:textId="5D54179D">
      <w:pPr>
        <w:pStyle w:val="NormalWeb"/>
        <w:spacing w:before="0" w:beforeAutospacing="0" w:after="160" w:afterAutospacing="0" w:line="259" w:lineRule="auto"/>
        <w:jc w:val="both"/>
        <w:rPr>
          <w:rFonts w:ascii="Verdana" w:hAnsi="Verdana"/>
          <w:sz w:val="18"/>
          <w:szCs w:val="18"/>
        </w:rPr>
      </w:pPr>
      <w:r>
        <w:rPr>
          <w:rFonts w:ascii="Verdana" w:hAnsi="Verdana"/>
          <w:sz w:val="18"/>
          <w:szCs w:val="18"/>
        </w:rPr>
        <w:t xml:space="preserve">Nederland wil de NLDTIB daarbij actief </w:t>
      </w:r>
      <w:r w:rsidR="00D31499">
        <w:rPr>
          <w:rFonts w:ascii="Verdana" w:hAnsi="Verdana"/>
          <w:sz w:val="18"/>
          <w:szCs w:val="18"/>
        </w:rPr>
        <w:t>positioneren</w:t>
      </w:r>
      <w:r>
        <w:rPr>
          <w:rFonts w:ascii="Verdana" w:hAnsi="Verdana"/>
          <w:sz w:val="18"/>
          <w:szCs w:val="18"/>
        </w:rPr>
        <w:t>. Een speerpunt is om Nederlandse bedrijven een plaats te geven in buitenlandse toeleveringsketens. De NLDTIB bestaat uit een beperkt aantal leveranciers van eindproducten (</w:t>
      </w:r>
      <w:r w:rsidRPr="00D00802">
        <w:rPr>
          <w:rFonts w:ascii="Verdana" w:hAnsi="Verdana"/>
          <w:i/>
          <w:sz w:val="18"/>
          <w:szCs w:val="18"/>
        </w:rPr>
        <w:t xml:space="preserve">Original Equipment </w:t>
      </w:r>
      <w:proofErr w:type="spellStart"/>
      <w:r w:rsidRPr="00D00802">
        <w:rPr>
          <w:rFonts w:ascii="Verdana" w:hAnsi="Verdana"/>
          <w:i/>
          <w:sz w:val="18"/>
          <w:szCs w:val="18"/>
        </w:rPr>
        <w:t>Manufacturers</w:t>
      </w:r>
      <w:proofErr w:type="spellEnd"/>
      <w:r>
        <w:rPr>
          <w:rFonts w:ascii="Verdana" w:hAnsi="Verdana"/>
          <w:sz w:val="18"/>
          <w:szCs w:val="18"/>
        </w:rPr>
        <w:t xml:space="preserve">, </w:t>
      </w:r>
      <w:proofErr w:type="spellStart"/>
      <w:r>
        <w:rPr>
          <w:rFonts w:ascii="Verdana" w:hAnsi="Verdana"/>
          <w:sz w:val="18"/>
          <w:szCs w:val="18"/>
        </w:rPr>
        <w:t>OEMs</w:t>
      </w:r>
      <w:proofErr w:type="spellEnd"/>
      <w:r>
        <w:rPr>
          <w:rFonts w:ascii="Verdana" w:hAnsi="Verdana"/>
          <w:sz w:val="18"/>
          <w:szCs w:val="18"/>
        </w:rPr>
        <w:t>) en een groot aantal producenten, veelal mkb-bedrijven, van componenten en onderdelen</w:t>
      </w:r>
      <w:r w:rsidR="0092352F">
        <w:rPr>
          <w:rFonts w:ascii="Verdana" w:hAnsi="Verdana"/>
          <w:sz w:val="18"/>
          <w:szCs w:val="18"/>
        </w:rPr>
        <w:t xml:space="preserve"> die toeleverancier kunnen zijn</w:t>
      </w:r>
      <w:r>
        <w:rPr>
          <w:rFonts w:ascii="Verdana" w:hAnsi="Verdana"/>
          <w:sz w:val="18"/>
          <w:szCs w:val="18"/>
        </w:rPr>
        <w:t xml:space="preserve">. </w:t>
      </w:r>
      <w:proofErr w:type="spellStart"/>
      <w:r>
        <w:rPr>
          <w:rFonts w:ascii="Verdana" w:hAnsi="Verdana"/>
          <w:sz w:val="18"/>
          <w:szCs w:val="18"/>
        </w:rPr>
        <w:t>OEMs</w:t>
      </w:r>
      <w:proofErr w:type="spellEnd"/>
      <w:r>
        <w:rPr>
          <w:rFonts w:ascii="Verdana" w:hAnsi="Verdana"/>
          <w:sz w:val="18"/>
          <w:szCs w:val="18"/>
        </w:rPr>
        <w:t xml:space="preserve"> in Europa zijn vooral gevestigd in de grote landen en deze </w:t>
      </w:r>
      <w:proofErr w:type="spellStart"/>
      <w:r>
        <w:rPr>
          <w:rFonts w:ascii="Verdana" w:hAnsi="Verdana"/>
          <w:sz w:val="18"/>
          <w:szCs w:val="18"/>
        </w:rPr>
        <w:t>OEMs</w:t>
      </w:r>
      <w:proofErr w:type="spellEnd"/>
      <w:r>
        <w:rPr>
          <w:rFonts w:ascii="Verdana" w:hAnsi="Verdana"/>
          <w:sz w:val="18"/>
          <w:szCs w:val="18"/>
        </w:rPr>
        <w:t xml:space="preserve"> beschikken al over toeleveringsketens </w:t>
      </w:r>
      <w:r w:rsidR="00D161CA">
        <w:rPr>
          <w:rFonts w:ascii="Verdana" w:hAnsi="Verdana"/>
          <w:sz w:val="18"/>
          <w:szCs w:val="18"/>
        </w:rPr>
        <w:t>in</w:t>
      </w:r>
      <w:r>
        <w:rPr>
          <w:rFonts w:ascii="Verdana" w:hAnsi="Verdana"/>
          <w:sz w:val="18"/>
          <w:szCs w:val="18"/>
        </w:rPr>
        <w:t xml:space="preserve"> voornamelijk eigen land. </w:t>
      </w:r>
    </w:p>
    <w:p w:rsidR="00680930" w:rsidP="00680930" w:rsidRDefault="00BD3008" w14:paraId="699B167E" w14:textId="2600A0A3">
      <w:pPr>
        <w:pStyle w:val="NormalWeb"/>
        <w:spacing w:before="0" w:beforeAutospacing="0" w:after="160" w:afterAutospacing="0" w:line="259" w:lineRule="auto"/>
        <w:jc w:val="both"/>
        <w:rPr>
          <w:rFonts w:ascii="Verdana" w:hAnsi="Verdana"/>
          <w:sz w:val="18"/>
          <w:szCs w:val="18"/>
        </w:rPr>
      </w:pPr>
      <w:r>
        <w:rPr>
          <w:rFonts w:ascii="Verdana" w:hAnsi="Verdana"/>
          <w:sz w:val="18"/>
          <w:szCs w:val="18"/>
        </w:rPr>
        <w:t xml:space="preserve">Het is </w:t>
      </w:r>
      <w:r w:rsidR="00F36AAB">
        <w:rPr>
          <w:rFonts w:ascii="Verdana" w:hAnsi="Verdana"/>
          <w:sz w:val="18"/>
          <w:szCs w:val="18"/>
        </w:rPr>
        <w:t>belangrijk</w:t>
      </w:r>
      <w:r>
        <w:rPr>
          <w:rFonts w:ascii="Verdana" w:hAnsi="Verdana"/>
          <w:sz w:val="18"/>
          <w:szCs w:val="18"/>
        </w:rPr>
        <w:t xml:space="preserve"> de NLDTIB goed te positioneren in deze internationale toeleveringsketens. Het Nederlandse lidmaatschap van OCCAR kan </w:t>
      </w:r>
      <w:r w:rsidR="00D161CA">
        <w:rPr>
          <w:rFonts w:ascii="Verdana" w:hAnsi="Verdana"/>
          <w:sz w:val="18"/>
          <w:szCs w:val="18"/>
        </w:rPr>
        <w:t>hier</w:t>
      </w:r>
      <w:r>
        <w:rPr>
          <w:rFonts w:ascii="Verdana" w:hAnsi="Verdana"/>
          <w:sz w:val="18"/>
          <w:szCs w:val="18"/>
        </w:rPr>
        <w:t>aan bijdragen, onder meer omdat Nederland daarmee beschikt over een goede informatiepositie over nieuwe OCCAR-projecten</w:t>
      </w:r>
      <w:r w:rsidR="001D589F">
        <w:rPr>
          <w:rFonts w:ascii="Verdana" w:hAnsi="Verdana"/>
          <w:sz w:val="18"/>
          <w:szCs w:val="18"/>
        </w:rPr>
        <w:t>, inclusief projecten waar Nederland niet aan deelneemt maar die toch mogelijk interessant zijn voor de Nederlandse defensie-industrie</w:t>
      </w:r>
      <w:r>
        <w:rPr>
          <w:rFonts w:ascii="Verdana" w:hAnsi="Verdana"/>
          <w:sz w:val="18"/>
          <w:szCs w:val="18"/>
        </w:rPr>
        <w:t>. OCCAR en Nederlandse bedrijven kunnen dan in een vroeg stadium met elkaar in contact komen.</w:t>
      </w:r>
      <w:r w:rsidR="00FD20EA">
        <w:rPr>
          <w:rFonts w:ascii="Verdana" w:hAnsi="Verdana"/>
          <w:sz w:val="18"/>
          <w:szCs w:val="18"/>
        </w:rPr>
        <w:t xml:space="preserve"> De Ministeries van Defensie en Economische Zaken zullen dat actief bevorderen</w:t>
      </w:r>
      <w:r w:rsidR="00AD6432">
        <w:rPr>
          <w:rFonts w:ascii="Verdana" w:hAnsi="Verdana"/>
          <w:sz w:val="18"/>
          <w:szCs w:val="18"/>
        </w:rPr>
        <w:t>. D</w:t>
      </w:r>
      <w:r w:rsidRPr="00D41621" w:rsidR="00D41621">
        <w:rPr>
          <w:rFonts w:ascii="Verdana" w:hAnsi="Verdana"/>
          <w:sz w:val="18"/>
          <w:szCs w:val="18"/>
        </w:rPr>
        <w:t xml:space="preserve">e regering kan de resultaten van het OCCAR-lidmaatschap monitoren door middel van de </w:t>
      </w:r>
      <w:r w:rsidR="00D41621">
        <w:rPr>
          <w:rFonts w:ascii="Verdana" w:hAnsi="Verdana"/>
          <w:sz w:val="18"/>
          <w:szCs w:val="18"/>
        </w:rPr>
        <w:t xml:space="preserve">eerdergenoemde </w:t>
      </w:r>
      <w:r w:rsidRPr="00D41621" w:rsidR="00D41621">
        <w:rPr>
          <w:rFonts w:ascii="Verdana" w:hAnsi="Verdana"/>
          <w:sz w:val="18"/>
          <w:szCs w:val="18"/>
        </w:rPr>
        <w:t xml:space="preserve">vertrouwelijke rapportages over de </w:t>
      </w:r>
      <w:proofErr w:type="spellStart"/>
      <w:r w:rsidRPr="00D41621" w:rsidR="00D41621">
        <w:rPr>
          <w:rFonts w:ascii="Verdana" w:hAnsi="Verdana"/>
          <w:i/>
          <w:sz w:val="18"/>
          <w:szCs w:val="18"/>
        </w:rPr>
        <w:t>global</w:t>
      </w:r>
      <w:proofErr w:type="spellEnd"/>
      <w:r w:rsidRPr="00D41621" w:rsidR="00D41621">
        <w:rPr>
          <w:rFonts w:ascii="Verdana" w:hAnsi="Verdana"/>
          <w:i/>
          <w:sz w:val="18"/>
          <w:szCs w:val="18"/>
        </w:rPr>
        <w:t xml:space="preserve"> </w:t>
      </w:r>
      <w:proofErr w:type="spellStart"/>
      <w:r w:rsidRPr="00D41621" w:rsidR="00D41621">
        <w:rPr>
          <w:rFonts w:ascii="Verdana" w:hAnsi="Verdana"/>
          <w:i/>
          <w:sz w:val="18"/>
          <w:szCs w:val="18"/>
        </w:rPr>
        <w:t>balance</w:t>
      </w:r>
      <w:proofErr w:type="spellEnd"/>
      <w:r w:rsidRPr="00D41621" w:rsidR="00D41621">
        <w:rPr>
          <w:rFonts w:ascii="Verdana" w:hAnsi="Verdana"/>
          <w:sz w:val="18"/>
          <w:szCs w:val="18"/>
        </w:rPr>
        <w:t>.</w:t>
      </w:r>
    </w:p>
    <w:p w:rsidRPr="00680930" w:rsidR="00680930" w:rsidP="00680930" w:rsidRDefault="00680930" w14:paraId="6F4A4B1C" w14:textId="4F5F155C">
      <w:pPr>
        <w:pStyle w:val="NormalWeb"/>
        <w:spacing w:before="0" w:beforeAutospacing="0" w:after="160" w:afterAutospacing="0" w:line="259" w:lineRule="auto"/>
        <w:jc w:val="both"/>
        <w:rPr>
          <w:rFonts w:ascii="Verdana" w:hAnsi="Verdana"/>
          <w:sz w:val="18"/>
          <w:szCs w:val="18"/>
        </w:rPr>
      </w:pPr>
      <w:r w:rsidRPr="00680930">
        <w:rPr>
          <w:rFonts w:ascii="Verdana" w:hAnsi="Verdana"/>
          <w:sz w:val="18"/>
          <w:szCs w:val="18"/>
        </w:rPr>
        <w:t xml:space="preserve">Bij OCCAR-projecten is Industriële Participatie (IP) niet aan de orde. Voor defensieaankopen  waarbij OCCAR niet betrokken is, blijft het Nederlandse IP-beleid van toepassing. Dit beleid </w:t>
      </w:r>
      <w:r w:rsidR="00952289">
        <w:rPr>
          <w:rFonts w:ascii="Verdana" w:hAnsi="Verdana"/>
          <w:sz w:val="18"/>
          <w:szCs w:val="18"/>
        </w:rPr>
        <w:t xml:space="preserve">is en </w:t>
      </w:r>
      <w:r w:rsidRPr="00680930">
        <w:rPr>
          <w:rFonts w:ascii="Verdana" w:hAnsi="Verdana"/>
          <w:sz w:val="18"/>
          <w:szCs w:val="18"/>
        </w:rPr>
        <w:t>blijft een belangrijk instrument voor de internationale positionering van de Nederlandse defensie-industrie en het creëren van een meer gelijk speelveld.</w:t>
      </w:r>
      <w:r w:rsidRPr="00680930">
        <w:rPr>
          <w:rFonts w:ascii="Verdana" w:hAnsi="Verdana"/>
          <w:sz w:val="18"/>
          <w:szCs w:val="18"/>
          <w:vertAlign w:val="superscript"/>
        </w:rPr>
        <w:footnoteReference w:id="15"/>
      </w:r>
    </w:p>
    <w:p w:rsidR="00BD3008" w:rsidP="00BD3008" w:rsidRDefault="00BD3008" w14:paraId="6C9ED349" w14:textId="77777777">
      <w:pPr>
        <w:pStyle w:val="NormalWeb"/>
        <w:spacing w:before="0" w:beforeAutospacing="0" w:after="160" w:afterAutospacing="0" w:line="259" w:lineRule="auto"/>
        <w:jc w:val="both"/>
        <w:rPr>
          <w:rFonts w:ascii="Verdana" w:hAnsi="Verdana"/>
          <w:sz w:val="18"/>
          <w:szCs w:val="18"/>
        </w:rPr>
      </w:pPr>
      <w:r>
        <w:rPr>
          <w:rFonts w:ascii="Verdana" w:hAnsi="Verdana"/>
          <w:sz w:val="18"/>
          <w:szCs w:val="18"/>
        </w:rPr>
        <w:t>2.5 OCCAR-projecten met Nederlandse betrokkenheid</w:t>
      </w:r>
    </w:p>
    <w:p w:rsidR="00BD3008" w:rsidP="00BD3008" w:rsidRDefault="00BD3008" w14:paraId="241C989F" w14:textId="27D4146A">
      <w:pPr>
        <w:pStyle w:val="NormalWeb"/>
        <w:spacing w:before="0" w:beforeAutospacing="0" w:after="160" w:afterAutospacing="0" w:line="259" w:lineRule="auto"/>
        <w:jc w:val="both"/>
        <w:rPr>
          <w:rFonts w:ascii="Verdana" w:hAnsi="Verdana"/>
          <w:sz w:val="18"/>
          <w:szCs w:val="18"/>
        </w:rPr>
      </w:pPr>
      <w:r>
        <w:rPr>
          <w:rFonts w:ascii="Verdana" w:hAnsi="Verdana"/>
          <w:sz w:val="18"/>
          <w:szCs w:val="18"/>
        </w:rPr>
        <w:t xml:space="preserve">Afgezien van het eerdergenoemde MRTT-project is Nederland momenteel als samenwerkingspartner betrokken bij drie projecten </w:t>
      </w:r>
      <w:r w:rsidR="008750D5">
        <w:rPr>
          <w:rFonts w:ascii="Verdana" w:hAnsi="Verdana"/>
          <w:sz w:val="18"/>
          <w:szCs w:val="18"/>
        </w:rPr>
        <w:t xml:space="preserve">van </w:t>
      </w:r>
      <w:r>
        <w:rPr>
          <w:rFonts w:ascii="Verdana" w:hAnsi="Verdana"/>
          <w:sz w:val="18"/>
          <w:szCs w:val="18"/>
        </w:rPr>
        <w:t>OCCAR. Dit zijn de volgende:</w:t>
      </w:r>
    </w:p>
    <w:p w:rsidR="00B854C9" w:rsidP="007506E5" w:rsidRDefault="00BD3008" w14:paraId="14768281" w14:textId="213B3E90">
      <w:pPr>
        <w:pStyle w:val="NormalWeb"/>
        <w:numPr>
          <w:ilvl w:val="0"/>
          <w:numId w:val="14"/>
        </w:numPr>
        <w:spacing w:before="0" w:beforeAutospacing="0" w:after="160" w:afterAutospacing="0" w:line="259" w:lineRule="auto"/>
        <w:jc w:val="both"/>
        <w:rPr>
          <w:rFonts w:ascii="Verdana" w:hAnsi="Verdana"/>
          <w:sz w:val="18"/>
          <w:szCs w:val="18"/>
        </w:rPr>
      </w:pPr>
      <w:r w:rsidRPr="007506E5">
        <w:rPr>
          <w:rFonts w:ascii="Verdana" w:hAnsi="Verdana"/>
          <w:sz w:val="18"/>
          <w:szCs w:val="18"/>
        </w:rPr>
        <w:t>De verwerving van de Boxer-pantserwielvoertuigen. Duitsland en Nederland hebben deze voertuigen vanaf 2006 binationaal verworven. OCCAR werd verantwoordelijk voor het projectmanagement voor de realisatie van het binationale contract. In eerste instantie heeft Nederland 200 Boxer-voertuigen besteld in vijf verschillende versies: commandopost, ambulance, genie, vracht en rijles. In 2020 is het laatste van deze serie van 200 voertuigen geleverd. Vervolgens heeft Nederland in 2024 besloten 72 extra Boxer-voertuigen te bestellen</w:t>
      </w:r>
      <w:r w:rsidR="00B854C9">
        <w:rPr>
          <w:rFonts w:ascii="Verdana" w:hAnsi="Verdana"/>
          <w:sz w:val="18"/>
          <w:szCs w:val="18"/>
        </w:rPr>
        <w:t xml:space="preserve"> en ook Duitsland op zijn beurt heeft in de loop der jaren meerdere aanvullende bestellingen gedaan. OCCAR heeft op 17 oktober 2025 een contract getekend met de leveranciers voor de 72 Nederlandse voertuigen en voor extra Boxers voor Duitsland.</w:t>
      </w:r>
    </w:p>
    <w:p w:rsidRPr="007506E5" w:rsidR="00BD3008" w:rsidP="00E133CC" w:rsidRDefault="00BD3008" w14:paraId="47A218B0" w14:textId="48FF8B8F">
      <w:pPr>
        <w:pStyle w:val="NormalWeb"/>
        <w:spacing w:before="0" w:beforeAutospacing="0" w:after="160" w:afterAutospacing="0" w:line="259" w:lineRule="auto"/>
        <w:ind w:left="720"/>
        <w:jc w:val="both"/>
        <w:rPr>
          <w:rFonts w:ascii="Verdana" w:hAnsi="Verdana"/>
          <w:sz w:val="18"/>
          <w:szCs w:val="18"/>
        </w:rPr>
      </w:pPr>
      <w:r w:rsidRPr="007506E5">
        <w:rPr>
          <w:rFonts w:ascii="Verdana" w:hAnsi="Verdana"/>
          <w:sz w:val="18"/>
          <w:szCs w:val="18"/>
        </w:rPr>
        <w:lastRenderedPageBreak/>
        <w:t xml:space="preserve">Uit de eindevaluatie van het </w:t>
      </w:r>
      <w:r w:rsidRPr="007506E5" w:rsidR="00CF17FC">
        <w:rPr>
          <w:rFonts w:ascii="Verdana" w:hAnsi="Verdana"/>
          <w:sz w:val="18"/>
          <w:szCs w:val="18"/>
        </w:rPr>
        <w:t xml:space="preserve">Nederlandse </w:t>
      </w:r>
      <w:r w:rsidRPr="007506E5">
        <w:rPr>
          <w:rFonts w:ascii="Verdana" w:hAnsi="Verdana"/>
          <w:sz w:val="18"/>
          <w:szCs w:val="18"/>
        </w:rPr>
        <w:t>Boxer-project</w:t>
      </w:r>
      <w:r w:rsidRPr="007506E5" w:rsidR="00FF02FF">
        <w:rPr>
          <w:rFonts w:ascii="Verdana" w:hAnsi="Verdana"/>
          <w:sz w:val="18"/>
          <w:szCs w:val="18"/>
        </w:rPr>
        <w:t xml:space="preserve"> van het Ministerie van Defensie</w:t>
      </w:r>
      <w:r>
        <w:rPr>
          <w:rStyle w:val="FootnoteReference"/>
          <w:rFonts w:ascii="Verdana" w:hAnsi="Verdana"/>
          <w:sz w:val="18"/>
          <w:szCs w:val="18"/>
        </w:rPr>
        <w:footnoteReference w:id="16"/>
      </w:r>
      <w:r w:rsidRPr="007506E5">
        <w:rPr>
          <w:rFonts w:ascii="Verdana" w:hAnsi="Verdana"/>
          <w:sz w:val="18"/>
          <w:szCs w:val="18"/>
        </w:rPr>
        <w:t xml:space="preserve"> blijkt dat het voertuig goed voldoet aan de eisen. De Boxer is daarmee een voorbeeld van succesvolle internationale samenwerking. Dit wordt onderstreept door de aanschaf van de Boxer door onder andere Australië, Litouwen, Oekraïne en het VK.</w:t>
      </w:r>
    </w:p>
    <w:p w:rsidR="00BD3008" w:rsidP="00BD3008" w:rsidRDefault="00BD3008" w14:paraId="3099E6B0" w14:textId="7DB97B60">
      <w:pPr>
        <w:pStyle w:val="NormalWeb"/>
        <w:spacing w:before="0" w:beforeAutospacing="0" w:after="160" w:afterAutospacing="0" w:line="259" w:lineRule="auto"/>
        <w:ind w:left="720"/>
        <w:jc w:val="both"/>
        <w:rPr>
          <w:rFonts w:ascii="Verdana" w:hAnsi="Verdana"/>
          <w:sz w:val="18"/>
          <w:szCs w:val="18"/>
        </w:rPr>
      </w:pPr>
      <w:r>
        <w:rPr>
          <w:rFonts w:ascii="Verdana" w:hAnsi="Verdana"/>
          <w:sz w:val="18"/>
          <w:szCs w:val="18"/>
        </w:rPr>
        <w:t xml:space="preserve">Het besluit om OCCAR in te schakelen voor het projectmanagement is een goede greep gebleken. Het Boxer-project met uiteenlopende modules op één basisvoertuig was technisch complex maar het project kon profiteren van de technische en organisatorische kennis van OCCAR. Tijdens beproevingen kwamen enkele technische tekortkomingen aan het licht en deze zijn door optreden van OCCAR hersteld voor rekening van de leverancier. </w:t>
      </w:r>
    </w:p>
    <w:p w:rsidRPr="002F4863" w:rsidR="00BD3008" w:rsidP="00BD3008" w:rsidRDefault="00BD3008" w14:paraId="2BF7154E" w14:textId="129E72DD">
      <w:pPr>
        <w:pStyle w:val="ListParagraph"/>
        <w:numPr>
          <w:ilvl w:val="0"/>
          <w:numId w:val="14"/>
        </w:numPr>
        <w:jc w:val="both"/>
        <w:rPr>
          <w:rFonts w:ascii="Verdana" w:hAnsi="Verdana"/>
          <w:sz w:val="18"/>
          <w:szCs w:val="18"/>
        </w:rPr>
      </w:pPr>
      <w:r w:rsidRPr="002F4863">
        <w:rPr>
          <w:rFonts w:ascii="Verdana" w:hAnsi="Verdana"/>
          <w:sz w:val="18"/>
          <w:szCs w:val="18"/>
        </w:rPr>
        <w:t xml:space="preserve">Het project </w:t>
      </w:r>
      <w:r w:rsidRPr="002F4863">
        <w:rPr>
          <w:rFonts w:ascii="Verdana" w:hAnsi="Verdana"/>
          <w:i/>
          <w:sz w:val="18"/>
          <w:szCs w:val="18"/>
        </w:rPr>
        <w:t xml:space="preserve">European </w:t>
      </w:r>
      <w:proofErr w:type="spellStart"/>
      <w:r w:rsidRPr="002F4863">
        <w:rPr>
          <w:rFonts w:ascii="Verdana" w:hAnsi="Verdana"/>
          <w:i/>
          <w:sz w:val="18"/>
          <w:szCs w:val="18"/>
        </w:rPr>
        <w:t>Naval</w:t>
      </w:r>
      <w:proofErr w:type="spellEnd"/>
      <w:r w:rsidRPr="002F4863">
        <w:rPr>
          <w:rFonts w:ascii="Verdana" w:hAnsi="Verdana"/>
          <w:i/>
          <w:sz w:val="18"/>
          <w:szCs w:val="18"/>
        </w:rPr>
        <w:t xml:space="preserve"> </w:t>
      </w:r>
      <w:proofErr w:type="spellStart"/>
      <w:r w:rsidRPr="002F4863">
        <w:rPr>
          <w:rFonts w:ascii="Verdana" w:hAnsi="Verdana"/>
          <w:i/>
          <w:sz w:val="18"/>
          <w:szCs w:val="18"/>
        </w:rPr>
        <w:t>Collaborative</w:t>
      </w:r>
      <w:proofErr w:type="spellEnd"/>
      <w:r w:rsidRPr="002F4863">
        <w:rPr>
          <w:rFonts w:ascii="Verdana" w:hAnsi="Verdana"/>
          <w:i/>
          <w:sz w:val="18"/>
          <w:szCs w:val="18"/>
        </w:rPr>
        <w:t xml:space="preserve"> Surveillance </w:t>
      </w:r>
      <w:proofErr w:type="spellStart"/>
      <w:r w:rsidRPr="002F4863">
        <w:rPr>
          <w:rFonts w:ascii="Verdana" w:hAnsi="Verdana"/>
          <w:i/>
          <w:sz w:val="18"/>
          <w:szCs w:val="18"/>
        </w:rPr>
        <w:t>Operational</w:t>
      </w:r>
      <w:proofErr w:type="spellEnd"/>
      <w:r w:rsidRPr="002F4863">
        <w:rPr>
          <w:rFonts w:ascii="Verdana" w:hAnsi="Verdana"/>
          <w:i/>
          <w:sz w:val="18"/>
          <w:szCs w:val="18"/>
        </w:rPr>
        <w:t xml:space="preserve"> Standard </w:t>
      </w:r>
      <w:r w:rsidRPr="002F4863">
        <w:rPr>
          <w:rFonts w:ascii="Verdana" w:hAnsi="Verdana"/>
          <w:sz w:val="18"/>
          <w:szCs w:val="18"/>
        </w:rPr>
        <w:t xml:space="preserve">(E-NACSOS) </w:t>
      </w:r>
      <w:r w:rsidR="001C4E01">
        <w:rPr>
          <w:rFonts w:ascii="Verdana" w:hAnsi="Verdana"/>
          <w:sz w:val="18"/>
          <w:szCs w:val="18"/>
        </w:rPr>
        <w:t>is ge</w:t>
      </w:r>
      <w:r w:rsidRPr="002F4863">
        <w:rPr>
          <w:rFonts w:ascii="Verdana" w:hAnsi="Verdana"/>
          <w:sz w:val="18"/>
          <w:szCs w:val="18"/>
        </w:rPr>
        <w:t xml:space="preserve">richt op het versterken van de luchtverdediging van marineschepen door middel van de uitwisseling van sensorinformatie over luchtdreigingen. Voor E-NACSOS zijn nog twee vervolgprojecten voorzien. Uiteindelijk kan de commandant van het vlootverband met deze drie projecten sneller en beter besluiten nemen over welke verdedigingsmiddelen van welke schepen worden ingezet tegen deze luchtdreigingen. Nederland wil de resultaten van deze projecten integreren in de nieuwe </w:t>
      </w:r>
      <w:r w:rsidRPr="002F4863">
        <w:rPr>
          <w:rFonts w:ascii="Verdana" w:hAnsi="Verdana"/>
          <w:i/>
          <w:sz w:val="18"/>
          <w:szCs w:val="18"/>
        </w:rPr>
        <w:t xml:space="preserve">Anti </w:t>
      </w:r>
      <w:proofErr w:type="spellStart"/>
      <w:r w:rsidRPr="002F4863">
        <w:rPr>
          <w:rFonts w:ascii="Verdana" w:hAnsi="Verdana"/>
          <w:i/>
          <w:sz w:val="18"/>
          <w:szCs w:val="18"/>
        </w:rPr>
        <w:t>Submarine</w:t>
      </w:r>
      <w:proofErr w:type="spellEnd"/>
      <w:r w:rsidRPr="002F4863">
        <w:rPr>
          <w:rFonts w:ascii="Verdana" w:hAnsi="Verdana"/>
          <w:i/>
          <w:sz w:val="18"/>
          <w:szCs w:val="18"/>
        </w:rPr>
        <w:t xml:space="preserve"> </w:t>
      </w:r>
      <w:proofErr w:type="spellStart"/>
      <w:r w:rsidRPr="002F4863">
        <w:rPr>
          <w:rFonts w:ascii="Verdana" w:hAnsi="Verdana"/>
          <w:i/>
          <w:sz w:val="18"/>
          <w:szCs w:val="18"/>
        </w:rPr>
        <w:t>Warfare</w:t>
      </w:r>
      <w:proofErr w:type="spellEnd"/>
      <w:r w:rsidRPr="002F4863">
        <w:rPr>
          <w:rFonts w:ascii="Verdana" w:hAnsi="Verdana"/>
          <w:sz w:val="18"/>
          <w:szCs w:val="18"/>
        </w:rPr>
        <w:t xml:space="preserve"> (ASW-)fregatten voor onderzeebootbestrijding en de nieuwe Luchtverdedigings- en Commandofregatten (LC-fregatten).</w:t>
      </w:r>
      <w:r>
        <w:rPr>
          <w:rStyle w:val="FootnoteReference"/>
          <w:rFonts w:ascii="Verdana" w:hAnsi="Verdana"/>
          <w:sz w:val="18"/>
          <w:szCs w:val="18"/>
        </w:rPr>
        <w:footnoteReference w:id="17"/>
      </w:r>
      <w:r>
        <w:rPr>
          <w:rFonts w:ascii="Verdana" w:hAnsi="Verdana"/>
          <w:sz w:val="18"/>
          <w:szCs w:val="18"/>
        </w:rPr>
        <w:t xml:space="preserve"> </w:t>
      </w:r>
      <w:r w:rsidRPr="002F4863">
        <w:rPr>
          <w:rFonts w:ascii="Verdana" w:hAnsi="Verdana"/>
          <w:sz w:val="18"/>
          <w:szCs w:val="18"/>
        </w:rPr>
        <w:t>Het projectbudget van E-NACSOS bedraagt € 101 miljoen waarvan € 65 miljoen afkomstig is van het EDF. De acht deelnemende landen waaronder Nederland betalen de rest. Vanuit Nederland voeren TNO en Thales Nederland opdrachten uit voor dit project.</w:t>
      </w:r>
    </w:p>
    <w:p w:rsidR="00BD3008" w:rsidP="00BD3008" w:rsidRDefault="00BD3008" w14:paraId="40F90E7A" w14:textId="77777777">
      <w:pPr>
        <w:pStyle w:val="ListParagraph"/>
        <w:jc w:val="both"/>
        <w:rPr>
          <w:rFonts w:ascii="Verdana" w:hAnsi="Verdana"/>
          <w:sz w:val="18"/>
          <w:szCs w:val="18"/>
        </w:rPr>
      </w:pPr>
    </w:p>
    <w:p w:rsidR="00BD3008" w:rsidP="00BD3008" w:rsidRDefault="001C4E01" w14:paraId="2DAD408E" w14:textId="7AF13CD4">
      <w:pPr>
        <w:pStyle w:val="ListParagraph"/>
        <w:numPr>
          <w:ilvl w:val="0"/>
          <w:numId w:val="14"/>
        </w:numPr>
        <w:jc w:val="both"/>
        <w:rPr>
          <w:rFonts w:ascii="Verdana" w:hAnsi="Verdana"/>
          <w:sz w:val="18"/>
          <w:szCs w:val="18"/>
        </w:rPr>
      </w:pPr>
      <w:r>
        <w:rPr>
          <w:rFonts w:ascii="Verdana" w:hAnsi="Verdana"/>
          <w:sz w:val="18"/>
          <w:szCs w:val="18"/>
        </w:rPr>
        <w:t>Met h</w:t>
      </w:r>
      <w:r w:rsidR="00BD3008">
        <w:rPr>
          <w:rFonts w:ascii="Verdana" w:hAnsi="Verdana"/>
          <w:sz w:val="18"/>
          <w:szCs w:val="18"/>
        </w:rPr>
        <w:t xml:space="preserve">et project </w:t>
      </w:r>
      <w:proofErr w:type="spellStart"/>
      <w:r w:rsidRPr="00A218FF" w:rsidR="00BD3008">
        <w:rPr>
          <w:rFonts w:ascii="Verdana" w:hAnsi="Verdana"/>
          <w:i/>
          <w:sz w:val="18"/>
          <w:szCs w:val="18"/>
        </w:rPr>
        <w:t>Hypersonic</w:t>
      </w:r>
      <w:proofErr w:type="spellEnd"/>
      <w:r w:rsidRPr="00A218FF" w:rsidR="00BD3008">
        <w:rPr>
          <w:rFonts w:ascii="Verdana" w:hAnsi="Verdana"/>
          <w:i/>
          <w:sz w:val="18"/>
          <w:szCs w:val="18"/>
        </w:rPr>
        <w:t xml:space="preserve"> </w:t>
      </w:r>
      <w:proofErr w:type="spellStart"/>
      <w:r w:rsidRPr="00A218FF" w:rsidR="00BD3008">
        <w:rPr>
          <w:rFonts w:ascii="Verdana" w:hAnsi="Verdana"/>
          <w:i/>
          <w:sz w:val="18"/>
          <w:szCs w:val="18"/>
        </w:rPr>
        <w:t>Defence</w:t>
      </w:r>
      <w:proofErr w:type="spellEnd"/>
      <w:r w:rsidRPr="00A218FF" w:rsidR="00BD3008">
        <w:rPr>
          <w:rFonts w:ascii="Verdana" w:hAnsi="Verdana"/>
          <w:i/>
          <w:sz w:val="18"/>
          <w:szCs w:val="18"/>
        </w:rPr>
        <w:t xml:space="preserve"> Interceptor System</w:t>
      </w:r>
      <w:r w:rsidRPr="00A218FF" w:rsidR="00BD3008">
        <w:rPr>
          <w:rFonts w:ascii="Verdana" w:hAnsi="Verdana"/>
          <w:sz w:val="18"/>
          <w:szCs w:val="18"/>
        </w:rPr>
        <w:t xml:space="preserve"> (HYDIS)</w:t>
      </w:r>
      <w:r w:rsidR="00BD3008">
        <w:rPr>
          <w:rFonts w:ascii="Verdana" w:hAnsi="Verdana"/>
          <w:sz w:val="18"/>
          <w:szCs w:val="18"/>
        </w:rPr>
        <w:t xml:space="preserve"> </w:t>
      </w:r>
      <w:r>
        <w:rPr>
          <w:rFonts w:ascii="Verdana" w:hAnsi="Verdana"/>
          <w:sz w:val="18"/>
          <w:szCs w:val="18"/>
        </w:rPr>
        <w:t>wordt</w:t>
      </w:r>
      <w:r w:rsidR="00BD3008">
        <w:rPr>
          <w:rFonts w:ascii="Verdana" w:hAnsi="Verdana"/>
          <w:sz w:val="18"/>
          <w:szCs w:val="18"/>
        </w:rPr>
        <w:t xml:space="preserve"> onderzoek</w:t>
      </w:r>
      <w:r>
        <w:rPr>
          <w:rFonts w:ascii="Verdana" w:hAnsi="Verdana"/>
          <w:sz w:val="18"/>
          <w:szCs w:val="18"/>
        </w:rPr>
        <w:t xml:space="preserve"> gedaan</w:t>
      </w:r>
      <w:r w:rsidR="00BD3008">
        <w:rPr>
          <w:rFonts w:ascii="Verdana" w:hAnsi="Verdana"/>
          <w:sz w:val="18"/>
          <w:szCs w:val="18"/>
        </w:rPr>
        <w:t xml:space="preserve"> naar de verdediging tegen hypersone raketten die met snelheden van meer dan vijf maal het geluid op hun doel afgaan. De vier deelnemende landen Duitsland, Frankrijk, Italië en Nederland financieren ongeveer € 60 miljoen en het EDF heeft € 80 miljoen beschikbaar gesteld. Het HYDIS-project voert nu een studie uit die moet leiden tot een concept voor de effectieve verdediging tegen hypersone wapens. Vanuit Nederland zijn GKN Fokker, Thales Nederland en TNO betrokken. Later volgen de technologische ontwikkeling en de voorbereidingen voor de industriële productie. Defensie zal de mogelijkheden voor verwerving bezien zodra operationeel inzetbare bewapening tegen hypersone raketten beschikbaar komt.</w:t>
      </w:r>
      <w:r w:rsidR="00BD3008">
        <w:rPr>
          <w:rStyle w:val="FootnoteReference"/>
          <w:rFonts w:ascii="Verdana" w:hAnsi="Verdana"/>
          <w:sz w:val="18"/>
          <w:szCs w:val="18"/>
        </w:rPr>
        <w:footnoteReference w:id="18"/>
      </w:r>
    </w:p>
    <w:p w:rsidR="00BD3008" w:rsidP="00BD3008" w:rsidRDefault="00BD3008" w14:paraId="6A924014" w14:textId="77777777">
      <w:pPr>
        <w:rPr>
          <w:rFonts w:ascii="Verdana" w:hAnsi="Verdana"/>
          <w:sz w:val="18"/>
          <w:szCs w:val="18"/>
        </w:rPr>
      </w:pPr>
      <w:r>
        <w:rPr>
          <w:rFonts w:ascii="Verdana" w:hAnsi="Verdana"/>
          <w:sz w:val="18"/>
          <w:szCs w:val="18"/>
        </w:rPr>
        <w:t xml:space="preserve">2.6 Nederland en OCCAR </w:t>
      </w:r>
    </w:p>
    <w:p w:rsidR="009B5FD8" w:rsidP="00BD3008" w:rsidRDefault="00BD3008" w14:paraId="57E867F8" w14:textId="50A62C65">
      <w:pPr>
        <w:rPr>
          <w:rFonts w:ascii="Verdana" w:hAnsi="Verdana"/>
          <w:sz w:val="18"/>
          <w:szCs w:val="18"/>
        </w:rPr>
      </w:pPr>
      <w:r>
        <w:rPr>
          <w:rFonts w:ascii="Verdana" w:hAnsi="Verdana"/>
          <w:sz w:val="18"/>
          <w:szCs w:val="18"/>
        </w:rPr>
        <w:t xml:space="preserve">In 1997 heeft de regering de Tweede Kamer geïnformeerd over het voornemen om </w:t>
      </w:r>
      <w:r w:rsidR="00A45FE6">
        <w:rPr>
          <w:rFonts w:ascii="Verdana" w:hAnsi="Verdana"/>
          <w:sz w:val="18"/>
          <w:szCs w:val="18"/>
        </w:rPr>
        <w:t xml:space="preserve">lid te worden van OCCAR door </w:t>
      </w:r>
      <w:r>
        <w:rPr>
          <w:rFonts w:ascii="Verdana" w:hAnsi="Verdana"/>
          <w:sz w:val="18"/>
          <w:szCs w:val="18"/>
        </w:rPr>
        <w:t xml:space="preserve">toe te treden tot </w:t>
      </w:r>
      <w:r w:rsidR="00A45FE6">
        <w:rPr>
          <w:rFonts w:ascii="Verdana" w:hAnsi="Verdana"/>
          <w:sz w:val="18"/>
          <w:szCs w:val="18"/>
        </w:rPr>
        <w:t xml:space="preserve">het </w:t>
      </w:r>
      <w:r>
        <w:rPr>
          <w:rFonts w:ascii="Verdana" w:hAnsi="Verdana"/>
          <w:sz w:val="18"/>
          <w:szCs w:val="18"/>
        </w:rPr>
        <w:t>OCCAR</w:t>
      </w:r>
      <w:r w:rsidR="00A45FE6">
        <w:rPr>
          <w:rFonts w:ascii="Verdana" w:hAnsi="Verdana"/>
          <w:sz w:val="18"/>
          <w:szCs w:val="18"/>
        </w:rPr>
        <w:t>-Verdrag</w:t>
      </w:r>
      <w:r>
        <w:rPr>
          <w:rFonts w:ascii="Verdana" w:hAnsi="Verdana"/>
          <w:sz w:val="18"/>
          <w:szCs w:val="18"/>
        </w:rPr>
        <w:t>.</w:t>
      </w:r>
      <w:r>
        <w:rPr>
          <w:rStyle w:val="FootnoteReference"/>
          <w:rFonts w:ascii="Verdana" w:hAnsi="Verdana"/>
          <w:sz w:val="18"/>
          <w:szCs w:val="18"/>
        </w:rPr>
        <w:footnoteReference w:id="19"/>
      </w:r>
      <w:r>
        <w:rPr>
          <w:rFonts w:ascii="Verdana" w:hAnsi="Verdana"/>
          <w:sz w:val="18"/>
          <w:szCs w:val="18"/>
        </w:rPr>
        <w:t xml:space="preserve"> </w:t>
      </w:r>
      <w:r w:rsidR="00A45FE6">
        <w:rPr>
          <w:rFonts w:ascii="Verdana" w:hAnsi="Verdana"/>
          <w:sz w:val="18"/>
          <w:szCs w:val="18"/>
        </w:rPr>
        <w:t xml:space="preserve">Nederland is destijds conform de bepalingen van het OCCAR-Verdrag uitgenodigd om lid te worden van OCCAR. </w:t>
      </w:r>
      <w:r w:rsidR="00222947">
        <w:rPr>
          <w:rFonts w:ascii="Verdana" w:hAnsi="Verdana"/>
          <w:sz w:val="18"/>
          <w:szCs w:val="18"/>
        </w:rPr>
        <w:t>De regering heeft daartoe</w:t>
      </w:r>
      <w:r w:rsidR="005D7698">
        <w:rPr>
          <w:rFonts w:ascii="Verdana" w:hAnsi="Verdana"/>
          <w:sz w:val="18"/>
          <w:szCs w:val="18"/>
        </w:rPr>
        <w:t xml:space="preserve"> in 2001</w:t>
      </w:r>
      <w:r w:rsidR="00222947">
        <w:rPr>
          <w:rFonts w:ascii="Verdana" w:hAnsi="Verdana"/>
          <w:sz w:val="18"/>
          <w:szCs w:val="18"/>
        </w:rPr>
        <w:t xml:space="preserve"> een wetsvoorstel tot goedkeuring van het OCCAR-Verdrag ingediend bij de Staten-Generaal</w:t>
      </w:r>
      <w:r>
        <w:rPr>
          <w:rFonts w:ascii="Verdana" w:hAnsi="Verdana"/>
          <w:sz w:val="18"/>
          <w:szCs w:val="18"/>
        </w:rPr>
        <w:t>.</w:t>
      </w:r>
      <w:r>
        <w:rPr>
          <w:rStyle w:val="FootnoteReference"/>
          <w:rFonts w:ascii="Verdana" w:hAnsi="Verdana"/>
          <w:sz w:val="18"/>
          <w:szCs w:val="18"/>
        </w:rPr>
        <w:footnoteReference w:id="20"/>
      </w:r>
      <w:r>
        <w:rPr>
          <w:rFonts w:ascii="Verdana" w:hAnsi="Verdana"/>
          <w:sz w:val="18"/>
          <w:szCs w:val="18"/>
        </w:rPr>
        <w:t xml:space="preserve"> Een jaar later heeft de toenmalige staatssecretaris van Defensie de Tweede Kamer verzocht </w:t>
      </w:r>
      <w:r w:rsidR="00BD1336">
        <w:rPr>
          <w:rFonts w:ascii="Verdana" w:hAnsi="Verdana"/>
          <w:sz w:val="18"/>
          <w:szCs w:val="18"/>
        </w:rPr>
        <w:t xml:space="preserve">het </w:t>
      </w:r>
      <w:r w:rsidR="00222947">
        <w:rPr>
          <w:rFonts w:ascii="Verdana" w:hAnsi="Verdana"/>
          <w:sz w:val="18"/>
          <w:szCs w:val="18"/>
        </w:rPr>
        <w:t>wets</w:t>
      </w:r>
      <w:r w:rsidR="00BD1336">
        <w:rPr>
          <w:rFonts w:ascii="Verdana" w:hAnsi="Verdana"/>
          <w:sz w:val="18"/>
          <w:szCs w:val="18"/>
        </w:rPr>
        <w:t>voorstel</w:t>
      </w:r>
      <w:r w:rsidR="00BD7B48">
        <w:rPr>
          <w:rFonts w:ascii="Verdana" w:hAnsi="Verdana"/>
          <w:sz w:val="18"/>
          <w:szCs w:val="18"/>
        </w:rPr>
        <w:t xml:space="preserve"> </w:t>
      </w:r>
      <w:r w:rsidR="004B1948">
        <w:rPr>
          <w:rFonts w:ascii="Verdana" w:hAnsi="Verdana"/>
          <w:sz w:val="18"/>
          <w:szCs w:val="18"/>
        </w:rPr>
        <w:t xml:space="preserve">voorlopig </w:t>
      </w:r>
      <w:r>
        <w:rPr>
          <w:rFonts w:ascii="Verdana" w:hAnsi="Verdana"/>
          <w:sz w:val="18"/>
          <w:szCs w:val="18"/>
        </w:rPr>
        <w:t xml:space="preserve">niet </w:t>
      </w:r>
      <w:r w:rsidR="004B1948">
        <w:rPr>
          <w:rFonts w:ascii="Verdana" w:hAnsi="Verdana"/>
          <w:sz w:val="18"/>
          <w:szCs w:val="18"/>
        </w:rPr>
        <w:t xml:space="preserve">verder </w:t>
      </w:r>
      <w:r w:rsidR="00DB4733">
        <w:rPr>
          <w:rFonts w:ascii="Verdana" w:hAnsi="Verdana"/>
          <w:sz w:val="18"/>
          <w:szCs w:val="18"/>
        </w:rPr>
        <w:t>in behandeling te nemen</w:t>
      </w:r>
      <w:r>
        <w:rPr>
          <w:rFonts w:ascii="Verdana" w:hAnsi="Verdana"/>
          <w:sz w:val="18"/>
          <w:szCs w:val="18"/>
        </w:rPr>
        <w:t>.</w:t>
      </w:r>
      <w:r>
        <w:rPr>
          <w:rStyle w:val="FootnoteReference"/>
          <w:rFonts w:ascii="Verdana" w:hAnsi="Verdana"/>
          <w:sz w:val="18"/>
          <w:szCs w:val="18"/>
        </w:rPr>
        <w:footnoteReference w:id="21"/>
      </w:r>
      <w:r>
        <w:rPr>
          <w:rFonts w:ascii="Verdana" w:hAnsi="Verdana"/>
          <w:sz w:val="18"/>
          <w:szCs w:val="18"/>
        </w:rPr>
        <w:t xml:space="preserve"> Dit verzoek kwam nadat meerdere fracties twijfels hadden geuit of het OCCAR-lidmaatschap met</w:t>
      </w:r>
      <w:r w:rsidR="0018139F">
        <w:rPr>
          <w:rFonts w:ascii="Verdana" w:hAnsi="Verdana"/>
          <w:sz w:val="18"/>
          <w:szCs w:val="18"/>
        </w:rPr>
        <w:t xml:space="preserve"> het streven naar de eerdergenoemde</w:t>
      </w:r>
      <w:r>
        <w:rPr>
          <w:rFonts w:ascii="Verdana" w:hAnsi="Verdana"/>
          <w:sz w:val="18"/>
          <w:szCs w:val="18"/>
        </w:rPr>
        <w:t xml:space="preserve"> </w:t>
      </w:r>
      <w:proofErr w:type="spellStart"/>
      <w:r w:rsidRPr="00CD2960">
        <w:rPr>
          <w:rFonts w:ascii="Verdana" w:hAnsi="Verdana"/>
          <w:i/>
          <w:sz w:val="18"/>
          <w:szCs w:val="18"/>
        </w:rPr>
        <w:t>global</w:t>
      </w:r>
      <w:proofErr w:type="spellEnd"/>
      <w:r w:rsidRPr="00CD2960">
        <w:rPr>
          <w:rFonts w:ascii="Verdana" w:hAnsi="Verdana"/>
          <w:i/>
          <w:sz w:val="18"/>
          <w:szCs w:val="18"/>
        </w:rPr>
        <w:t xml:space="preserve"> </w:t>
      </w:r>
      <w:proofErr w:type="spellStart"/>
      <w:r w:rsidRPr="00CD2960">
        <w:rPr>
          <w:rFonts w:ascii="Verdana" w:hAnsi="Verdana"/>
          <w:i/>
          <w:sz w:val="18"/>
          <w:szCs w:val="18"/>
        </w:rPr>
        <w:t>balance</w:t>
      </w:r>
      <w:proofErr w:type="spellEnd"/>
      <w:r>
        <w:rPr>
          <w:rFonts w:ascii="Verdana" w:hAnsi="Verdana"/>
          <w:sz w:val="18"/>
          <w:szCs w:val="18"/>
        </w:rPr>
        <w:t xml:space="preserve"> gunstig zou uitpakken voor de Nederlandse industrie.</w:t>
      </w:r>
      <w:r>
        <w:rPr>
          <w:rStyle w:val="FootnoteReference"/>
          <w:rFonts w:ascii="Verdana" w:hAnsi="Verdana"/>
          <w:sz w:val="18"/>
          <w:szCs w:val="18"/>
        </w:rPr>
        <w:footnoteReference w:id="22"/>
      </w:r>
      <w:r>
        <w:rPr>
          <w:rFonts w:ascii="Verdana" w:hAnsi="Verdana"/>
          <w:sz w:val="18"/>
          <w:szCs w:val="18"/>
        </w:rPr>
        <w:t xml:space="preserve"> </w:t>
      </w:r>
    </w:p>
    <w:p w:rsidR="00746B80" w:rsidP="00746B80" w:rsidRDefault="00746B80" w14:paraId="34A7E775" w14:textId="6EE9FBD4">
      <w:pPr>
        <w:rPr>
          <w:rFonts w:ascii="Verdana" w:hAnsi="Verdana"/>
          <w:sz w:val="18"/>
          <w:szCs w:val="18"/>
        </w:rPr>
      </w:pPr>
      <w:r>
        <w:rPr>
          <w:rFonts w:ascii="Verdana" w:hAnsi="Verdana"/>
          <w:sz w:val="18"/>
          <w:szCs w:val="18"/>
        </w:rPr>
        <w:t>In 2023 heeft de regering de Tweede Kamer geïnformeerd o</w:t>
      </w:r>
      <w:r w:rsidRPr="00835E2E" w:rsidR="00835E2E">
        <w:rPr>
          <w:rFonts w:ascii="Verdana" w:hAnsi="Verdana"/>
          <w:sz w:val="18"/>
          <w:szCs w:val="18"/>
        </w:rPr>
        <w:t xml:space="preserve">ver </w:t>
      </w:r>
      <w:r w:rsidR="00E728CC">
        <w:rPr>
          <w:rFonts w:ascii="Verdana" w:hAnsi="Verdana"/>
          <w:sz w:val="18"/>
          <w:szCs w:val="18"/>
        </w:rPr>
        <w:t xml:space="preserve">de hervatting van de toetredingsprocedure </w:t>
      </w:r>
      <w:r w:rsidR="0077176E">
        <w:rPr>
          <w:rFonts w:ascii="Verdana" w:hAnsi="Verdana"/>
          <w:sz w:val="18"/>
          <w:szCs w:val="18"/>
        </w:rPr>
        <w:t>tot</w:t>
      </w:r>
      <w:r w:rsidRPr="00835E2E" w:rsidR="00835E2E">
        <w:rPr>
          <w:rFonts w:ascii="Verdana" w:hAnsi="Verdana"/>
          <w:sz w:val="18"/>
          <w:szCs w:val="18"/>
        </w:rPr>
        <w:t xml:space="preserve"> OCCAR.</w:t>
      </w:r>
      <w:r w:rsidR="00835E2E">
        <w:rPr>
          <w:rStyle w:val="FootnoteReference"/>
          <w:rFonts w:ascii="Verdana" w:hAnsi="Verdana"/>
          <w:sz w:val="18"/>
          <w:szCs w:val="18"/>
        </w:rPr>
        <w:footnoteReference w:id="23"/>
      </w:r>
      <w:r>
        <w:rPr>
          <w:rFonts w:ascii="Verdana" w:hAnsi="Verdana"/>
          <w:sz w:val="18"/>
          <w:szCs w:val="18"/>
        </w:rPr>
        <w:t xml:space="preserve"> </w:t>
      </w:r>
      <w:r w:rsidR="00BD3008">
        <w:rPr>
          <w:rFonts w:ascii="Verdana" w:hAnsi="Verdana"/>
          <w:sz w:val="18"/>
          <w:szCs w:val="18"/>
        </w:rPr>
        <w:t xml:space="preserve">De huidige lidstaten </w:t>
      </w:r>
      <w:r>
        <w:rPr>
          <w:rFonts w:ascii="Verdana" w:hAnsi="Verdana"/>
          <w:sz w:val="18"/>
          <w:szCs w:val="18"/>
        </w:rPr>
        <w:t xml:space="preserve">van OCCAR verwelkomen </w:t>
      </w:r>
      <w:r w:rsidR="00D161CA">
        <w:rPr>
          <w:rFonts w:ascii="Verdana" w:hAnsi="Verdana"/>
          <w:sz w:val="18"/>
          <w:szCs w:val="18"/>
        </w:rPr>
        <w:t>deze stap</w:t>
      </w:r>
      <w:r w:rsidR="00DE1BA4">
        <w:rPr>
          <w:rFonts w:ascii="Verdana" w:hAnsi="Verdana"/>
          <w:sz w:val="18"/>
          <w:szCs w:val="18"/>
        </w:rPr>
        <w:t xml:space="preserve"> en in </w:t>
      </w:r>
      <w:r w:rsidR="00BD3008">
        <w:rPr>
          <w:rFonts w:ascii="Verdana" w:hAnsi="Verdana"/>
          <w:sz w:val="18"/>
          <w:szCs w:val="18"/>
        </w:rPr>
        <w:t>februari 2025 heeft Nederland de in artikel 53 van het OCCAR-</w:t>
      </w:r>
      <w:r w:rsidR="00E13256">
        <w:rPr>
          <w:rFonts w:ascii="Verdana" w:hAnsi="Verdana"/>
          <w:sz w:val="18"/>
          <w:szCs w:val="18"/>
        </w:rPr>
        <w:t>V</w:t>
      </w:r>
      <w:r w:rsidR="00BD3008">
        <w:rPr>
          <w:rFonts w:ascii="Verdana" w:hAnsi="Verdana"/>
          <w:sz w:val="18"/>
          <w:szCs w:val="18"/>
        </w:rPr>
        <w:t>erdrag bedoelde uitnodiging ontvangen om toe te treden tot het OCCAR-</w:t>
      </w:r>
      <w:r w:rsidR="004B1948">
        <w:rPr>
          <w:rFonts w:ascii="Verdana" w:hAnsi="Verdana"/>
          <w:sz w:val="18"/>
          <w:szCs w:val="18"/>
        </w:rPr>
        <w:t>V</w:t>
      </w:r>
      <w:r w:rsidR="00BD3008">
        <w:rPr>
          <w:rFonts w:ascii="Verdana" w:hAnsi="Verdana"/>
          <w:sz w:val="18"/>
          <w:szCs w:val="18"/>
        </w:rPr>
        <w:t xml:space="preserve">erdrag en het </w:t>
      </w:r>
      <w:r w:rsidR="00222947">
        <w:rPr>
          <w:rFonts w:ascii="Verdana" w:hAnsi="Verdana"/>
          <w:sz w:val="18"/>
          <w:szCs w:val="18"/>
        </w:rPr>
        <w:t xml:space="preserve">in de tussenliggende periode tot stand gekomen </w:t>
      </w:r>
      <w:r w:rsidR="00BD3008">
        <w:rPr>
          <w:rFonts w:ascii="Verdana" w:hAnsi="Verdana"/>
          <w:sz w:val="18"/>
          <w:szCs w:val="18"/>
        </w:rPr>
        <w:t>OCCAR-</w:t>
      </w:r>
      <w:r w:rsidR="004B1948">
        <w:rPr>
          <w:rFonts w:ascii="Verdana" w:hAnsi="Verdana"/>
          <w:sz w:val="18"/>
          <w:szCs w:val="18"/>
        </w:rPr>
        <w:t>B</w:t>
      </w:r>
      <w:r w:rsidR="00BD3008">
        <w:rPr>
          <w:rFonts w:ascii="Verdana" w:hAnsi="Verdana"/>
          <w:sz w:val="18"/>
          <w:szCs w:val="18"/>
        </w:rPr>
        <w:t>eveiligingsverdrag.</w:t>
      </w:r>
      <w:r w:rsidR="00A06CF3">
        <w:rPr>
          <w:rFonts w:ascii="Verdana" w:hAnsi="Verdana"/>
          <w:sz w:val="18"/>
          <w:szCs w:val="18"/>
        </w:rPr>
        <w:t xml:space="preserve"> </w:t>
      </w:r>
    </w:p>
    <w:p w:rsidR="00BD3008" w:rsidP="00BD3008" w:rsidRDefault="00BD3008" w14:paraId="359D731D" w14:textId="587BB560">
      <w:pPr>
        <w:rPr>
          <w:rFonts w:ascii="Verdana" w:hAnsi="Verdana"/>
          <w:sz w:val="18"/>
          <w:szCs w:val="18"/>
        </w:rPr>
      </w:pPr>
      <w:r>
        <w:rPr>
          <w:rFonts w:ascii="Verdana" w:hAnsi="Verdana"/>
          <w:sz w:val="18"/>
          <w:szCs w:val="18"/>
        </w:rPr>
        <w:lastRenderedPageBreak/>
        <w:t xml:space="preserve">De internationale omstandigheden zijn sinds 2002 sterk gewijzigd. Toentertijd was sprake van krimpende </w:t>
      </w:r>
      <w:r w:rsidR="00643F73">
        <w:rPr>
          <w:rFonts w:ascii="Verdana" w:hAnsi="Verdana"/>
          <w:sz w:val="18"/>
          <w:szCs w:val="18"/>
        </w:rPr>
        <w:t>defensie</w:t>
      </w:r>
      <w:r>
        <w:rPr>
          <w:rFonts w:ascii="Verdana" w:hAnsi="Verdana"/>
          <w:sz w:val="18"/>
          <w:szCs w:val="18"/>
        </w:rPr>
        <w:t xml:space="preserve">budgetten en een krimpende krijgsmacht. </w:t>
      </w:r>
      <w:r w:rsidR="009B5FD8">
        <w:rPr>
          <w:rFonts w:ascii="Verdana" w:hAnsi="Verdana"/>
          <w:sz w:val="18"/>
          <w:szCs w:val="18"/>
        </w:rPr>
        <w:t>H</w:t>
      </w:r>
      <w:r>
        <w:rPr>
          <w:rFonts w:ascii="Verdana" w:hAnsi="Verdana"/>
          <w:sz w:val="18"/>
          <w:szCs w:val="18"/>
        </w:rPr>
        <w:t xml:space="preserve">et streven </w:t>
      </w:r>
      <w:r w:rsidR="009B5FD8">
        <w:rPr>
          <w:rFonts w:ascii="Verdana" w:hAnsi="Verdana"/>
          <w:sz w:val="18"/>
          <w:szCs w:val="18"/>
        </w:rPr>
        <w:t xml:space="preserve">van de regering was </w:t>
      </w:r>
      <w:r>
        <w:rPr>
          <w:rFonts w:ascii="Verdana" w:hAnsi="Verdana"/>
          <w:sz w:val="18"/>
          <w:szCs w:val="18"/>
        </w:rPr>
        <w:t>veelal om de bestaande Nederlandse defensie-industrie zoveel mogelijk overeind te houden. In die tijd werd Europese materieelsamenwerking niet alleen gezien als een kans maar ook</w:t>
      </w:r>
      <w:r w:rsidR="00BC74FD">
        <w:rPr>
          <w:rFonts w:ascii="Verdana" w:hAnsi="Verdana"/>
          <w:sz w:val="18"/>
          <w:szCs w:val="18"/>
        </w:rPr>
        <w:t>, zo bleek,</w:t>
      </w:r>
      <w:r>
        <w:rPr>
          <w:rFonts w:ascii="Verdana" w:hAnsi="Verdana"/>
          <w:sz w:val="18"/>
          <w:szCs w:val="18"/>
        </w:rPr>
        <w:t xml:space="preserve"> als een risico voor de positie van de nationale </w:t>
      </w:r>
      <w:r w:rsidR="00F36AAB">
        <w:rPr>
          <w:rFonts w:ascii="Verdana" w:hAnsi="Verdana"/>
          <w:sz w:val="18"/>
          <w:szCs w:val="18"/>
        </w:rPr>
        <w:t>defensie-</w:t>
      </w:r>
      <w:r>
        <w:rPr>
          <w:rFonts w:ascii="Verdana" w:hAnsi="Verdana"/>
          <w:sz w:val="18"/>
          <w:szCs w:val="18"/>
        </w:rPr>
        <w:t xml:space="preserve">industrie. </w:t>
      </w:r>
    </w:p>
    <w:p w:rsidR="00C42667" w:rsidP="00BD3008" w:rsidRDefault="00E40364" w14:paraId="4450EF8B" w14:textId="17A480C4">
      <w:pPr>
        <w:rPr>
          <w:rFonts w:ascii="Verdana" w:hAnsi="Verdana"/>
          <w:sz w:val="18"/>
          <w:szCs w:val="18"/>
        </w:rPr>
      </w:pPr>
      <w:r>
        <w:rPr>
          <w:rFonts w:ascii="Verdana" w:hAnsi="Verdana"/>
          <w:sz w:val="18"/>
          <w:szCs w:val="18"/>
        </w:rPr>
        <w:t xml:space="preserve">Door de </w:t>
      </w:r>
      <w:r w:rsidR="003765E8">
        <w:rPr>
          <w:rFonts w:ascii="Verdana" w:hAnsi="Verdana"/>
          <w:sz w:val="18"/>
          <w:szCs w:val="18"/>
        </w:rPr>
        <w:t>verslechterde veiligheidssituatie in Europa</w:t>
      </w:r>
      <w:r w:rsidR="009B6F83">
        <w:rPr>
          <w:rFonts w:ascii="Verdana" w:hAnsi="Verdana"/>
          <w:sz w:val="18"/>
          <w:szCs w:val="18"/>
        </w:rPr>
        <w:t xml:space="preserve"> zijn er meerdere redenen</w:t>
      </w:r>
      <w:r w:rsidR="0013667B">
        <w:rPr>
          <w:rFonts w:ascii="Verdana" w:hAnsi="Verdana"/>
          <w:sz w:val="18"/>
          <w:szCs w:val="18"/>
        </w:rPr>
        <w:t xml:space="preserve"> </w:t>
      </w:r>
      <w:r w:rsidRPr="00953F62" w:rsidR="0013667B">
        <w:rPr>
          <w:rFonts w:ascii="Verdana" w:hAnsi="Verdana"/>
          <w:sz w:val="18"/>
          <w:szCs w:val="18"/>
        </w:rPr>
        <w:t>om alsnog lid te worden van OCCAR.</w:t>
      </w:r>
      <w:r w:rsidRPr="00953F62" w:rsidR="002E6819">
        <w:rPr>
          <w:rFonts w:ascii="Verdana" w:hAnsi="Verdana"/>
          <w:sz w:val="18"/>
          <w:szCs w:val="18"/>
        </w:rPr>
        <w:t xml:space="preserve"> </w:t>
      </w:r>
      <w:r w:rsidRPr="00953F62" w:rsidR="00E3605B">
        <w:rPr>
          <w:rFonts w:ascii="Verdana" w:hAnsi="Verdana"/>
          <w:sz w:val="18"/>
          <w:szCs w:val="18"/>
        </w:rPr>
        <w:t xml:space="preserve">Versterking van de </w:t>
      </w:r>
      <w:r w:rsidRPr="00953F62" w:rsidR="002E6819">
        <w:rPr>
          <w:rFonts w:ascii="Verdana" w:hAnsi="Verdana"/>
          <w:sz w:val="18"/>
          <w:szCs w:val="18"/>
        </w:rPr>
        <w:t>Europese defensiesamenwerking is van groot belang.</w:t>
      </w:r>
      <w:r w:rsidRPr="00953F62" w:rsidR="0013667B">
        <w:rPr>
          <w:rFonts w:ascii="Verdana" w:hAnsi="Verdana"/>
          <w:sz w:val="18"/>
          <w:szCs w:val="18"/>
        </w:rPr>
        <w:t xml:space="preserve"> </w:t>
      </w:r>
      <w:r w:rsidRPr="00953F62" w:rsidR="00C42667">
        <w:rPr>
          <w:rFonts w:ascii="Verdana" w:hAnsi="Verdana"/>
          <w:sz w:val="18"/>
          <w:szCs w:val="18"/>
        </w:rPr>
        <w:t xml:space="preserve">De urgentie is toegenomen om behoeften te harmoniseren en (NAVO-)standaarden toe te passen ten gunste van de interoperabiliteit of zelfs uitwisselbaarheid van het materieel. </w:t>
      </w:r>
      <w:r w:rsidR="0018139F">
        <w:rPr>
          <w:rFonts w:ascii="Verdana" w:hAnsi="Verdana"/>
          <w:sz w:val="18"/>
          <w:szCs w:val="18"/>
        </w:rPr>
        <w:t>B</w:t>
      </w:r>
      <w:r w:rsidRPr="00953F62" w:rsidR="00C42667">
        <w:rPr>
          <w:rFonts w:ascii="Verdana" w:hAnsi="Verdana"/>
          <w:sz w:val="18"/>
          <w:szCs w:val="18"/>
        </w:rPr>
        <w:t xml:space="preserve">ij gezamenlijk optreden </w:t>
      </w:r>
      <w:r w:rsidR="0018139F">
        <w:rPr>
          <w:rFonts w:ascii="Verdana" w:hAnsi="Verdana"/>
          <w:sz w:val="18"/>
          <w:szCs w:val="18"/>
        </w:rPr>
        <w:t xml:space="preserve">neemt </w:t>
      </w:r>
      <w:r w:rsidRPr="00953F62" w:rsidR="00C42667">
        <w:rPr>
          <w:rFonts w:ascii="Verdana" w:hAnsi="Verdana"/>
          <w:sz w:val="18"/>
          <w:szCs w:val="18"/>
        </w:rPr>
        <w:t xml:space="preserve">de operationele effectiviteit toe en wordt het onderhoud eenvoudiger. </w:t>
      </w:r>
      <w:r w:rsidRPr="00953F62" w:rsidR="003765E8">
        <w:rPr>
          <w:rFonts w:ascii="Verdana" w:hAnsi="Verdana"/>
          <w:sz w:val="18"/>
          <w:szCs w:val="18"/>
        </w:rPr>
        <w:t xml:space="preserve">De </w:t>
      </w:r>
      <w:r w:rsidR="00C42667">
        <w:rPr>
          <w:rFonts w:ascii="Verdana" w:hAnsi="Verdana"/>
          <w:sz w:val="18"/>
          <w:szCs w:val="18"/>
        </w:rPr>
        <w:t xml:space="preserve">gezamenlijke </w:t>
      </w:r>
      <w:r w:rsidRPr="00953F62" w:rsidR="003765E8">
        <w:rPr>
          <w:rFonts w:ascii="Verdana" w:hAnsi="Verdana"/>
          <w:sz w:val="18"/>
          <w:szCs w:val="18"/>
        </w:rPr>
        <w:t>aanschaf van materieel via OCCAR</w:t>
      </w:r>
      <w:r w:rsidR="00C42667">
        <w:rPr>
          <w:rFonts w:ascii="Verdana" w:hAnsi="Verdana"/>
          <w:sz w:val="18"/>
          <w:szCs w:val="18"/>
        </w:rPr>
        <w:t xml:space="preserve"> sluit hierbij aan.</w:t>
      </w:r>
      <w:r w:rsidRPr="00953F62" w:rsidR="003765E8">
        <w:rPr>
          <w:rFonts w:ascii="Verdana" w:hAnsi="Verdana"/>
          <w:sz w:val="18"/>
          <w:szCs w:val="18"/>
        </w:rPr>
        <w:t xml:space="preserve"> </w:t>
      </w:r>
    </w:p>
    <w:p w:rsidR="00320AC1" w:rsidP="00320AC1" w:rsidRDefault="00320AC1" w14:paraId="3430E6C0" w14:textId="77777777">
      <w:pPr>
        <w:rPr>
          <w:rFonts w:ascii="Verdana" w:hAnsi="Verdana"/>
          <w:sz w:val="18"/>
          <w:szCs w:val="18"/>
        </w:rPr>
      </w:pPr>
      <w:r>
        <w:rPr>
          <w:rFonts w:ascii="Verdana" w:hAnsi="Verdana"/>
          <w:sz w:val="18"/>
          <w:szCs w:val="18"/>
        </w:rPr>
        <w:t xml:space="preserve">Het coalitieakkoord onderstreept de noodzaak van diepere Europese defensiesamenwerking: “Nederland en Europa moeten weerbaar worden.” Het coalitieakkoord bevat het streven om 40 procent van onze defensieaankopen en productie gezamenlijk met Europese partners te doen. Ook is het streven om 50 procent in te kopen bij Nederlandse en Europese ondernemers (inclusief licentieproductie en onderhoud). Het OCCAR-lidmaatschap draagt bij aan deze doelstellingen. </w:t>
      </w:r>
    </w:p>
    <w:p w:rsidR="0013667B" w:rsidP="00BD3008" w:rsidRDefault="002E6819" w14:paraId="1A8F0A83" w14:textId="25CE1ECA">
      <w:pPr>
        <w:rPr>
          <w:rFonts w:ascii="Verdana" w:hAnsi="Verdana"/>
          <w:sz w:val="18"/>
          <w:szCs w:val="18"/>
        </w:rPr>
      </w:pPr>
      <w:r w:rsidRPr="00953F62">
        <w:rPr>
          <w:rFonts w:ascii="Verdana" w:hAnsi="Verdana"/>
          <w:sz w:val="18"/>
          <w:szCs w:val="18"/>
        </w:rPr>
        <w:t>Door lid te worden van OCCAR krijgt</w:t>
      </w:r>
      <w:r>
        <w:rPr>
          <w:rFonts w:ascii="Verdana" w:hAnsi="Verdana"/>
          <w:sz w:val="18"/>
          <w:szCs w:val="18"/>
        </w:rPr>
        <w:t xml:space="preserve"> Nederland meer invloed op de OCCAR-pro</w:t>
      </w:r>
      <w:r w:rsidR="003F0E26">
        <w:rPr>
          <w:rFonts w:ascii="Verdana" w:hAnsi="Verdana"/>
          <w:sz w:val="18"/>
          <w:szCs w:val="18"/>
        </w:rPr>
        <w:t>jecten</w:t>
      </w:r>
      <w:r w:rsidR="00C42667">
        <w:rPr>
          <w:rFonts w:ascii="Verdana" w:hAnsi="Verdana"/>
          <w:sz w:val="18"/>
          <w:szCs w:val="18"/>
        </w:rPr>
        <w:t xml:space="preserve"> en kan </w:t>
      </w:r>
      <w:r w:rsidR="003F0E26">
        <w:rPr>
          <w:rFonts w:ascii="Verdana" w:hAnsi="Verdana"/>
          <w:sz w:val="18"/>
          <w:szCs w:val="18"/>
        </w:rPr>
        <w:t xml:space="preserve">ons land </w:t>
      </w:r>
      <w:r w:rsidR="00C42667">
        <w:rPr>
          <w:rFonts w:ascii="Verdana" w:hAnsi="Verdana"/>
          <w:sz w:val="18"/>
          <w:szCs w:val="18"/>
        </w:rPr>
        <w:t>zodoende het materieel nog beter laten aansluiten op de Nederlandse behoeften</w:t>
      </w:r>
      <w:r>
        <w:rPr>
          <w:rFonts w:ascii="Verdana" w:hAnsi="Verdana"/>
          <w:sz w:val="18"/>
          <w:szCs w:val="18"/>
        </w:rPr>
        <w:t>.</w:t>
      </w:r>
      <w:r w:rsidR="003765E8">
        <w:rPr>
          <w:rFonts w:ascii="Verdana" w:hAnsi="Verdana"/>
          <w:sz w:val="18"/>
          <w:szCs w:val="18"/>
        </w:rPr>
        <w:t xml:space="preserve"> </w:t>
      </w:r>
      <w:r>
        <w:rPr>
          <w:rFonts w:ascii="Verdana" w:hAnsi="Verdana"/>
          <w:sz w:val="18"/>
          <w:szCs w:val="18"/>
        </w:rPr>
        <w:t>Verder neem</w:t>
      </w:r>
      <w:r w:rsidR="00D77B46">
        <w:rPr>
          <w:rFonts w:ascii="Verdana" w:hAnsi="Verdana"/>
          <w:sz w:val="18"/>
          <w:szCs w:val="18"/>
        </w:rPr>
        <w:t>t</w:t>
      </w:r>
      <w:r>
        <w:rPr>
          <w:rFonts w:ascii="Verdana" w:hAnsi="Verdana"/>
          <w:sz w:val="18"/>
          <w:szCs w:val="18"/>
        </w:rPr>
        <w:t xml:space="preserve"> </w:t>
      </w:r>
      <w:r w:rsidR="003765E8">
        <w:rPr>
          <w:rFonts w:ascii="Verdana" w:hAnsi="Verdana"/>
          <w:sz w:val="18"/>
          <w:szCs w:val="18"/>
        </w:rPr>
        <w:t xml:space="preserve">OCCAR </w:t>
      </w:r>
      <w:r>
        <w:rPr>
          <w:rFonts w:ascii="Verdana" w:hAnsi="Verdana"/>
          <w:sz w:val="18"/>
          <w:szCs w:val="18"/>
        </w:rPr>
        <w:t xml:space="preserve">de deelnemende landen </w:t>
      </w:r>
      <w:r w:rsidR="003765E8">
        <w:rPr>
          <w:rFonts w:ascii="Verdana" w:hAnsi="Verdana"/>
          <w:sz w:val="18"/>
          <w:szCs w:val="18"/>
        </w:rPr>
        <w:t>werk uit handen met de uitvoering van het projectmanagement. Op dit gebied heeft OCCAR een goede staat van dienst opgebouwd.</w:t>
      </w:r>
    </w:p>
    <w:p w:rsidR="00643F73" w:rsidP="00C42667" w:rsidRDefault="003765E8" w14:paraId="0541A876" w14:textId="24CE5F31">
      <w:pPr>
        <w:pStyle w:val="NormalWeb"/>
        <w:spacing w:before="0" w:beforeAutospacing="0" w:after="160" w:afterAutospacing="0" w:line="259" w:lineRule="auto"/>
        <w:jc w:val="both"/>
        <w:rPr>
          <w:rFonts w:ascii="Verdana" w:hAnsi="Verdana"/>
          <w:sz w:val="18"/>
          <w:szCs w:val="18"/>
        </w:rPr>
      </w:pPr>
      <w:r>
        <w:rPr>
          <w:rFonts w:ascii="Verdana" w:hAnsi="Verdana"/>
          <w:sz w:val="18"/>
          <w:szCs w:val="18"/>
        </w:rPr>
        <w:t xml:space="preserve">Ook vanuit </w:t>
      </w:r>
      <w:r w:rsidR="00E3605B">
        <w:rPr>
          <w:rFonts w:ascii="Verdana" w:hAnsi="Verdana"/>
          <w:sz w:val="18"/>
          <w:szCs w:val="18"/>
        </w:rPr>
        <w:t xml:space="preserve">het </w:t>
      </w:r>
      <w:r w:rsidR="002E6819">
        <w:rPr>
          <w:rFonts w:ascii="Verdana" w:hAnsi="Verdana"/>
          <w:sz w:val="18"/>
          <w:szCs w:val="18"/>
        </w:rPr>
        <w:t>o</w:t>
      </w:r>
      <w:r>
        <w:rPr>
          <w:rFonts w:ascii="Verdana" w:hAnsi="Verdana"/>
          <w:sz w:val="18"/>
          <w:szCs w:val="18"/>
        </w:rPr>
        <w:t xml:space="preserve">ogpunt </w:t>
      </w:r>
      <w:r w:rsidR="002E6819">
        <w:rPr>
          <w:rFonts w:ascii="Verdana" w:hAnsi="Verdana"/>
          <w:sz w:val="18"/>
          <w:szCs w:val="18"/>
        </w:rPr>
        <w:t xml:space="preserve">van economie en industrie </w:t>
      </w:r>
      <w:r>
        <w:rPr>
          <w:rFonts w:ascii="Verdana" w:hAnsi="Verdana"/>
          <w:sz w:val="18"/>
          <w:szCs w:val="18"/>
        </w:rPr>
        <w:t xml:space="preserve">is het lidmaatschap van OCCAR een goede keuze. </w:t>
      </w:r>
      <w:r w:rsidR="002E6819">
        <w:rPr>
          <w:rFonts w:ascii="Verdana" w:hAnsi="Verdana"/>
          <w:sz w:val="18"/>
          <w:szCs w:val="18"/>
        </w:rPr>
        <w:t>Een sterke(re) Nederlandse defensie-industrie is onmisbaar voor de nationale veiligheid</w:t>
      </w:r>
      <w:r w:rsidR="00320AC1">
        <w:rPr>
          <w:rFonts w:ascii="Verdana" w:hAnsi="Verdana"/>
          <w:sz w:val="18"/>
          <w:szCs w:val="18"/>
        </w:rPr>
        <w:t>, zoals hierboven reeds vermeld</w:t>
      </w:r>
      <w:r w:rsidR="002E6819">
        <w:rPr>
          <w:rFonts w:ascii="Verdana" w:hAnsi="Verdana"/>
          <w:sz w:val="18"/>
          <w:szCs w:val="18"/>
        </w:rPr>
        <w:t>. Met de stijgende defensiebudgetten in Europa is d</w:t>
      </w:r>
      <w:r w:rsidR="00BD3008">
        <w:rPr>
          <w:rFonts w:ascii="Verdana" w:hAnsi="Verdana"/>
          <w:sz w:val="18"/>
          <w:szCs w:val="18"/>
        </w:rPr>
        <w:t>e uitdaging voor de regering niet meer</w:t>
      </w:r>
      <w:r>
        <w:rPr>
          <w:rFonts w:ascii="Verdana" w:hAnsi="Verdana"/>
          <w:sz w:val="18"/>
          <w:szCs w:val="18"/>
        </w:rPr>
        <w:t>, zoals ruim twintig jaar geleden,</w:t>
      </w:r>
      <w:r w:rsidR="00BD3008">
        <w:rPr>
          <w:rFonts w:ascii="Verdana" w:hAnsi="Verdana"/>
          <w:sz w:val="18"/>
          <w:szCs w:val="18"/>
        </w:rPr>
        <w:t xml:space="preserve"> om de defensie-industrie </w:t>
      </w:r>
      <w:r w:rsidR="00D161CA">
        <w:rPr>
          <w:rFonts w:ascii="Verdana" w:hAnsi="Verdana"/>
          <w:sz w:val="18"/>
          <w:szCs w:val="18"/>
        </w:rPr>
        <w:t>te behoeden voor krimp</w:t>
      </w:r>
      <w:r w:rsidR="00BD3008">
        <w:rPr>
          <w:rFonts w:ascii="Verdana" w:hAnsi="Verdana"/>
          <w:sz w:val="18"/>
          <w:szCs w:val="18"/>
        </w:rPr>
        <w:t xml:space="preserve"> maar om die te versterken en </w:t>
      </w:r>
      <w:r w:rsidR="00D161CA">
        <w:rPr>
          <w:rFonts w:ascii="Verdana" w:hAnsi="Verdana"/>
          <w:sz w:val="18"/>
          <w:szCs w:val="18"/>
        </w:rPr>
        <w:t xml:space="preserve">internationaal </w:t>
      </w:r>
      <w:r w:rsidR="00E663C8">
        <w:rPr>
          <w:rFonts w:ascii="Verdana" w:hAnsi="Verdana"/>
          <w:sz w:val="18"/>
          <w:szCs w:val="18"/>
        </w:rPr>
        <w:t xml:space="preserve">nog </w:t>
      </w:r>
      <w:r w:rsidR="00643F73">
        <w:rPr>
          <w:rFonts w:ascii="Verdana" w:hAnsi="Verdana"/>
          <w:sz w:val="18"/>
          <w:szCs w:val="18"/>
        </w:rPr>
        <w:t xml:space="preserve">beter </w:t>
      </w:r>
      <w:r w:rsidR="00D161CA">
        <w:rPr>
          <w:rFonts w:ascii="Verdana" w:hAnsi="Verdana"/>
          <w:sz w:val="18"/>
          <w:szCs w:val="18"/>
        </w:rPr>
        <w:t>te positioneren</w:t>
      </w:r>
      <w:r>
        <w:rPr>
          <w:rFonts w:ascii="Verdana" w:hAnsi="Verdana"/>
          <w:sz w:val="18"/>
          <w:szCs w:val="18"/>
        </w:rPr>
        <w:t xml:space="preserve">. De regering doet dat </w:t>
      </w:r>
      <w:r w:rsidR="00BD3008">
        <w:rPr>
          <w:rFonts w:ascii="Verdana" w:hAnsi="Verdana"/>
          <w:sz w:val="18"/>
          <w:szCs w:val="18"/>
        </w:rPr>
        <w:t xml:space="preserve">onder meer langs de lijnen van het ‘industrieversterkend aankopen’ zoals uiteengezet in de D-SII. OCCAR kan </w:t>
      </w:r>
      <w:r w:rsidR="00E663C8">
        <w:rPr>
          <w:rFonts w:ascii="Verdana" w:hAnsi="Verdana"/>
          <w:sz w:val="18"/>
          <w:szCs w:val="18"/>
        </w:rPr>
        <w:t>hier</w:t>
      </w:r>
      <w:r w:rsidR="00BD3008">
        <w:rPr>
          <w:rFonts w:ascii="Verdana" w:hAnsi="Verdana"/>
          <w:sz w:val="18"/>
          <w:szCs w:val="18"/>
        </w:rPr>
        <w:t>aan bijdragen doordat Nederlandse defensiebedrijven betere toegang kunnen krijgen tot internationale toeleveringsketens.</w:t>
      </w:r>
      <w:r w:rsidR="00953F62">
        <w:rPr>
          <w:rFonts w:ascii="Verdana" w:hAnsi="Verdana"/>
          <w:sz w:val="18"/>
          <w:szCs w:val="18"/>
        </w:rPr>
        <w:t xml:space="preserve"> </w:t>
      </w:r>
    </w:p>
    <w:p w:rsidR="00C42667" w:rsidP="00C42667" w:rsidRDefault="00953F62" w14:paraId="7221F4EF" w14:textId="744878C5">
      <w:pPr>
        <w:pStyle w:val="NormalWeb"/>
        <w:spacing w:before="0" w:beforeAutospacing="0" w:after="160" w:afterAutospacing="0" w:line="259" w:lineRule="auto"/>
        <w:jc w:val="both"/>
        <w:rPr>
          <w:rFonts w:ascii="Verdana" w:hAnsi="Verdana"/>
          <w:sz w:val="18"/>
          <w:szCs w:val="18"/>
        </w:rPr>
      </w:pPr>
      <w:r>
        <w:rPr>
          <w:rFonts w:ascii="Verdana" w:hAnsi="Verdana"/>
          <w:sz w:val="18"/>
          <w:szCs w:val="18"/>
        </w:rPr>
        <w:t xml:space="preserve">Een bijkomend argument voor lidmaatschap is dat </w:t>
      </w:r>
      <w:r w:rsidR="00C42667">
        <w:rPr>
          <w:rFonts w:ascii="Verdana" w:hAnsi="Verdana"/>
          <w:sz w:val="18"/>
          <w:szCs w:val="18"/>
        </w:rPr>
        <w:t xml:space="preserve">OCCAR recent de regels heeft gewijzigd voor de samenwerking met landen die geen lid zijn. De wijziging houdt in de praktijk in dat per nieuw project een juridisch verbindende internationale overeenkomst moet worden aangaan. Naar Nederlandse maatstaven zou het hierbij gaan om een verdrag, dat relatief veel tijd kost om </w:t>
      </w:r>
      <w:r w:rsidR="00670EBD">
        <w:rPr>
          <w:rFonts w:ascii="Verdana" w:hAnsi="Verdana"/>
          <w:sz w:val="18"/>
          <w:szCs w:val="18"/>
        </w:rPr>
        <w:t>tot stand te brengen</w:t>
      </w:r>
      <w:r w:rsidR="009B6F83">
        <w:rPr>
          <w:rFonts w:ascii="Verdana" w:hAnsi="Verdana"/>
          <w:sz w:val="18"/>
          <w:szCs w:val="18"/>
        </w:rPr>
        <w:t xml:space="preserve">, terwijl </w:t>
      </w:r>
      <w:r w:rsidR="00C42667">
        <w:rPr>
          <w:rFonts w:ascii="Verdana" w:hAnsi="Verdana"/>
          <w:sz w:val="18"/>
          <w:szCs w:val="18"/>
        </w:rPr>
        <w:t>geen</w:t>
      </w:r>
      <w:r w:rsidR="009B6F83">
        <w:rPr>
          <w:rFonts w:ascii="Verdana" w:hAnsi="Verdana"/>
          <w:sz w:val="18"/>
          <w:szCs w:val="18"/>
        </w:rPr>
        <w:t xml:space="preserve"> sprake </w:t>
      </w:r>
      <w:r w:rsidR="0043197F">
        <w:rPr>
          <w:rFonts w:ascii="Verdana" w:hAnsi="Verdana"/>
          <w:sz w:val="18"/>
          <w:szCs w:val="18"/>
        </w:rPr>
        <w:t>zou zijn</w:t>
      </w:r>
      <w:r w:rsidR="009B6F83">
        <w:rPr>
          <w:rFonts w:ascii="Verdana" w:hAnsi="Verdana"/>
          <w:sz w:val="18"/>
          <w:szCs w:val="18"/>
        </w:rPr>
        <w:t xml:space="preserve"> van</w:t>
      </w:r>
      <w:r w:rsidR="00C42667">
        <w:rPr>
          <w:rFonts w:ascii="Verdana" w:hAnsi="Verdana"/>
          <w:sz w:val="18"/>
          <w:szCs w:val="18"/>
        </w:rPr>
        <w:t xml:space="preserve"> zeggenschap in de OCCAR-besluitvorming. </w:t>
      </w:r>
    </w:p>
    <w:p w:rsidR="002E6819" w:rsidP="00BD3008" w:rsidRDefault="00E5390E" w14:paraId="58FB2F53" w14:textId="6C5D5397">
      <w:pPr>
        <w:rPr>
          <w:rFonts w:ascii="Verdana" w:hAnsi="Verdana"/>
          <w:sz w:val="18"/>
          <w:szCs w:val="18"/>
        </w:rPr>
      </w:pPr>
      <w:r>
        <w:rPr>
          <w:rFonts w:ascii="Verdana" w:hAnsi="Verdana"/>
          <w:sz w:val="18"/>
          <w:szCs w:val="18"/>
        </w:rPr>
        <w:t xml:space="preserve">Ook na de toetreding tot OCCAR bepaalt Nederland zelf welk materieel het aanschaft en langs welke route, en Nederland is niet verplicht om mee te doen aan OCCAR-projecten. </w:t>
      </w:r>
    </w:p>
    <w:p w:rsidR="00BD3008" w:rsidP="00BD3008" w:rsidRDefault="00320AC1" w14:paraId="1D92547C" w14:textId="3F253414">
      <w:pPr>
        <w:rPr>
          <w:rFonts w:ascii="Verdana" w:hAnsi="Verdana"/>
          <w:sz w:val="18"/>
          <w:szCs w:val="18"/>
        </w:rPr>
      </w:pPr>
      <w:r>
        <w:rPr>
          <w:rFonts w:ascii="Verdana" w:hAnsi="Verdana"/>
          <w:sz w:val="18"/>
          <w:szCs w:val="18"/>
        </w:rPr>
        <w:t xml:space="preserve">Indien Defensie bij een materieelbehoefte kiest voor internationale samenwerking biedt het OCCAR-lidmaatschap hiervoor extra mogelijkheden. </w:t>
      </w:r>
      <w:proofErr w:type="spellStart"/>
      <w:r>
        <w:rPr>
          <w:rFonts w:ascii="Verdana" w:hAnsi="Verdana"/>
          <w:sz w:val="18"/>
          <w:szCs w:val="18"/>
        </w:rPr>
        <w:t>Intenationaal</w:t>
      </w:r>
      <w:proofErr w:type="spellEnd"/>
      <w:r>
        <w:rPr>
          <w:rFonts w:ascii="Verdana" w:hAnsi="Verdana"/>
          <w:sz w:val="18"/>
          <w:szCs w:val="18"/>
        </w:rPr>
        <w:t xml:space="preserve"> samenwerking</w:t>
      </w:r>
      <w:r w:rsidR="00BD3008">
        <w:rPr>
          <w:rFonts w:ascii="Verdana" w:hAnsi="Verdana"/>
          <w:sz w:val="18"/>
          <w:szCs w:val="18"/>
        </w:rPr>
        <w:t xml:space="preserve"> kan </w:t>
      </w:r>
      <w:r>
        <w:rPr>
          <w:rFonts w:ascii="Verdana" w:hAnsi="Verdana"/>
          <w:sz w:val="18"/>
          <w:szCs w:val="18"/>
        </w:rPr>
        <w:t xml:space="preserve">nu al </w:t>
      </w:r>
      <w:r w:rsidR="00BD3008">
        <w:rPr>
          <w:rFonts w:ascii="Verdana" w:hAnsi="Verdana"/>
          <w:sz w:val="18"/>
          <w:szCs w:val="18"/>
        </w:rPr>
        <w:t xml:space="preserve">rechtstreeks met </w:t>
      </w:r>
      <w:r w:rsidR="00D95782">
        <w:rPr>
          <w:rFonts w:ascii="Verdana" w:hAnsi="Verdana"/>
          <w:sz w:val="18"/>
          <w:szCs w:val="18"/>
        </w:rPr>
        <w:t>éé</w:t>
      </w:r>
      <w:r w:rsidR="00BD3008">
        <w:rPr>
          <w:rFonts w:ascii="Verdana" w:hAnsi="Verdana"/>
          <w:sz w:val="18"/>
          <w:szCs w:val="18"/>
        </w:rPr>
        <w:t xml:space="preserve">n of meer buitenlandse partners, dan wel via internationale instellingen zoals de NAVO (voorbeeld: NSPA) of de EU (voorbeeld: Europees Defensie Agentschap, EDA). OCCAR is een goede aanvulling op dit bestaande instrumentarium. </w:t>
      </w:r>
      <w:r w:rsidR="00E3605B">
        <w:rPr>
          <w:rFonts w:ascii="Verdana" w:hAnsi="Verdana"/>
          <w:sz w:val="18"/>
          <w:szCs w:val="18"/>
        </w:rPr>
        <w:t xml:space="preserve">Na toetreding tot OCCAR zal Nederland de mogelijkheden van OCCAR actief benutten </w:t>
      </w:r>
      <w:r w:rsidR="008E008F">
        <w:rPr>
          <w:rFonts w:ascii="Verdana" w:hAnsi="Verdana"/>
          <w:sz w:val="18"/>
          <w:szCs w:val="18"/>
        </w:rPr>
        <w:t>bij het</w:t>
      </w:r>
      <w:r w:rsidR="00E3605B">
        <w:rPr>
          <w:rFonts w:ascii="Verdana" w:hAnsi="Verdana"/>
          <w:sz w:val="18"/>
          <w:szCs w:val="18"/>
        </w:rPr>
        <w:t xml:space="preserve"> voorzien in de materieelbehoeften van de krijgsmacht. Het is in dit stadium nog niet mogelijk om concrete projecten te noemen.</w:t>
      </w:r>
    </w:p>
    <w:p w:rsidR="00BD3008" w:rsidP="00BD3008" w:rsidRDefault="00BD3008" w14:paraId="11BFE5B4" w14:textId="62E502FE">
      <w:pPr>
        <w:rPr>
          <w:rFonts w:ascii="Verdana" w:hAnsi="Verdana"/>
          <w:sz w:val="18"/>
          <w:szCs w:val="18"/>
        </w:rPr>
      </w:pPr>
      <w:r>
        <w:rPr>
          <w:rFonts w:ascii="Verdana" w:hAnsi="Verdana"/>
          <w:sz w:val="18"/>
          <w:szCs w:val="18"/>
        </w:rPr>
        <w:t>Over de parlementaire informatievoorziening over materieel</w:t>
      </w:r>
      <w:r w:rsidR="006B491F">
        <w:rPr>
          <w:rFonts w:ascii="Verdana" w:hAnsi="Verdana"/>
          <w:sz w:val="18"/>
          <w:szCs w:val="18"/>
        </w:rPr>
        <w:t>verwerving</w:t>
      </w:r>
      <w:r>
        <w:rPr>
          <w:rFonts w:ascii="Verdana" w:hAnsi="Verdana"/>
          <w:sz w:val="18"/>
          <w:szCs w:val="18"/>
        </w:rPr>
        <w:t xml:space="preserve"> heeft Defensie afspraken gemaakt met de Tweede Kamer in het Defensie Materieel Proces (DMP). Deze afspraken blijven intact.</w:t>
      </w:r>
      <w:r>
        <w:rPr>
          <w:rStyle w:val="FootnoteReference"/>
          <w:rFonts w:ascii="Verdana" w:hAnsi="Verdana"/>
          <w:sz w:val="18"/>
          <w:szCs w:val="18"/>
        </w:rPr>
        <w:footnoteReference w:id="24"/>
      </w:r>
      <w:r>
        <w:rPr>
          <w:rFonts w:ascii="Verdana" w:hAnsi="Verdana"/>
          <w:sz w:val="18"/>
          <w:szCs w:val="18"/>
        </w:rPr>
        <w:t xml:space="preserve"> </w:t>
      </w:r>
    </w:p>
    <w:p w:rsidR="00BD3008" w:rsidP="00BD3008" w:rsidRDefault="00BD3008" w14:paraId="5295153A" w14:textId="1EC1DDC9">
      <w:pPr>
        <w:jc w:val="both"/>
        <w:rPr>
          <w:rFonts w:ascii="Verdana" w:hAnsi="Verdana"/>
          <w:sz w:val="18"/>
          <w:szCs w:val="18"/>
        </w:rPr>
      </w:pPr>
      <w:r>
        <w:rPr>
          <w:rFonts w:ascii="Verdana" w:hAnsi="Verdana"/>
          <w:sz w:val="18"/>
          <w:szCs w:val="18"/>
        </w:rPr>
        <w:t>2.</w:t>
      </w:r>
      <w:r w:rsidR="00844C63">
        <w:rPr>
          <w:rFonts w:ascii="Verdana" w:hAnsi="Verdana"/>
          <w:sz w:val="18"/>
          <w:szCs w:val="18"/>
        </w:rPr>
        <w:t>7</w:t>
      </w:r>
      <w:r>
        <w:rPr>
          <w:rFonts w:ascii="Verdana" w:hAnsi="Verdana"/>
          <w:sz w:val="18"/>
          <w:szCs w:val="18"/>
        </w:rPr>
        <w:t xml:space="preserve"> Financiële aspecten</w:t>
      </w:r>
    </w:p>
    <w:p w:rsidR="00BD3008" w:rsidP="009A3F47" w:rsidRDefault="00BD3008" w14:paraId="12C0C908" w14:textId="5C20CA1A">
      <w:pPr>
        <w:jc w:val="both"/>
        <w:rPr>
          <w:rFonts w:cstheme="minorHAnsi"/>
          <w:b/>
          <w:bCs/>
        </w:rPr>
      </w:pPr>
      <w:r>
        <w:rPr>
          <w:rFonts w:ascii="Verdana" w:hAnsi="Verdana"/>
          <w:sz w:val="18"/>
          <w:szCs w:val="18"/>
        </w:rPr>
        <w:t>Als OCCAR-lid betaalt Nederland mee aan de apparaatskosten van het agentschap. De</w:t>
      </w:r>
      <w:r w:rsidR="00C60152">
        <w:rPr>
          <w:rFonts w:ascii="Verdana" w:hAnsi="Verdana"/>
          <w:sz w:val="18"/>
          <w:szCs w:val="18"/>
        </w:rPr>
        <w:t xml:space="preserve"> financiële</w:t>
      </w:r>
      <w:r>
        <w:rPr>
          <w:rFonts w:ascii="Verdana" w:hAnsi="Verdana"/>
          <w:sz w:val="18"/>
          <w:szCs w:val="18"/>
        </w:rPr>
        <w:t xml:space="preserve"> bijdrage van Nederland hangt</w:t>
      </w:r>
      <w:r w:rsidR="00423409">
        <w:rPr>
          <w:rFonts w:ascii="Verdana" w:hAnsi="Verdana"/>
          <w:sz w:val="18"/>
          <w:szCs w:val="18"/>
        </w:rPr>
        <w:t xml:space="preserve"> volgens een verdeelsleutel</w:t>
      </w:r>
      <w:r>
        <w:rPr>
          <w:rFonts w:ascii="Verdana" w:hAnsi="Verdana"/>
          <w:sz w:val="18"/>
          <w:szCs w:val="18"/>
        </w:rPr>
        <w:t xml:space="preserve"> samen met het aantal stemmen dat ons land krijgt</w:t>
      </w:r>
      <w:r w:rsidR="00C60152">
        <w:rPr>
          <w:rFonts w:ascii="Verdana" w:hAnsi="Verdana"/>
          <w:sz w:val="18"/>
          <w:szCs w:val="18"/>
        </w:rPr>
        <w:t xml:space="preserve"> in de besluitvormende Raad</w:t>
      </w:r>
      <w:r w:rsidR="00B176DA">
        <w:rPr>
          <w:rFonts w:ascii="Verdana" w:hAnsi="Verdana"/>
          <w:sz w:val="18"/>
          <w:szCs w:val="18"/>
        </w:rPr>
        <w:t xml:space="preserve"> van Toezicht</w:t>
      </w:r>
      <w:r w:rsidR="008750D5">
        <w:rPr>
          <w:rFonts w:ascii="Verdana" w:hAnsi="Verdana"/>
          <w:sz w:val="18"/>
          <w:szCs w:val="18"/>
        </w:rPr>
        <w:t>, zoals toegelicht in paragraaf 3.2</w:t>
      </w:r>
      <w:r>
        <w:rPr>
          <w:rFonts w:ascii="Verdana" w:hAnsi="Verdana"/>
          <w:sz w:val="18"/>
          <w:szCs w:val="18"/>
        </w:rPr>
        <w:t xml:space="preserve">. </w:t>
      </w:r>
      <w:r w:rsidR="00256B8A">
        <w:rPr>
          <w:rFonts w:ascii="Verdana" w:hAnsi="Verdana"/>
          <w:sz w:val="18"/>
          <w:szCs w:val="18"/>
        </w:rPr>
        <w:t>Samenwerkingspartners</w:t>
      </w:r>
      <w:r w:rsidR="00A819FF">
        <w:rPr>
          <w:rFonts w:ascii="Verdana" w:hAnsi="Verdana"/>
          <w:sz w:val="18"/>
          <w:szCs w:val="18"/>
        </w:rPr>
        <w:t xml:space="preserve"> die geen lid zijn van OCCAR</w:t>
      </w:r>
      <w:r w:rsidR="00256B8A">
        <w:rPr>
          <w:rFonts w:ascii="Verdana" w:hAnsi="Verdana"/>
          <w:sz w:val="18"/>
          <w:szCs w:val="18"/>
        </w:rPr>
        <w:t xml:space="preserve"> betalen per project ook een bijdrage aan de </w:t>
      </w:r>
      <w:r w:rsidR="00256B8A">
        <w:rPr>
          <w:rFonts w:ascii="Verdana" w:hAnsi="Verdana"/>
          <w:sz w:val="18"/>
          <w:szCs w:val="18"/>
        </w:rPr>
        <w:lastRenderedPageBreak/>
        <w:t xml:space="preserve">algemene apparaatskosten. Van </w:t>
      </w:r>
      <w:r w:rsidR="00423409">
        <w:rPr>
          <w:rFonts w:ascii="Verdana" w:hAnsi="Verdana"/>
          <w:sz w:val="18"/>
          <w:szCs w:val="18"/>
        </w:rPr>
        <w:t xml:space="preserve">deze </w:t>
      </w:r>
      <w:r w:rsidR="009A3F47">
        <w:rPr>
          <w:rFonts w:ascii="Verdana" w:hAnsi="Verdana"/>
          <w:sz w:val="18"/>
          <w:szCs w:val="18"/>
        </w:rPr>
        <w:t xml:space="preserve">algemene </w:t>
      </w:r>
      <w:r w:rsidR="00423409">
        <w:rPr>
          <w:rFonts w:ascii="Verdana" w:hAnsi="Verdana"/>
          <w:sz w:val="18"/>
          <w:szCs w:val="18"/>
        </w:rPr>
        <w:t xml:space="preserve">bijdragen </w:t>
      </w:r>
      <w:r w:rsidR="00D95782">
        <w:rPr>
          <w:rFonts w:ascii="Verdana" w:hAnsi="Verdana"/>
          <w:sz w:val="18"/>
          <w:szCs w:val="18"/>
        </w:rPr>
        <w:t>zou</w:t>
      </w:r>
      <w:r w:rsidR="00423409">
        <w:rPr>
          <w:rFonts w:ascii="Verdana" w:hAnsi="Verdana"/>
          <w:sz w:val="18"/>
          <w:szCs w:val="18"/>
        </w:rPr>
        <w:t xml:space="preserve"> Nederland als lidstaat </w:t>
      </w:r>
      <w:r w:rsidR="00D95782">
        <w:rPr>
          <w:rFonts w:ascii="Verdana" w:hAnsi="Verdana"/>
          <w:sz w:val="18"/>
          <w:szCs w:val="18"/>
        </w:rPr>
        <w:t xml:space="preserve">zijn </w:t>
      </w:r>
      <w:r w:rsidR="00423409">
        <w:rPr>
          <w:rFonts w:ascii="Verdana" w:hAnsi="Verdana"/>
          <w:sz w:val="18"/>
          <w:szCs w:val="18"/>
        </w:rPr>
        <w:t>vrijgesteld.</w:t>
      </w:r>
      <w:r>
        <w:rPr>
          <w:rFonts w:ascii="Verdana" w:hAnsi="Verdana"/>
          <w:sz w:val="18"/>
          <w:szCs w:val="18"/>
        </w:rPr>
        <w:t xml:space="preserve"> Netto kost het jaarlijkse lidmaatschap van OCCAR ongeveer € 1,5 miljoen. Dit bedrag komt ten laste van de begroting van Defensie</w:t>
      </w:r>
      <w:r w:rsidR="00C60152">
        <w:rPr>
          <w:rFonts w:ascii="Verdana" w:hAnsi="Verdana"/>
          <w:sz w:val="18"/>
          <w:szCs w:val="18"/>
        </w:rPr>
        <w:t xml:space="preserve"> en </w:t>
      </w:r>
      <w:r w:rsidR="009A3F47">
        <w:rPr>
          <w:rFonts w:ascii="Verdana" w:hAnsi="Verdana"/>
          <w:sz w:val="18"/>
          <w:szCs w:val="18"/>
        </w:rPr>
        <w:t xml:space="preserve">staat los van bijdragen </w:t>
      </w:r>
      <w:r w:rsidR="00A819FF">
        <w:rPr>
          <w:rFonts w:ascii="Verdana" w:hAnsi="Verdana"/>
          <w:sz w:val="18"/>
          <w:szCs w:val="18"/>
        </w:rPr>
        <w:t>die Nederland</w:t>
      </w:r>
      <w:r w:rsidR="00D95782">
        <w:rPr>
          <w:rFonts w:ascii="Verdana" w:hAnsi="Verdana"/>
          <w:sz w:val="18"/>
          <w:szCs w:val="18"/>
        </w:rPr>
        <w:t xml:space="preserve"> ook als lidstaat</w:t>
      </w:r>
      <w:r w:rsidR="009A3F47">
        <w:rPr>
          <w:rFonts w:ascii="Verdana" w:hAnsi="Verdana"/>
          <w:sz w:val="18"/>
          <w:szCs w:val="18"/>
        </w:rPr>
        <w:t xml:space="preserve"> aan OCCAR beta</w:t>
      </w:r>
      <w:r w:rsidR="00A819FF">
        <w:rPr>
          <w:rFonts w:ascii="Verdana" w:hAnsi="Verdana"/>
          <w:sz w:val="18"/>
          <w:szCs w:val="18"/>
        </w:rPr>
        <w:t xml:space="preserve">alt </w:t>
      </w:r>
      <w:r w:rsidR="009A3F47">
        <w:rPr>
          <w:rFonts w:ascii="Verdana" w:hAnsi="Verdana"/>
          <w:sz w:val="18"/>
          <w:szCs w:val="18"/>
        </w:rPr>
        <w:t xml:space="preserve">voor </w:t>
      </w:r>
      <w:r w:rsidR="00A819FF">
        <w:rPr>
          <w:rFonts w:ascii="Verdana" w:hAnsi="Verdana"/>
          <w:sz w:val="18"/>
          <w:szCs w:val="18"/>
        </w:rPr>
        <w:t>de</w:t>
      </w:r>
      <w:r w:rsidR="009A3F47">
        <w:rPr>
          <w:rFonts w:ascii="Verdana" w:hAnsi="Verdana"/>
          <w:sz w:val="18"/>
          <w:szCs w:val="18"/>
        </w:rPr>
        <w:t xml:space="preserve"> deelname aan specifieke projecten. </w:t>
      </w:r>
      <w:bookmarkStart w:name="_Hlk126661392" w:id="2"/>
    </w:p>
    <w:p w:rsidRPr="00E9538D" w:rsidR="00F02BAA" w:rsidP="003B7EFC" w:rsidRDefault="00326793" w14:paraId="5ECA11D2" w14:textId="457DE1AB">
      <w:pPr>
        <w:pStyle w:val="ListParagraph"/>
        <w:numPr>
          <w:ilvl w:val="0"/>
          <w:numId w:val="10"/>
        </w:numPr>
        <w:jc w:val="both"/>
        <w:rPr>
          <w:rFonts w:ascii="Verdana" w:hAnsi="Verdana" w:cstheme="minorHAnsi"/>
          <w:b/>
          <w:bCs/>
          <w:sz w:val="18"/>
          <w:szCs w:val="18"/>
        </w:rPr>
      </w:pPr>
      <w:r>
        <w:rPr>
          <w:rFonts w:ascii="Verdana" w:hAnsi="Verdana" w:cstheme="minorHAnsi"/>
          <w:b/>
          <w:bCs/>
          <w:sz w:val="18"/>
          <w:szCs w:val="18"/>
        </w:rPr>
        <w:t>Het OCCAR-Verdrag</w:t>
      </w:r>
    </w:p>
    <w:p w:rsidRPr="008131C9" w:rsidR="00C45EB5" w:rsidP="003B7EFC" w:rsidRDefault="00326793" w14:paraId="783F9CF2" w14:textId="58955C81">
      <w:pPr>
        <w:pStyle w:val="NormalWeb"/>
        <w:spacing w:before="0" w:beforeAutospacing="0" w:after="160" w:afterAutospacing="0" w:line="259" w:lineRule="auto"/>
        <w:jc w:val="both"/>
        <w:rPr>
          <w:rFonts w:ascii="Verdana" w:hAnsi="Verdana"/>
          <w:sz w:val="18"/>
          <w:szCs w:val="18"/>
        </w:rPr>
      </w:pPr>
      <w:r>
        <w:rPr>
          <w:rFonts w:ascii="Verdana" w:hAnsi="Verdana"/>
          <w:sz w:val="18"/>
          <w:szCs w:val="18"/>
        </w:rPr>
        <w:t>Het OCCAR-Verdrag</w:t>
      </w:r>
      <w:r w:rsidR="001210EE">
        <w:rPr>
          <w:rFonts w:ascii="Verdana" w:hAnsi="Verdana"/>
          <w:sz w:val="18"/>
          <w:szCs w:val="18"/>
        </w:rPr>
        <w:t xml:space="preserve"> </w:t>
      </w:r>
      <w:r w:rsidRPr="008131C9" w:rsidR="00C51DC9">
        <w:rPr>
          <w:rFonts w:ascii="Verdana" w:hAnsi="Verdana"/>
          <w:sz w:val="18"/>
          <w:szCs w:val="18"/>
        </w:rPr>
        <w:t>bestaat uit vijftien hoofdstukken die hieronder worden toegelicht. Het eerste hoofdstuk bevat algemene bepalingen over de oprichting van OCCAR, de leden van OCCAR</w:t>
      </w:r>
      <w:r w:rsidR="004D18B2">
        <w:rPr>
          <w:rFonts w:ascii="Verdana" w:hAnsi="Verdana"/>
          <w:sz w:val="18"/>
          <w:szCs w:val="18"/>
        </w:rPr>
        <w:t>,</w:t>
      </w:r>
      <w:r w:rsidRPr="008131C9" w:rsidR="00C51DC9">
        <w:rPr>
          <w:rFonts w:ascii="Verdana" w:hAnsi="Verdana"/>
          <w:sz w:val="18"/>
          <w:szCs w:val="18"/>
        </w:rPr>
        <w:t xml:space="preserve"> de locatie van het hoofdkwartier in Bonn</w:t>
      </w:r>
      <w:r w:rsidR="005C2823">
        <w:rPr>
          <w:rFonts w:ascii="Verdana" w:hAnsi="Verdana"/>
          <w:sz w:val="18"/>
          <w:szCs w:val="18"/>
        </w:rPr>
        <w:t xml:space="preserve"> </w:t>
      </w:r>
      <w:r w:rsidR="004D18B2">
        <w:rPr>
          <w:rFonts w:ascii="Verdana" w:hAnsi="Verdana"/>
          <w:sz w:val="18"/>
          <w:szCs w:val="18"/>
        </w:rPr>
        <w:t>en</w:t>
      </w:r>
      <w:r w:rsidRPr="008131C9" w:rsidR="00C51DC9">
        <w:rPr>
          <w:rFonts w:ascii="Verdana" w:hAnsi="Verdana"/>
          <w:sz w:val="18"/>
          <w:szCs w:val="18"/>
        </w:rPr>
        <w:t xml:space="preserve"> de officiële talen.</w:t>
      </w:r>
      <w:r w:rsidRPr="008131C9" w:rsidDel="005779EC" w:rsidR="005779EC">
        <w:rPr>
          <w:rFonts w:ascii="Verdana" w:hAnsi="Verdana"/>
          <w:sz w:val="18"/>
          <w:szCs w:val="18"/>
        </w:rPr>
        <w:t xml:space="preserve"> </w:t>
      </w:r>
      <w:r w:rsidRPr="008131C9" w:rsidR="00C51DC9">
        <w:rPr>
          <w:rFonts w:ascii="Verdana" w:hAnsi="Verdana"/>
          <w:sz w:val="18"/>
          <w:szCs w:val="18"/>
        </w:rPr>
        <w:t xml:space="preserve">De werktaal van </w:t>
      </w:r>
      <w:r w:rsidR="00773393">
        <w:rPr>
          <w:rFonts w:ascii="Verdana" w:hAnsi="Verdana"/>
          <w:sz w:val="18"/>
          <w:szCs w:val="18"/>
        </w:rPr>
        <w:t>OCCAR</w:t>
      </w:r>
      <w:r w:rsidRPr="008131C9" w:rsidR="00C51DC9">
        <w:rPr>
          <w:rFonts w:ascii="Verdana" w:hAnsi="Verdana"/>
          <w:sz w:val="18"/>
          <w:szCs w:val="18"/>
        </w:rPr>
        <w:t xml:space="preserve"> is Engels. </w:t>
      </w:r>
    </w:p>
    <w:p w:rsidR="00964A7E" w:rsidP="003B7EFC" w:rsidRDefault="00C51DC9" w14:paraId="49E63459" w14:textId="0E525753">
      <w:pPr>
        <w:pStyle w:val="NormalWeb"/>
        <w:spacing w:before="0" w:beforeAutospacing="0" w:after="160" w:afterAutospacing="0" w:line="259" w:lineRule="auto"/>
        <w:jc w:val="both"/>
        <w:rPr>
          <w:rFonts w:ascii="Verdana" w:hAnsi="Verdana"/>
          <w:sz w:val="18"/>
          <w:szCs w:val="18"/>
        </w:rPr>
      </w:pPr>
      <w:r w:rsidRPr="008131C9">
        <w:rPr>
          <w:rFonts w:ascii="Verdana" w:hAnsi="Verdana"/>
          <w:sz w:val="18"/>
          <w:szCs w:val="18"/>
        </w:rPr>
        <w:t xml:space="preserve">Daarnaast bevat </w:t>
      </w:r>
      <w:r w:rsidR="00326793">
        <w:rPr>
          <w:rFonts w:ascii="Verdana" w:hAnsi="Verdana"/>
          <w:sz w:val="18"/>
          <w:szCs w:val="18"/>
        </w:rPr>
        <w:t>het OCCAR-Verdrag</w:t>
      </w:r>
      <w:r w:rsidR="00334869">
        <w:rPr>
          <w:rFonts w:ascii="Verdana" w:hAnsi="Verdana"/>
          <w:sz w:val="18"/>
          <w:szCs w:val="18"/>
        </w:rPr>
        <w:t xml:space="preserve"> </w:t>
      </w:r>
      <w:r w:rsidRPr="008131C9">
        <w:rPr>
          <w:rFonts w:ascii="Verdana" w:hAnsi="Verdana"/>
          <w:sz w:val="18"/>
          <w:szCs w:val="18"/>
        </w:rPr>
        <w:t xml:space="preserve">vier bijlagen. Bijlage I </w:t>
      </w:r>
      <w:r w:rsidR="008A2A6E">
        <w:rPr>
          <w:rFonts w:ascii="Verdana" w:hAnsi="Verdana"/>
          <w:sz w:val="18"/>
          <w:szCs w:val="18"/>
        </w:rPr>
        <w:t>gaat</w:t>
      </w:r>
      <w:r w:rsidRPr="008131C9">
        <w:rPr>
          <w:rFonts w:ascii="Verdana" w:hAnsi="Verdana"/>
          <w:sz w:val="18"/>
          <w:szCs w:val="18"/>
        </w:rPr>
        <w:t xml:space="preserve"> over voorrechten en immuniteiten van OCCAR en van het bij OCCAR tewerkgestelde personeel bij de uitoefening van de officiële activiteiten van OCCAR. Deze voorrechten en immuniteiten hebben betrekking op onder meer de onschendbaarheid van gebouwen en archieven van OCCAR, alsmede op vrijstelling van belastingen en heffingen. Bijlage II gaat in op de geschillenbeslechtingsprocedure en bijlage III bevat overgangsbepalingen voor de OCCAR-aanbestedingsprocedure gedurende een periode van drie jaar na de inwerkingtreding</w:t>
      </w:r>
      <w:r w:rsidR="008131C9">
        <w:rPr>
          <w:rFonts w:ascii="Verdana" w:hAnsi="Verdana"/>
          <w:sz w:val="18"/>
          <w:szCs w:val="18"/>
        </w:rPr>
        <w:t xml:space="preserve"> </w:t>
      </w:r>
      <w:r w:rsidRPr="008131C9">
        <w:rPr>
          <w:rFonts w:ascii="Verdana" w:hAnsi="Verdana"/>
          <w:sz w:val="18"/>
          <w:szCs w:val="18"/>
        </w:rPr>
        <w:t xml:space="preserve">van </w:t>
      </w:r>
      <w:r w:rsidR="00326793">
        <w:rPr>
          <w:rFonts w:ascii="Verdana" w:hAnsi="Verdana"/>
          <w:sz w:val="18"/>
          <w:szCs w:val="18"/>
        </w:rPr>
        <w:t>het OCCAR-Verdrag</w:t>
      </w:r>
      <w:r w:rsidR="00265C01">
        <w:rPr>
          <w:rFonts w:ascii="Verdana" w:hAnsi="Verdana"/>
          <w:sz w:val="18"/>
          <w:szCs w:val="18"/>
        </w:rPr>
        <w:t>. Aan</w:t>
      </w:r>
      <w:r w:rsidRPr="00BC4B08" w:rsidR="00BC4B08">
        <w:rPr>
          <w:rFonts w:ascii="Verdana" w:hAnsi="Verdana"/>
          <w:sz w:val="18"/>
          <w:szCs w:val="18"/>
        </w:rPr>
        <w:t>gezien de overgangsprocedure is beëindigd (</w:t>
      </w:r>
      <w:r w:rsidR="004D18B2">
        <w:rPr>
          <w:rFonts w:ascii="Verdana" w:hAnsi="Verdana"/>
          <w:sz w:val="18"/>
          <w:szCs w:val="18"/>
        </w:rPr>
        <w:t>B</w:t>
      </w:r>
      <w:r w:rsidRPr="00BC4B08" w:rsidR="00BC4B08">
        <w:rPr>
          <w:rFonts w:ascii="Verdana" w:hAnsi="Verdana"/>
          <w:sz w:val="18"/>
          <w:szCs w:val="18"/>
        </w:rPr>
        <w:t>ijlage II</w:t>
      </w:r>
      <w:r w:rsidR="00C45218">
        <w:rPr>
          <w:rFonts w:ascii="Verdana" w:hAnsi="Verdana"/>
          <w:sz w:val="18"/>
          <w:szCs w:val="18"/>
        </w:rPr>
        <w:t>I</w:t>
      </w:r>
      <w:r w:rsidRPr="00BC4B08" w:rsidR="00BC4B08">
        <w:rPr>
          <w:rFonts w:ascii="Verdana" w:hAnsi="Verdana"/>
          <w:sz w:val="18"/>
          <w:szCs w:val="18"/>
        </w:rPr>
        <w:t xml:space="preserve">, onderdeel 3), is deze </w:t>
      </w:r>
      <w:r w:rsidR="004D18B2">
        <w:rPr>
          <w:rFonts w:ascii="Verdana" w:hAnsi="Verdana"/>
          <w:sz w:val="18"/>
          <w:szCs w:val="18"/>
        </w:rPr>
        <w:t>B</w:t>
      </w:r>
      <w:r w:rsidRPr="00BC4B08" w:rsidR="00BC4B08">
        <w:rPr>
          <w:rFonts w:ascii="Verdana" w:hAnsi="Verdana"/>
          <w:sz w:val="18"/>
          <w:szCs w:val="18"/>
        </w:rPr>
        <w:t>ijlage niet meer relevant</w:t>
      </w:r>
      <w:r w:rsidRPr="008131C9">
        <w:rPr>
          <w:rFonts w:ascii="Verdana" w:hAnsi="Verdana"/>
          <w:sz w:val="18"/>
          <w:szCs w:val="18"/>
        </w:rPr>
        <w:t>. Bijlage IV bevat regels betreffende het b</w:t>
      </w:r>
      <w:r w:rsidR="00C06B51">
        <w:rPr>
          <w:rFonts w:ascii="Verdana" w:hAnsi="Verdana"/>
          <w:sz w:val="18"/>
          <w:szCs w:val="18"/>
        </w:rPr>
        <w:t>esluitvormingsproces in de Raad</w:t>
      </w:r>
      <w:r w:rsidR="004818ED">
        <w:rPr>
          <w:rFonts w:ascii="Verdana" w:hAnsi="Verdana"/>
          <w:sz w:val="18"/>
          <w:szCs w:val="18"/>
        </w:rPr>
        <w:t xml:space="preserve"> van Toezicht</w:t>
      </w:r>
      <w:r w:rsidR="00C06B51">
        <w:rPr>
          <w:rFonts w:ascii="Verdana" w:hAnsi="Verdana"/>
          <w:sz w:val="18"/>
          <w:szCs w:val="18"/>
        </w:rPr>
        <w:t xml:space="preserve">. </w:t>
      </w:r>
      <w:r w:rsidR="00BC4B08">
        <w:rPr>
          <w:rFonts w:ascii="Verdana" w:hAnsi="Verdana"/>
          <w:sz w:val="18"/>
          <w:szCs w:val="18"/>
        </w:rPr>
        <w:t>Op 10 juni 2014 is e</w:t>
      </w:r>
      <w:r w:rsidRPr="00F01562" w:rsidR="00B62AB7">
        <w:rPr>
          <w:rFonts w:ascii="Verdana" w:hAnsi="Verdana"/>
          <w:sz w:val="18"/>
          <w:szCs w:val="18"/>
        </w:rPr>
        <w:t>en besluit tot wijziging van Bijlage IV aangenomen door de Raad</w:t>
      </w:r>
      <w:r w:rsidR="00B176DA">
        <w:rPr>
          <w:rFonts w:ascii="Verdana" w:hAnsi="Verdana"/>
          <w:sz w:val="18"/>
          <w:szCs w:val="18"/>
        </w:rPr>
        <w:t xml:space="preserve"> van Toezicht</w:t>
      </w:r>
      <w:r w:rsidRPr="00F01562" w:rsidR="00B62AB7">
        <w:rPr>
          <w:rFonts w:ascii="Verdana" w:hAnsi="Verdana"/>
          <w:sz w:val="18"/>
          <w:szCs w:val="18"/>
        </w:rPr>
        <w:t xml:space="preserve"> in overeenstemming met </w:t>
      </w:r>
      <w:r w:rsidR="00FE2926">
        <w:rPr>
          <w:rFonts w:ascii="Verdana" w:hAnsi="Verdana"/>
          <w:sz w:val="18"/>
          <w:szCs w:val="18"/>
        </w:rPr>
        <w:t xml:space="preserve">onderdeel </w:t>
      </w:r>
      <w:r w:rsidR="00B62AB7">
        <w:rPr>
          <w:rFonts w:ascii="Verdana" w:hAnsi="Verdana"/>
          <w:sz w:val="18"/>
          <w:szCs w:val="18"/>
        </w:rPr>
        <w:t>6 van Bijlage IV</w:t>
      </w:r>
      <w:r w:rsidRPr="00F01562" w:rsidR="00B62AB7">
        <w:rPr>
          <w:rFonts w:ascii="Verdana" w:hAnsi="Verdana"/>
          <w:sz w:val="18"/>
          <w:szCs w:val="18"/>
        </w:rPr>
        <w:t xml:space="preserve">. </w:t>
      </w:r>
      <w:r w:rsidR="00FE2926">
        <w:rPr>
          <w:rFonts w:ascii="Verdana" w:hAnsi="Verdana"/>
          <w:sz w:val="18"/>
          <w:szCs w:val="18"/>
        </w:rPr>
        <w:t xml:space="preserve">Het besluit </w:t>
      </w:r>
      <w:r w:rsidRPr="00F01562" w:rsidR="00B62AB7">
        <w:rPr>
          <w:rFonts w:ascii="Verdana" w:hAnsi="Verdana"/>
          <w:sz w:val="18"/>
          <w:szCs w:val="18"/>
        </w:rPr>
        <w:t>is in werking getreden op 15 maart 2017.</w:t>
      </w:r>
      <w:r w:rsidR="00B62AB7">
        <w:rPr>
          <w:rFonts w:ascii="Verdana" w:hAnsi="Verdana"/>
          <w:sz w:val="18"/>
          <w:szCs w:val="18"/>
        </w:rPr>
        <w:t xml:space="preserve"> </w:t>
      </w:r>
      <w:r w:rsidR="00C06B51">
        <w:rPr>
          <w:rFonts w:ascii="Verdana" w:hAnsi="Verdana"/>
          <w:sz w:val="18"/>
          <w:szCs w:val="18"/>
        </w:rPr>
        <w:t>De wijzigingen</w:t>
      </w:r>
      <w:r w:rsidR="00FE2926">
        <w:rPr>
          <w:rFonts w:ascii="Verdana" w:hAnsi="Verdana"/>
          <w:sz w:val="18"/>
          <w:szCs w:val="18"/>
        </w:rPr>
        <w:t xml:space="preserve"> in het besluit</w:t>
      </w:r>
      <w:r w:rsidR="00C06B51">
        <w:rPr>
          <w:rFonts w:ascii="Verdana" w:hAnsi="Verdana"/>
          <w:sz w:val="18"/>
          <w:szCs w:val="18"/>
        </w:rPr>
        <w:t xml:space="preserve"> omvatten</w:t>
      </w:r>
      <w:r w:rsidR="00255329">
        <w:rPr>
          <w:rFonts w:ascii="Verdana" w:hAnsi="Verdana"/>
          <w:sz w:val="18"/>
          <w:szCs w:val="18"/>
        </w:rPr>
        <w:t xml:space="preserve"> in het eerste lid een uitbreiding van de besluiten die op basis van </w:t>
      </w:r>
      <w:r w:rsidRPr="00255329" w:rsidR="00255329">
        <w:rPr>
          <w:rFonts w:ascii="Verdana" w:hAnsi="Verdana"/>
          <w:sz w:val="18"/>
          <w:szCs w:val="18"/>
        </w:rPr>
        <w:t>versterkte gekwalificeerde meerderheid</w:t>
      </w:r>
      <w:r w:rsidR="00255329">
        <w:rPr>
          <w:rFonts w:ascii="Verdana" w:hAnsi="Verdana"/>
          <w:sz w:val="18"/>
          <w:szCs w:val="18"/>
        </w:rPr>
        <w:t xml:space="preserve"> worden genomen en in het (nieuwe) vijfde lid </w:t>
      </w:r>
      <w:r w:rsidR="00FE2926">
        <w:rPr>
          <w:rFonts w:ascii="Verdana" w:hAnsi="Verdana"/>
          <w:sz w:val="18"/>
          <w:szCs w:val="18"/>
        </w:rPr>
        <w:t xml:space="preserve">wordt bepaald </w:t>
      </w:r>
      <w:r w:rsidR="00255329">
        <w:rPr>
          <w:rFonts w:ascii="Verdana" w:hAnsi="Verdana"/>
          <w:sz w:val="18"/>
          <w:szCs w:val="18"/>
        </w:rPr>
        <w:t>dat het besluitvormingsproces kan worden herzien na een periode van drie jaar.</w:t>
      </w:r>
    </w:p>
    <w:p w:rsidRPr="00E9538D" w:rsidR="00277640" w:rsidP="003B7EFC" w:rsidRDefault="00277640" w14:paraId="30C385DD" w14:textId="61515FBE">
      <w:pPr>
        <w:pStyle w:val="ListParagraph"/>
        <w:numPr>
          <w:ilvl w:val="1"/>
          <w:numId w:val="11"/>
        </w:numPr>
        <w:jc w:val="both"/>
        <w:rPr>
          <w:rFonts w:ascii="Verdana" w:hAnsi="Verdana" w:cstheme="minorHAnsi"/>
          <w:bCs/>
          <w:sz w:val="18"/>
          <w:szCs w:val="18"/>
        </w:rPr>
      </w:pPr>
      <w:r w:rsidRPr="00E9538D">
        <w:rPr>
          <w:rFonts w:ascii="Verdana" w:hAnsi="Verdana" w:cstheme="minorHAnsi"/>
          <w:bCs/>
          <w:sz w:val="18"/>
          <w:szCs w:val="18"/>
        </w:rPr>
        <w:t>Doelstelling voor samenwerking en taken van OCCAR (hoofdstuk II)</w:t>
      </w:r>
    </w:p>
    <w:p w:rsidR="004818ED" w:rsidP="003B7EFC" w:rsidRDefault="00277640" w14:paraId="20E813F8" w14:textId="07ECD0D7">
      <w:pPr>
        <w:jc w:val="both"/>
        <w:rPr>
          <w:rFonts w:ascii="Verdana" w:hAnsi="Verdana" w:cstheme="minorHAnsi"/>
          <w:sz w:val="18"/>
          <w:szCs w:val="18"/>
        </w:rPr>
      </w:pPr>
      <w:r w:rsidRPr="008131C9">
        <w:rPr>
          <w:rFonts w:ascii="Verdana" w:hAnsi="Verdana" w:cstheme="minorHAnsi"/>
          <w:sz w:val="18"/>
          <w:szCs w:val="18"/>
        </w:rPr>
        <w:t xml:space="preserve">OCCAR richt zich in algemene zin op materieelsamenwerking. Daarbij zijn haar algemene taken het coördineren, leiden en doen uitvoeren van toegewezen materieelprojecten, alsmede het coördineren en bevorderen van gezamenlijke op de toekomst gerichte activiteiten. Bij het vervullen van deze algemene taken gaat het om het aantoonbaar verbeteren van de doelmatigheid van het projectmanagement en het daardoor versterken van de concurrentiepositie van de </w:t>
      </w:r>
      <w:r w:rsidR="004818ED">
        <w:rPr>
          <w:rFonts w:ascii="Verdana" w:hAnsi="Verdana" w:cstheme="minorHAnsi"/>
          <w:sz w:val="18"/>
          <w:szCs w:val="18"/>
        </w:rPr>
        <w:t>(</w:t>
      </w:r>
      <w:r w:rsidRPr="008131C9">
        <w:rPr>
          <w:rFonts w:ascii="Verdana" w:hAnsi="Verdana" w:cstheme="minorHAnsi"/>
          <w:sz w:val="18"/>
          <w:szCs w:val="18"/>
        </w:rPr>
        <w:t>Europese</w:t>
      </w:r>
      <w:r w:rsidR="004818ED">
        <w:rPr>
          <w:rFonts w:ascii="Verdana" w:hAnsi="Verdana" w:cstheme="minorHAnsi"/>
          <w:sz w:val="18"/>
          <w:szCs w:val="18"/>
        </w:rPr>
        <w:t>)</w:t>
      </w:r>
      <w:r w:rsidRPr="008131C9">
        <w:rPr>
          <w:rFonts w:ascii="Verdana" w:hAnsi="Verdana" w:cstheme="minorHAnsi"/>
          <w:sz w:val="18"/>
          <w:szCs w:val="18"/>
        </w:rPr>
        <w:t xml:space="preserve"> defensie-industrieën.</w:t>
      </w:r>
      <w:r w:rsidR="00BD3008">
        <w:rPr>
          <w:rFonts w:ascii="Verdana" w:hAnsi="Verdana" w:cstheme="minorHAnsi"/>
          <w:sz w:val="18"/>
          <w:szCs w:val="18"/>
        </w:rPr>
        <w:t xml:space="preserve"> OCCAR</w:t>
      </w:r>
      <w:r w:rsidR="00C60152">
        <w:rPr>
          <w:rFonts w:ascii="Verdana" w:hAnsi="Verdana" w:cstheme="minorHAnsi"/>
          <w:sz w:val="18"/>
          <w:szCs w:val="18"/>
        </w:rPr>
        <w:t xml:space="preserve"> streeft</w:t>
      </w:r>
      <w:r w:rsidR="00BD3008">
        <w:rPr>
          <w:rFonts w:ascii="Verdana" w:hAnsi="Verdana" w:cstheme="minorHAnsi"/>
          <w:sz w:val="18"/>
          <w:szCs w:val="18"/>
        </w:rPr>
        <w:t xml:space="preserve"> </w:t>
      </w:r>
      <w:r w:rsidRPr="008131C9">
        <w:rPr>
          <w:rFonts w:ascii="Verdana" w:hAnsi="Verdana" w:cstheme="minorHAnsi"/>
          <w:sz w:val="18"/>
          <w:szCs w:val="18"/>
        </w:rPr>
        <w:t xml:space="preserve">naar een </w:t>
      </w:r>
      <w:proofErr w:type="spellStart"/>
      <w:r w:rsidRPr="00C257AA">
        <w:rPr>
          <w:rFonts w:ascii="Verdana" w:hAnsi="Verdana" w:cstheme="minorHAnsi"/>
          <w:i/>
          <w:sz w:val="18"/>
          <w:szCs w:val="18"/>
        </w:rPr>
        <w:t>global</w:t>
      </w:r>
      <w:proofErr w:type="spellEnd"/>
      <w:r w:rsidRPr="00C257AA">
        <w:rPr>
          <w:rFonts w:ascii="Verdana" w:hAnsi="Verdana" w:cstheme="minorHAnsi"/>
          <w:i/>
          <w:sz w:val="18"/>
          <w:szCs w:val="18"/>
        </w:rPr>
        <w:t xml:space="preserve"> </w:t>
      </w:r>
      <w:proofErr w:type="spellStart"/>
      <w:r w:rsidRPr="00C257AA">
        <w:rPr>
          <w:rFonts w:ascii="Verdana" w:hAnsi="Verdana" w:cstheme="minorHAnsi"/>
          <w:i/>
          <w:sz w:val="18"/>
          <w:szCs w:val="18"/>
        </w:rPr>
        <w:t>balance</w:t>
      </w:r>
      <w:proofErr w:type="spellEnd"/>
      <w:r w:rsidRPr="00C257AA">
        <w:rPr>
          <w:rFonts w:ascii="Verdana" w:hAnsi="Verdana" w:cstheme="minorHAnsi"/>
          <w:i/>
          <w:sz w:val="18"/>
          <w:szCs w:val="18"/>
        </w:rPr>
        <w:t xml:space="preserve"> </w:t>
      </w:r>
      <w:r w:rsidRPr="008131C9">
        <w:rPr>
          <w:rFonts w:ascii="Verdana" w:hAnsi="Verdana" w:cstheme="minorHAnsi"/>
          <w:sz w:val="18"/>
          <w:szCs w:val="18"/>
        </w:rPr>
        <w:t>waarbij</w:t>
      </w:r>
      <w:r w:rsidR="00C60152">
        <w:rPr>
          <w:rFonts w:ascii="Verdana" w:hAnsi="Verdana" w:cstheme="minorHAnsi"/>
          <w:sz w:val="18"/>
          <w:szCs w:val="18"/>
        </w:rPr>
        <w:t xml:space="preserve"> over een langere periode en over het geheel van projecten een globaal evenwicht ontstaat tussen de financiële bijdragen aan projecten en de industriële pakketten van deze lidstaten</w:t>
      </w:r>
      <w:r w:rsidRPr="008131C9">
        <w:rPr>
          <w:rFonts w:ascii="Verdana" w:hAnsi="Verdana" w:cstheme="minorHAnsi"/>
          <w:sz w:val="18"/>
          <w:szCs w:val="18"/>
        </w:rPr>
        <w:t>.</w:t>
      </w:r>
      <w:r w:rsidR="004818ED">
        <w:rPr>
          <w:rFonts w:ascii="Verdana" w:hAnsi="Verdana" w:cstheme="minorHAnsi"/>
          <w:sz w:val="18"/>
          <w:szCs w:val="18"/>
        </w:rPr>
        <w:t xml:space="preserve"> </w:t>
      </w:r>
      <w:r w:rsidRPr="008131C9">
        <w:rPr>
          <w:rFonts w:ascii="Verdana" w:hAnsi="Verdana" w:cstheme="minorHAnsi"/>
          <w:sz w:val="18"/>
          <w:szCs w:val="18"/>
        </w:rPr>
        <w:t xml:space="preserve">Met de systematiek van jaarlijkse toetsing wordt inzicht verkregen in de feitelijke participatie van het bedrijfsleven. </w:t>
      </w:r>
    </w:p>
    <w:p w:rsidR="00E9538D" w:rsidP="003B7EFC" w:rsidRDefault="00277640" w14:paraId="2DA53D26" w14:textId="6561B17F">
      <w:pPr>
        <w:jc w:val="both"/>
        <w:rPr>
          <w:rFonts w:ascii="Verdana" w:hAnsi="Verdana" w:cstheme="minorHAnsi"/>
          <w:sz w:val="18"/>
          <w:szCs w:val="18"/>
        </w:rPr>
      </w:pPr>
      <w:r w:rsidRPr="008131C9">
        <w:rPr>
          <w:rFonts w:ascii="Verdana" w:hAnsi="Verdana" w:cstheme="minorHAnsi"/>
          <w:sz w:val="18"/>
          <w:szCs w:val="18"/>
        </w:rPr>
        <w:t>In artikel 6 wordt een relatie gelegd tussen deelname in OCCAR-verband aan de ontwikkeling</w:t>
      </w:r>
      <w:r w:rsidR="00447212">
        <w:rPr>
          <w:rFonts w:ascii="Verdana" w:hAnsi="Verdana" w:cstheme="minorHAnsi"/>
          <w:sz w:val="18"/>
          <w:szCs w:val="18"/>
        </w:rPr>
        <w:t xml:space="preserve"> van materieel</w:t>
      </w:r>
      <w:r w:rsidRPr="008131C9">
        <w:rPr>
          <w:rFonts w:ascii="Verdana" w:hAnsi="Verdana" w:cstheme="minorHAnsi"/>
          <w:sz w:val="18"/>
          <w:szCs w:val="18"/>
        </w:rPr>
        <w:t xml:space="preserve"> en de aansluitende verwerving </w:t>
      </w:r>
      <w:r w:rsidR="00447212">
        <w:rPr>
          <w:rFonts w:ascii="Verdana" w:hAnsi="Verdana" w:cstheme="minorHAnsi"/>
          <w:sz w:val="18"/>
          <w:szCs w:val="18"/>
        </w:rPr>
        <w:t>er</w:t>
      </w:r>
      <w:r w:rsidRPr="008131C9">
        <w:rPr>
          <w:rFonts w:ascii="Verdana" w:hAnsi="Verdana" w:cstheme="minorHAnsi"/>
          <w:sz w:val="18"/>
          <w:szCs w:val="18"/>
        </w:rPr>
        <w:t>van. De Nederlandse toetreding tot OCCAR leidt niet tot een verplichting tot deelname aan OCCAR-projecten.</w:t>
      </w:r>
    </w:p>
    <w:p w:rsidRPr="000A27E4" w:rsidR="00277640" w:rsidP="003B7EFC" w:rsidRDefault="00277640" w14:paraId="342C78B8" w14:textId="17071E77">
      <w:pPr>
        <w:pStyle w:val="ListParagraph"/>
        <w:numPr>
          <w:ilvl w:val="1"/>
          <w:numId w:val="11"/>
        </w:numPr>
        <w:jc w:val="both"/>
        <w:rPr>
          <w:rFonts w:ascii="Verdana" w:hAnsi="Verdana" w:cstheme="minorHAnsi"/>
          <w:bCs/>
          <w:sz w:val="18"/>
          <w:szCs w:val="18"/>
        </w:rPr>
      </w:pPr>
      <w:r w:rsidRPr="000A27E4">
        <w:rPr>
          <w:rFonts w:ascii="Verdana" w:hAnsi="Verdana" w:cstheme="minorHAnsi"/>
          <w:bCs/>
          <w:sz w:val="18"/>
          <w:szCs w:val="18"/>
        </w:rPr>
        <w:t>Algemene organisatie (hoofdstuk III), de Raad van Toezicht (hoofdstuk IV), het OCCAR-agentschap (hoofdstuk V)</w:t>
      </w:r>
    </w:p>
    <w:p w:rsidR="00844C63" w:rsidP="003B7EFC" w:rsidRDefault="00277640" w14:paraId="46D775C8" w14:textId="772BDB80">
      <w:pPr>
        <w:jc w:val="both"/>
        <w:rPr>
          <w:rFonts w:ascii="Verdana" w:hAnsi="Verdana"/>
          <w:sz w:val="18"/>
          <w:szCs w:val="18"/>
        </w:rPr>
      </w:pPr>
      <w:r w:rsidRPr="008131C9">
        <w:rPr>
          <w:rFonts w:ascii="Verdana" w:hAnsi="Verdana" w:cstheme="minorHAnsi"/>
          <w:sz w:val="18"/>
          <w:szCs w:val="18"/>
        </w:rPr>
        <w:t>OCCAR kent de voor een dergelijke organisatie gebruikelijke opbouw, waarbij onderscheid wordt gemaakt tussen een besluitvormings</w:t>
      </w:r>
      <w:r w:rsidR="00447212">
        <w:rPr>
          <w:rFonts w:ascii="Verdana" w:hAnsi="Verdana" w:cstheme="minorHAnsi"/>
          <w:sz w:val="18"/>
          <w:szCs w:val="18"/>
        </w:rPr>
        <w:t>orgaan</w:t>
      </w:r>
      <w:r w:rsidRPr="008131C9">
        <w:rPr>
          <w:rFonts w:ascii="Verdana" w:hAnsi="Verdana" w:cstheme="minorHAnsi"/>
          <w:sz w:val="18"/>
          <w:szCs w:val="18"/>
        </w:rPr>
        <w:t xml:space="preserve"> (</w:t>
      </w:r>
      <w:r w:rsidRPr="001401B1" w:rsidR="001401B1">
        <w:rPr>
          <w:rFonts w:ascii="Verdana" w:hAnsi="Verdana" w:cstheme="minorHAnsi"/>
          <w:i/>
          <w:sz w:val="18"/>
          <w:szCs w:val="18"/>
        </w:rPr>
        <w:t>Board of Supervisors</w:t>
      </w:r>
      <w:r w:rsidR="00E24A59">
        <w:rPr>
          <w:rFonts w:ascii="Verdana" w:hAnsi="Verdana" w:cstheme="minorHAnsi"/>
          <w:i/>
          <w:sz w:val="18"/>
          <w:szCs w:val="18"/>
        </w:rPr>
        <w:t>:</w:t>
      </w:r>
      <w:r w:rsidR="001401B1">
        <w:rPr>
          <w:rFonts w:ascii="Verdana" w:hAnsi="Verdana" w:cstheme="minorHAnsi"/>
          <w:sz w:val="18"/>
          <w:szCs w:val="18"/>
        </w:rPr>
        <w:t xml:space="preserve"> </w:t>
      </w:r>
      <w:r w:rsidRPr="008131C9">
        <w:rPr>
          <w:rFonts w:ascii="Verdana" w:hAnsi="Verdana" w:cstheme="minorHAnsi"/>
          <w:sz w:val="18"/>
          <w:szCs w:val="18"/>
        </w:rPr>
        <w:t xml:space="preserve">Raad </w:t>
      </w:r>
      <w:r w:rsidR="00790374">
        <w:rPr>
          <w:rFonts w:ascii="Verdana" w:hAnsi="Verdana" w:cstheme="minorHAnsi"/>
          <w:sz w:val="18"/>
          <w:szCs w:val="18"/>
        </w:rPr>
        <w:t>van Toezicht) en een uitvoerend</w:t>
      </w:r>
      <w:r w:rsidR="00447212">
        <w:rPr>
          <w:rFonts w:ascii="Verdana" w:hAnsi="Verdana" w:cstheme="minorHAnsi"/>
          <w:sz w:val="18"/>
          <w:szCs w:val="18"/>
        </w:rPr>
        <w:t xml:space="preserve"> orgaan</w:t>
      </w:r>
      <w:r w:rsidR="00844C63">
        <w:rPr>
          <w:rFonts w:ascii="Verdana" w:hAnsi="Verdana" w:cstheme="minorHAnsi"/>
          <w:sz w:val="18"/>
          <w:szCs w:val="18"/>
        </w:rPr>
        <w:t xml:space="preserve">, het </w:t>
      </w:r>
      <w:r w:rsidRPr="00844C63" w:rsidR="00844C63">
        <w:rPr>
          <w:rFonts w:ascii="Verdana" w:hAnsi="Verdana" w:cstheme="minorHAnsi"/>
          <w:i/>
          <w:sz w:val="18"/>
          <w:szCs w:val="18"/>
        </w:rPr>
        <w:t>Executive Agency</w:t>
      </w:r>
      <w:r w:rsidR="00790374">
        <w:rPr>
          <w:rFonts w:ascii="Verdana" w:hAnsi="Verdana" w:cstheme="minorHAnsi"/>
          <w:sz w:val="18"/>
          <w:szCs w:val="18"/>
        </w:rPr>
        <w:t xml:space="preserve"> </w:t>
      </w:r>
      <w:r w:rsidRPr="008131C9">
        <w:rPr>
          <w:rFonts w:ascii="Verdana" w:hAnsi="Verdana" w:cstheme="minorHAnsi"/>
          <w:sz w:val="18"/>
          <w:szCs w:val="18"/>
        </w:rPr>
        <w:t>(OCCAR-agentschap).</w:t>
      </w:r>
      <w:r w:rsidR="00844C63">
        <w:rPr>
          <w:rFonts w:ascii="Verdana" w:hAnsi="Verdana" w:cstheme="minorHAnsi"/>
          <w:sz w:val="18"/>
          <w:szCs w:val="18"/>
        </w:rPr>
        <w:t xml:space="preserve"> </w:t>
      </w:r>
      <w:r w:rsidRPr="008131C9">
        <w:rPr>
          <w:rFonts w:ascii="Verdana" w:hAnsi="Verdana" w:cstheme="minorHAnsi"/>
          <w:sz w:val="18"/>
          <w:szCs w:val="18"/>
        </w:rPr>
        <w:t>De Raad</w:t>
      </w:r>
      <w:r w:rsidR="00B176DA">
        <w:rPr>
          <w:rFonts w:ascii="Verdana" w:hAnsi="Verdana" w:cstheme="minorHAnsi"/>
          <w:sz w:val="18"/>
          <w:szCs w:val="18"/>
        </w:rPr>
        <w:t xml:space="preserve"> van Toezicht</w:t>
      </w:r>
      <w:r w:rsidRPr="008131C9">
        <w:rPr>
          <w:rFonts w:ascii="Verdana" w:hAnsi="Verdana" w:cstheme="minorHAnsi"/>
          <w:sz w:val="18"/>
          <w:szCs w:val="18"/>
        </w:rPr>
        <w:t xml:space="preserve"> is het hoogste besluitvormingsorgaan en tevens het leidende en toezichthoudende orgaan voor het agentschap en alle comités</w:t>
      </w:r>
      <w:r w:rsidR="00447212">
        <w:rPr>
          <w:rFonts w:ascii="Verdana" w:hAnsi="Verdana" w:cstheme="minorHAnsi"/>
          <w:sz w:val="18"/>
          <w:szCs w:val="18"/>
        </w:rPr>
        <w:t xml:space="preserve"> waaraan de Raad taken kan delegeren</w:t>
      </w:r>
      <w:r w:rsidR="006641D5">
        <w:rPr>
          <w:rFonts w:ascii="Verdana" w:hAnsi="Verdana" w:cstheme="minorHAnsi"/>
          <w:sz w:val="18"/>
          <w:szCs w:val="18"/>
        </w:rPr>
        <w:t>.</w:t>
      </w:r>
      <w:r w:rsidRPr="00844C63" w:rsidR="00844C63">
        <w:rPr>
          <w:rFonts w:ascii="Verdana" w:hAnsi="Verdana"/>
          <w:sz w:val="18"/>
          <w:szCs w:val="18"/>
        </w:rPr>
        <w:t xml:space="preserve"> </w:t>
      </w:r>
      <w:r w:rsidR="00844C63">
        <w:rPr>
          <w:rFonts w:ascii="Verdana" w:hAnsi="Verdana"/>
          <w:sz w:val="18"/>
          <w:szCs w:val="18"/>
        </w:rPr>
        <w:t>De Ministers van Defensie</w:t>
      </w:r>
      <w:r w:rsidR="006641D5">
        <w:rPr>
          <w:rFonts w:ascii="Verdana" w:hAnsi="Verdana"/>
          <w:sz w:val="18"/>
          <w:szCs w:val="18"/>
        </w:rPr>
        <w:t xml:space="preserve"> of hun vertegenwoordigers</w:t>
      </w:r>
      <w:r w:rsidR="00844C63">
        <w:rPr>
          <w:rFonts w:ascii="Verdana" w:hAnsi="Verdana"/>
          <w:sz w:val="18"/>
          <w:szCs w:val="18"/>
        </w:rPr>
        <w:t xml:space="preserve"> hebben zitting in deze Raad. In de praktijk is deze taak gedelegeerd aan hoge nationale ambtenaren: de </w:t>
      </w:r>
      <w:r w:rsidRPr="00B81701" w:rsidR="00844C63">
        <w:rPr>
          <w:rFonts w:ascii="Verdana" w:hAnsi="Verdana"/>
          <w:i/>
          <w:sz w:val="18"/>
          <w:szCs w:val="18"/>
        </w:rPr>
        <w:t xml:space="preserve">National </w:t>
      </w:r>
      <w:proofErr w:type="spellStart"/>
      <w:r w:rsidRPr="00B81701" w:rsidR="00844C63">
        <w:rPr>
          <w:rFonts w:ascii="Verdana" w:hAnsi="Verdana"/>
          <w:i/>
          <w:sz w:val="18"/>
          <w:szCs w:val="18"/>
        </w:rPr>
        <w:t>Armaments</w:t>
      </w:r>
      <w:proofErr w:type="spellEnd"/>
      <w:r w:rsidRPr="00B81701" w:rsidR="00844C63">
        <w:rPr>
          <w:rFonts w:ascii="Verdana" w:hAnsi="Verdana"/>
          <w:i/>
          <w:sz w:val="18"/>
          <w:szCs w:val="18"/>
        </w:rPr>
        <w:t xml:space="preserve"> Directors</w:t>
      </w:r>
      <w:r w:rsidR="00844C63">
        <w:rPr>
          <w:rFonts w:ascii="Verdana" w:hAnsi="Verdana"/>
          <w:sz w:val="18"/>
          <w:szCs w:val="18"/>
        </w:rPr>
        <w:t xml:space="preserve"> (</w:t>
      </w:r>
      <w:proofErr w:type="spellStart"/>
      <w:r w:rsidR="00844C63">
        <w:rPr>
          <w:rFonts w:ascii="Verdana" w:hAnsi="Verdana"/>
          <w:sz w:val="18"/>
          <w:szCs w:val="18"/>
        </w:rPr>
        <w:t>NADs</w:t>
      </w:r>
      <w:proofErr w:type="spellEnd"/>
      <w:r w:rsidR="00844C63">
        <w:rPr>
          <w:rFonts w:ascii="Verdana" w:hAnsi="Verdana"/>
          <w:sz w:val="18"/>
          <w:szCs w:val="18"/>
        </w:rPr>
        <w:t>)</w:t>
      </w:r>
      <w:r w:rsidRPr="008131C9">
        <w:rPr>
          <w:rFonts w:ascii="Verdana" w:hAnsi="Verdana" w:cstheme="minorHAnsi"/>
          <w:sz w:val="18"/>
          <w:szCs w:val="18"/>
        </w:rPr>
        <w:t xml:space="preserve">. </w:t>
      </w:r>
      <w:r w:rsidR="00844C63">
        <w:rPr>
          <w:rFonts w:ascii="Verdana" w:hAnsi="Verdana"/>
          <w:sz w:val="18"/>
          <w:szCs w:val="18"/>
        </w:rPr>
        <w:t xml:space="preserve">In Nederland fungeert de Commandant van het Commando Materieel en IT van Defensie (COMMIT) als NAD. </w:t>
      </w:r>
    </w:p>
    <w:p w:rsidR="0034776B" w:rsidP="0034776B" w:rsidRDefault="00277640" w14:paraId="3671FECE" w14:textId="42C977E5">
      <w:pPr>
        <w:jc w:val="both"/>
        <w:rPr>
          <w:rFonts w:ascii="Verdana" w:hAnsi="Verdana" w:cstheme="minorHAnsi"/>
          <w:sz w:val="18"/>
          <w:szCs w:val="18"/>
        </w:rPr>
      </w:pPr>
      <w:r w:rsidRPr="008131C9">
        <w:rPr>
          <w:rFonts w:ascii="Verdana" w:hAnsi="Verdana" w:cstheme="minorHAnsi"/>
          <w:sz w:val="18"/>
          <w:szCs w:val="18"/>
        </w:rPr>
        <w:t>De Raad</w:t>
      </w:r>
      <w:r w:rsidR="003B7233">
        <w:rPr>
          <w:rFonts w:ascii="Verdana" w:hAnsi="Verdana" w:cstheme="minorHAnsi"/>
          <w:sz w:val="18"/>
          <w:szCs w:val="18"/>
        </w:rPr>
        <w:t xml:space="preserve"> van Toezicht</w:t>
      </w:r>
      <w:r w:rsidRPr="008131C9">
        <w:rPr>
          <w:rFonts w:ascii="Verdana" w:hAnsi="Verdana" w:cstheme="minorHAnsi"/>
          <w:sz w:val="18"/>
          <w:szCs w:val="18"/>
        </w:rPr>
        <w:t xml:space="preserve"> is verantwoordelijk voor alle noodzakelijke besluiten voor de uitvoering van </w:t>
      </w:r>
      <w:r w:rsidR="00326793">
        <w:rPr>
          <w:rFonts w:ascii="Verdana" w:hAnsi="Verdana"/>
          <w:sz w:val="18"/>
          <w:szCs w:val="18"/>
        </w:rPr>
        <w:t>het OCCAR-</w:t>
      </w:r>
      <w:r w:rsidR="00264B2C">
        <w:rPr>
          <w:rFonts w:ascii="Verdana" w:hAnsi="Verdana"/>
          <w:sz w:val="18"/>
          <w:szCs w:val="18"/>
        </w:rPr>
        <w:t>v</w:t>
      </w:r>
      <w:r w:rsidR="00326793">
        <w:rPr>
          <w:rFonts w:ascii="Verdana" w:hAnsi="Verdana"/>
          <w:sz w:val="18"/>
          <w:szCs w:val="18"/>
        </w:rPr>
        <w:t>erdrag</w:t>
      </w:r>
      <w:r w:rsidRPr="008131C9" w:rsidDel="00334869" w:rsidR="00334869">
        <w:rPr>
          <w:rFonts w:ascii="Verdana" w:hAnsi="Verdana" w:cstheme="minorHAnsi"/>
          <w:sz w:val="18"/>
          <w:szCs w:val="18"/>
        </w:rPr>
        <w:t xml:space="preserve"> </w:t>
      </w:r>
      <w:r w:rsidRPr="008131C9">
        <w:rPr>
          <w:rFonts w:ascii="Verdana" w:hAnsi="Verdana" w:cstheme="minorHAnsi"/>
          <w:sz w:val="18"/>
          <w:szCs w:val="18"/>
        </w:rPr>
        <w:t>en de voorschriften die nodig zijn voor de uitvoering van de taken. De verantwoordelijkheid van de Raad voor de uitvoeri</w:t>
      </w:r>
      <w:r w:rsidR="008131C9">
        <w:rPr>
          <w:rFonts w:ascii="Verdana" w:hAnsi="Verdana" w:cstheme="minorHAnsi"/>
          <w:sz w:val="18"/>
          <w:szCs w:val="18"/>
        </w:rPr>
        <w:t xml:space="preserve">ng van </w:t>
      </w:r>
      <w:r w:rsidR="00326793">
        <w:rPr>
          <w:rFonts w:ascii="Verdana" w:hAnsi="Verdana"/>
          <w:sz w:val="18"/>
          <w:szCs w:val="18"/>
        </w:rPr>
        <w:t>het OCCAR-</w:t>
      </w:r>
      <w:r w:rsidR="00264B2C">
        <w:rPr>
          <w:rFonts w:ascii="Verdana" w:hAnsi="Verdana"/>
          <w:sz w:val="18"/>
          <w:szCs w:val="18"/>
        </w:rPr>
        <w:t>v</w:t>
      </w:r>
      <w:r w:rsidR="00326793">
        <w:rPr>
          <w:rFonts w:ascii="Verdana" w:hAnsi="Verdana"/>
          <w:sz w:val="18"/>
          <w:szCs w:val="18"/>
        </w:rPr>
        <w:t>erdrag</w:t>
      </w:r>
      <w:r w:rsidDel="00334869" w:rsidR="00334869">
        <w:rPr>
          <w:rFonts w:ascii="Verdana" w:hAnsi="Verdana" w:cstheme="minorHAnsi"/>
          <w:sz w:val="18"/>
          <w:szCs w:val="18"/>
        </w:rPr>
        <w:t xml:space="preserve"> </w:t>
      </w:r>
      <w:r w:rsidR="008131C9">
        <w:rPr>
          <w:rFonts w:ascii="Verdana" w:hAnsi="Verdana" w:cstheme="minorHAnsi"/>
          <w:sz w:val="18"/>
          <w:szCs w:val="18"/>
        </w:rPr>
        <w:t xml:space="preserve">omvat ook de </w:t>
      </w:r>
      <w:r w:rsidRPr="008131C9">
        <w:rPr>
          <w:rFonts w:ascii="Verdana" w:hAnsi="Verdana" w:cstheme="minorHAnsi"/>
          <w:sz w:val="18"/>
          <w:szCs w:val="18"/>
        </w:rPr>
        <w:t xml:space="preserve">bevoegdheid voor het benoemen van de Directeur, diens plaatsvervanger en het overige directiepersoneel. </w:t>
      </w:r>
    </w:p>
    <w:p w:rsidR="00A47F37" w:rsidP="0034776B" w:rsidRDefault="00277640" w14:paraId="4F409580" w14:textId="239F6222">
      <w:pPr>
        <w:jc w:val="both"/>
        <w:rPr>
          <w:rFonts w:ascii="Verdana" w:hAnsi="Verdana" w:cstheme="minorHAnsi"/>
          <w:sz w:val="18"/>
          <w:szCs w:val="18"/>
        </w:rPr>
      </w:pPr>
      <w:r w:rsidRPr="008131C9">
        <w:rPr>
          <w:rFonts w:ascii="Verdana" w:hAnsi="Verdana" w:cstheme="minorHAnsi"/>
          <w:sz w:val="18"/>
          <w:szCs w:val="18"/>
        </w:rPr>
        <w:t xml:space="preserve">Iedere lidstaat heeft in de Raad </w:t>
      </w:r>
      <w:r w:rsidR="00EE3403">
        <w:rPr>
          <w:rFonts w:ascii="Verdana" w:hAnsi="Verdana" w:cstheme="minorHAnsi"/>
          <w:sz w:val="18"/>
          <w:szCs w:val="18"/>
        </w:rPr>
        <w:t>éé</w:t>
      </w:r>
      <w:r w:rsidRPr="008131C9">
        <w:rPr>
          <w:rFonts w:ascii="Verdana" w:hAnsi="Verdana" w:cstheme="minorHAnsi"/>
          <w:sz w:val="18"/>
          <w:szCs w:val="18"/>
        </w:rPr>
        <w:t>n vertegenwoordiger met stemrecht.</w:t>
      </w:r>
      <w:r w:rsidR="006641D5">
        <w:rPr>
          <w:rFonts w:ascii="Verdana" w:hAnsi="Verdana" w:cstheme="minorHAnsi"/>
          <w:sz w:val="18"/>
          <w:szCs w:val="18"/>
        </w:rPr>
        <w:t xml:space="preserve"> </w:t>
      </w:r>
      <w:r w:rsidR="00CF17FC">
        <w:rPr>
          <w:rFonts w:ascii="Verdana" w:hAnsi="Verdana" w:cstheme="minorHAnsi"/>
          <w:sz w:val="18"/>
          <w:szCs w:val="18"/>
        </w:rPr>
        <w:t xml:space="preserve">De </w:t>
      </w:r>
      <w:r w:rsidRPr="008131C9">
        <w:rPr>
          <w:rFonts w:ascii="Verdana" w:hAnsi="Verdana" w:cstheme="minorHAnsi"/>
          <w:sz w:val="18"/>
          <w:szCs w:val="18"/>
        </w:rPr>
        <w:t>besluitvorming vindt</w:t>
      </w:r>
      <w:r w:rsidR="00CF17FC">
        <w:rPr>
          <w:rFonts w:ascii="Verdana" w:hAnsi="Verdana" w:cstheme="minorHAnsi"/>
          <w:sz w:val="18"/>
          <w:szCs w:val="18"/>
        </w:rPr>
        <w:t xml:space="preserve"> plaats</w:t>
      </w:r>
      <w:r w:rsidRPr="008131C9">
        <w:rPr>
          <w:rFonts w:ascii="Verdana" w:hAnsi="Verdana" w:cstheme="minorHAnsi"/>
          <w:sz w:val="18"/>
          <w:szCs w:val="18"/>
        </w:rPr>
        <w:t xml:space="preserve"> op basis van unanimiteit, met uitzondering van de in </w:t>
      </w:r>
      <w:r w:rsidR="00447212">
        <w:rPr>
          <w:rFonts w:ascii="Verdana" w:hAnsi="Verdana" w:cstheme="minorHAnsi"/>
          <w:sz w:val="18"/>
          <w:szCs w:val="18"/>
        </w:rPr>
        <w:t>B</w:t>
      </w:r>
      <w:r w:rsidRPr="008131C9">
        <w:rPr>
          <w:rFonts w:ascii="Verdana" w:hAnsi="Verdana" w:cstheme="minorHAnsi"/>
          <w:sz w:val="18"/>
          <w:szCs w:val="18"/>
        </w:rPr>
        <w:t xml:space="preserve">ijlage IV genoemde besluiten. Indien </w:t>
      </w:r>
      <w:r w:rsidR="008B2018">
        <w:rPr>
          <w:rFonts w:ascii="Verdana" w:hAnsi="Verdana" w:cstheme="minorHAnsi"/>
          <w:sz w:val="18"/>
          <w:szCs w:val="18"/>
        </w:rPr>
        <w:lastRenderedPageBreak/>
        <w:t>in het verdrag</w:t>
      </w:r>
      <w:r w:rsidRPr="008131C9">
        <w:rPr>
          <w:rFonts w:ascii="Verdana" w:hAnsi="Verdana" w:cstheme="minorHAnsi"/>
          <w:sz w:val="18"/>
          <w:szCs w:val="18"/>
        </w:rPr>
        <w:t xml:space="preserve"> geen voorziening is </w:t>
      </w:r>
      <w:r w:rsidR="008B2018">
        <w:rPr>
          <w:rFonts w:ascii="Verdana" w:hAnsi="Verdana" w:cstheme="minorHAnsi"/>
          <w:sz w:val="18"/>
          <w:szCs w:val="18"/>
        </w:rPr>
        <w:t>opgenomen</w:t>
      </w:r>
      <w:r w:rsidRPr="008131C9" w:rsidR="008B2018">
        <w:rPr>
          <w:rFonts w:ascii="Verdana" w:hAnsi="Verdana" w:cstheme="minorHAnsi"/>
          <w:sz w:val="18"/>
          <w:szCs w:val="18"/>
        </w:rPr>
        <w:t xml:space="preserve"> </w:t>
      </w:r>
      <w:r w:rsidRPr="008131C9">
        <w:rPr>
          <w:rFonts w:ascii="Verdana" w:hAnsi="Verdana" w:cstheme="minorHAnsi"/>
          <w:sz w:val="18"/>
          <w:szCs w:val="18"/>
        </w:rPr>
        <w:t xml:space="preserve">of </w:t>
      </w:r>
      <w:r w:rsidR="00447212">
        <w:rPr>
          <w:rFonts w:ascii="Verdana" w:hAnsi="Verdana" w:cstheme="minorHAnsi"/>
          <w:sz w:val="18"/>
          <w:szCs w:val="18"/>
        </w:rPr>
        <w:t xml:space="preserve">in het geval dat </w:t>
      </w:r>
      <w:r w:rsidRPr="008131C9">
        <w:rPr>
          <w:rFonts w:ascii="Verdana" w:hAnsi="Verdana" w:cstheme="minorHAnsi"/>
          <w:sz w:val="18"/>
          <w:szCs w:val="18"/>
        </w:rPr>
        <w:t xml:space="preserve">er een </w:t>
      </w:r>
      <w:r w:rsidR="006E2AA8">
        <w:rPr>
          <w:rFonts w:ascii="Verdana" w:hAnsi="Verdana" w:cstheme="minorHAnsi"/>
          <w:sz w:val="18"/>
          <w:szCs w:val="18"/>
        </w:rPr>
        <w:t>geschil</w:t>
      </w:r>
      <w:r w:rsidRPr="008131C9" w:rsidR="006E2AA8">
        <w:rPr>
          <w:rFonts w:ascii="Verdana" w:hAnsi="Verdana" w:cstheme="minorHAnsi"/>
          <w:sz w:val="18"/>
          <w:szCs w:val="18"/>
        </w:rPr>
        <w:t xml:space="preserve"> </w:t>
      </w:r>
      <w:r w:rsidRPr="008131C9">
        <w:rPr>
          <w:rFonts w:ascii="Verdana" w:hAnsi="Verdana" w:cstheme="minorHAnsi"/>
          <w:sz w:val="18"/>
          <w:szCs w:val="18"/>
        </w:rPr>
        <w:t xml:space="preserve">over de </w:t>
      </w:r>
      <w:r w:rsidR="008B2018">
        <w:rPr>
          <w:rFonts w:ascii="Verdana" w:hAnsi="Verdana" w:cstheme="minorHAnsi"/>
          <w:sz w:val="18"/>
          <w:szCs w:val="18"/>
        </w:rPr>
        <w:t>toepasselijkheid</w:t>
      </w:r>
      <w:r w:rsidRPr="008131C9" w:rsidR="008B2018">
        <w:rPr>
          <w:rFonts w:ascii="Verdana" w:hAnsi="Verdana" w:cstheme="minorHAnsi"/>
          <w:sz w:val="18"/>
          <w:szCs w:val="18"/>
        </w:rPr>
        <w:t xml:space="preserve"> </w:t>
      </w:r>
      <w:r w:rsidRPr="008131C9">
        <w:rPr>
          <w:rFonts w:ascii="Verdana" w:hAnsi="Verdana" w:cstheme="minorHAnsi"/>
          <w:sz w:val="18"/>
          <w:szCs w:val="18"/>
        </w:rPr>
        <w:t>van een bepaling bestaat, zullen besluiten bij unanimiteit worden genomen.</w:t>
      </w:r>
      <w:r w:rsidRPr="00943D98" w:rsidR="00943D98">
        <w:rPr>
          <w:rFonts w:ascii="Verdana" w:hAnsi="Verdana"/>
          <w:sz w:val="18"/>
          <w:szCs w:val="18"/>
        </w:rPr>
        <w:t xml:space="preserve"> </w:t>
      </w:r>
      <w:r w:rsidR="00943D98">
        <w:rPr>
          <w:rFonts w:ascii="Verdana" w:hAnsi="Verdana"/>
          <w:sz w:val="18"/>
          <w:szCs w:val="18"/>
        </w:rPr>
        <w:t>De vier oorspronkelijke OCCAR-lidstaten Duitsland, Frankrijk, Italië en het VK hebben tien stemmen en van de later toegetreden lidstaten heeft Spanje acht stemmen en België vijf. Nederland krijgt bij toetreding eveneens vijf stemmen. Voor de verwerping van een voorstel zijn tien stemmen nodig. De OCCAR-lidstaten streven echter steeds naar onderlinge overeenstemming zonder het op een stemming te laten aankomen.</w:t>
      </w:r>
      <w:r w:rsidRPr="00A47F37" w:rsidR="00A47F37">
        <w:rPr>
          <w:rFonts w:ascii="Verdana" w:hAnsi="Verdana" w:cstheme="minorHAnsi"/>
          <w:sz w:val="18"/>
          <w:szCs w:val="18"/>
        </w:rPr>
        <w:t xml:space="preserve"> </w:t>
      </w:r>
    </w:p>
    <w:p w:rsidRPr="008131C9" w:rsidR="00277640" w:rsidP="0034776B" w:rsidRDefault="00A47F37" w14:paraId="053EBB79" w14:textId="16CDE14D">
      <w:pPr>
        <w:jc w:val="both"/>
        <w:rPr>
          <w:rFonts w:ascii="Verdana" w:hAnsi="Verdana" w:cstheme="minorHAnsi"/>
          <w:sz w:val="18"/>
          <w:szCs w:val="18"/>
        </w:rPr>
      </w:pPr>
      <w:r>
        <w:rPr>
          <w:rFonts w:ascii="Verdana" w:hAnsi="Verdana" w:cstheme="minorHAnsi"/>
          <w:sz w:val="18"/>
          <w:szCs w:val="18"/>
        </w:rPr>
        <w:t>B</w:t>
      </w:r>
      <w:r w:rsidRPr="008131C9">
        <w:rPr>
          <w:rFonts w:ascii="Verdana" w:hAnsi="Verdana" w:cstheme="minorHAnsi"/>
          <w:sz w:val="18"/>
          <w:szCs w:val="18"/>
        </w:rPr>
        <w:t>esluiten in de Raad over projecten waaraan niet alle lidstaten deelnemen, worden genomen door de vertegenwoordigers</w:t>
      </w:r>
      <w:r>
        <w:rPr>
          <w:rFonts w:ascii="Verdana" w:hAnsi="Verdana" w:cstheme="minorHAnsi"/>
          <w:sz w:val="18"/>
          <w:szCs w:val="18"/>
        </w:rPr>
        <w:t xml:space="preserve"> van de lidstaten die daaraan wel deelnemen.</w:t>
      </w:r>
      <w:r w:rsidRPr="00EE1F29">
        <w:t xml:space="preserve"> </w:t>
      </w:r>
      <w:r w:rsidRPr="008131C9">
        <w:rPr>
          <w:rFonts w:ascii="Verdana" w:hAnsi="Verdana" w:cstheme="minorHAnsi"/>
          <w:sz w:val="18"/>
          <w:szCs w:val="18"/>
        </w:rPr>
        <w:t xml:space="preserve">De regeling ten aanzien van het recht tot deelname aan de Raad </w:t>
      </w:r>
      <w:r>
        <w:rPr>
          <w:rFonts w:ascii="Verdana" w:hAnsi="Verdana" w:cstheme="minorHAnsi"/>
          <w:sz w:val="18"/>
          <w:szCs w:val="18"/>
        </w:rPr>
        <w:t xml:space="preserve">van Toezicht </w:t>
      </w:r>
      <w:r w:rsidRPr="008131C9">
        <w:rPr>
          <w:rFonts w:ascii="Verdana" w:hAnsi="Verdana" w:cstheme="minorHAnsi"/>
          <w:sz w:val="18"/>
          <w:szCs w:val="18"/>
        </w:rPr>
        <w:t xml:space="preserve">beschrijft wie aan </w:t>
      </w:r>
      <w:r>
        <w:rPr>
          <w:rFonts w:ascii="Verdana" w:hAnsi="Verdana" w:cstheme="minorHAnsi"/>
          <w:sz w:val="18"/>
          <w:szCs w:val="18"/>
        </w:rPr>
        <w:t xml:space="preserve">vergaderingen van </w:t>
      </w:r>
      <w:r w:rsidRPr="008131C9">
        <w:rPr>
          <w:rFonts w:ascii="Verdana" w:hAnsi="Verdana" w:cstheme="minorHAnsi"/>
          <w:sz w:val="18"/>
          <w:szCs w:val="18"/>
        </w:rPr>
        <w:t xml:space="preserve">de Raad mogen deelnemen naast de vertegenwoordigers van de lidstaten. </w:t>
      </w:r>
      <w:r w:rsidRPr="00EE1F29">
        <w:rPr>
          <w:rFonts w:ascii="Verdana" w:hAnsi="Verdana" w:cstheme="minorHAnsi"/>
          <w:sz w:val="18"/>
          <w:szCs w:val="18"/>
        </w:rPr>
        <w:t>Het voorzitterschap van de Raad van Toezicht rouleert tussen de lidstaten met een termijn van één jaar.</w:t>
      </w:r>
    </w:p>
    <w:p w:rsidR="006B0F10" w:rsidP="003B7EFC" w:rsidRDefault="0034776B" w14:paraId="510830F3" w14:textId="653F7349">
      <w:pPr>
        <w:jc w:val="both"/>
        <w:rPr>
          <w:rFonts w:ascii="Verdana" w:hAnsi="Verdana" w:cstheme="minorHAnsi"/>
          <w:sz w:val="18"/>
          <w:szCs w:val="18"/>
        </w:rPr>
      </w:pPr>
      <w:r w:rsidRPr="008131C9">
        <w:rPr>
          <w:rFonts w:ascii="Verdana" w:hAnsi="Verdana" w:cstheme="minorHAnsi"/>
          <w:sz w:val="18"/>
          <w:szCs w:val="18"/>
        </w:rPr>
        <w:t xml:space="preserve">De Raad </w:t>
      </w:r>
      <w:r>
        <w:rPr>
          <w:rFonts w:ascii="Verdana" w:hAnsi="Verdana" w:cstheme="minorHAnsi"/>
          <w:sz w:val="18"/>
          <w:szCs w:val="18"/>
        </w:rPr>
        <w:t xml:space="preserve">van Toezicht </w:t>
      </w:r>
      <w:r w:rsidRPr="008131C9">
        <w:rPr>
          <w:rFonts w:ascii="Verdana" w:hAnsi="Verdana" w:cstheme="minorHAnsi"/>
          <w:sz w:val="18"/>
          <w:szCs w:val="18"/>
        </w:rPr>
        <w:t>kan taken delegeren aan</w:t>
      </w:r>
      <w:r>
        <w:rPr>
          <w:rFonts w:ascii="Verdana" w:hAnsi="Verdana" w:cstheme="minorHAnsi"/>
          <w:sz w:val="18"/>
          <w:szCs w:val="18"/>
        </w:rPr>
        <w:t xml:space="preserve"> onder andere een planningscomité en aan</w:t>
      </w:r>
      <w:r w:rsidRPr="008131C9">
        <w:rPr>
          <w:rFonts w:ascii="Verdana" w:hAnsi="Verdana" w:cstheme="minorHAnsi"/>
          <w:sz w:val="18"/>
          <w:szCs w:val="18"/>
        </w:rPr>
        <w:t xml:space="preserve"> pro</w:t>
      </w:r>
      <w:r w:rsidR="003F0E26">
        <w:rPr>
          <w:rFonts w:ascii="Verdana" w:hAnsi="Verdana" w:cstheme="minorHAnsi"/>
          <w:sz w:val="18"/>
          <w:szCs w:val="18"/>
        </w:rPr>
        <w:t>ject</w:t>
      </w:r>
      <w:r w:rsidRPr="008131C9">
        <w:rPr>
          <w:rFonts w:ascii="Verdana" w:hAnsi="Verdana" w:cstheme="minorHAnsi"/>
          <w:sz w:val="18"/>
          <w:szCs w:val="18"/>
        </w:rPr>
        <w:t>comités</w:t>
      </w:r>
      <w:r>
        <w:rPr>
          <w:rFonts w:ascii="Verdana" w:hAnsi="Verdana" w:cstheme="minorHAnsi"/>
          <w:sz w:val="18"/>
          <w:szCs w:val="18"/>
        </w:rPr>
        <w:t xml:space="preserve"> die toezicht houden op afzonderlijke pro</w:t>
      </w:r>
      <w:r w:rsidR="003F0E26">
        <w:rPr>
          <w:rFonts w:ascii="Verdana" w:hAnsi="Verdana" w:cstheme="minorHAnsi"/>
          <w:sz w:val="18"/>
          <w:szCs w:val="18"/>
        </w:rPr>
        <w:t>jecten</w:t>
      </w:r>
      <w:r>
        <w:rPr>
          <w:rFonts w:ascii="Verdana" w:hAnsi="Verdana" w:cstheme="minorHAnsi"/>
          <w:sz w:val="18"/>
          <w:szCs w:val="18"/>
        </w:rPr>
        <w:t>. U</w:t>
      </w:r>
      <w:r w:rsidRPr="008131C9">
        <w:rPr>
          <w:rFonts w:ascii="Verdana" w:hAnsi="Verdana" w:cstheme="minorHAnsi"/>
          <w:sz w:val="18"/>
          <w:szCs w:val="18"/>
        </w:rPr>
        <w:t xml:space="preserve">itsluitend vertegenwoordigers van de </w:t>
      </w:r>
      <w:r>
        <w:rPr>
          <w:rFonts w:ascii="Verdana" w:hAnsi="Verdana" w:cstheme="minorHAnsi"/>
          <w:sz w:val="18"/>
          <w:szCs w:val="18"/>
        </w:rPr>
        <w:t>lidstaten</w:t>
      </w:r>
      <w:r w:rsidR="003F0E26">
        <w:rPr>
          <w:rFonts w:ascii="Verdana" w:hAnsi="Verdana" w:cstheme="minorHAnsi"/>
          <w:sz w:val="18"/>
          <w:szCs w:val="18"/>
        </w:rPr>
        <w:t xml:space="preserve"> in een project</w:t>
      </w:r>
      <w:r w:rsidR="006B0F10">
        <w:rPr>
          <w:rFonts w:ascii="Verdana" w:hAnsi="Verdana" w:cstheme="minorHAnsi"/>
          <w:sz w:val="18"/>
          <w:szCs w:val="18"/>
        </w:rPr>
        <w:t xml:space="preserve">comité </w:t>
      </w:r>
      <w:r>
        <w:rPr>
          <w:rFonts w:ascii="Verdana" w:hAnsi="Verdana" w:cstheme="minorHAnsi"/>
          <w:sz w:val="18"/>
          <w:szCs w:val="18"/>
        </w:rPr>
        <w:t xml:space="preserve">die </w:t>
      </w:r>
      <w:r w:rsidRPr="008131C9">
        <w:rPr>
          <w:rFonts w:ascii="Verdana" w:hAnsi="Verdana" w:cstheme="minorHAnsi"/>
          <w:sz w:val="18"/>
          <w:szCs w:val="18"/>
        </w:rPr>
        <w:t xml:space="preserve">aan </w:t>
      </w:r>
      <w:r>
        <w:rPr>
          <w:rFonts w:ascii="Verdana" w:hAnsi="Verdana" w:cstheme="minorHAnsi"/>
          <w:sz w:val="18"/>
          <w:szCs w:val="18"/>
        </w:rPr>
        <w:t xml:space="preserve">de </w:t>
      </w:r>
      <w:r w:rsidRPr="008131C9">
        <w:rPr>
          <w:rFonts w:ascii="Verdana" w:hAnsi="Verdana" w:cstheme="minorHAnsi"/>
          <w:sz w:val="18"/>
          <w:szCs w:val="18"/>
        </w:rPr>
        <w:t xml:space="preserve">betreffende </w:t>
      </w:r>
      <w:r w:rsidR="006B0F10">
        <w:rPr>
          <w:rFonts w:ascii="Verdana" w:hAnsi="Verdana" w:cstheme="minorHAnsi"/>
          <w:sz w:val="18"/>
          <w:szCs w:val="18"/>
        </w:rPr>
        <w:t>pro</w:t>
      </w:r>
      <w:r w:rsidR="003F0E26">
        <w:rPr>
          <w:rFonts w:ascii="Verdana" w:hAnsi="Verdana" w:cstheme="minorHAnsi"/>
          <w:sz w:val="18"/>
          <w:szCs w:val="18"/>
        </w:rPr>
        <w:t>jecten</w:t>
      </w:r>
      <w:r w:rsidRPr="008131C9">
        <w:rPr>
          <w:rFonts w:ascii="Verdana" w:hAnsi="Verdana" w:cstheme="minorHAnsi"/>
          <w:sz w:val="18"/>
          <w:szCs w:val="18"/>
        </w:rPr>
        <w:t xml:space="preserve"> deelnemen, </w:t>
      </w:r>
      <w:r w:rsidR="006B0F10">
        <w:rPr>
          <w:rFonts w:ascii="Verdana" w:hAnsi="Verdana" w:cstheme="minorHAnsi"/>
          <w:sz w:val="18"/>
          <w:szCs w:val="18"/>
        </w:rPr>
        <w:t>kunnen besluiten nemen over die pro</w:t>
      </w:r>
      <w:r w:rsidR="003F0E26">
        <w:rPr>
          <w:rFonts w:ascii="Verdana" w:hAnsi="Verdana" w:cstheme="minorHAnsi"/>
          <w:sz w:val="18"/>
          <w:szCs w:val="18"/>
        </w:rPr>
        <w:t>jecten</w:t>
      </w:r>
      <w:r w:rsidRPr="008131C9">
        <w:rPr>
          <w:rFonts w:ascii="Verdana" w:hAnsi="Verdana" w:cstheme="minorHAnsi"/>
          <w:sz w:val="18"/>
          <w:szCs w:val="18"/>
        </w:rPr>
        <w:t>.</w:t>
      </w:r>
      <w:r>
        <w:rPr>
          <w:rFonts w:ascii="Verdana" w:hAnsi="Verdana" w:cstheme="minorHAnsi"/>
          <w:sz w:val="18"/>
          <w:szCs w:val="18"/>
        </w:rPr>
        <w:t xml:space="preserve"> </w:t>
      </w:r>
    </w:p>
    <w:p w:rsidRPr="008131C9" w:rsidR="00277640" w:rsidP="003B7EFC" w:rsidRDefault="00844C63" w14:paraId="7ACEB88C" w14:textId="1D58D947">
      <w:pPr>
        <w:jc w:val="both"/>
        <w:rPr>
          <w:rFonts w:ascii="Verdana" w:hAnsi="Verdana" w:cstheme="minorHAnsi"/>
          <w:sz w:val="18"/>
          <w:szCs w:val="18"/>
        </w:rPr>
      </w:pPr>
      <w:r w:rsidRPr="00844C63">
        <w:rPr>
          <w:rFonts w:ascii="Verdana" w:hAnsi="Verdana" w:cstheme="minorHAnsi"/>
          <w:sz w:val="18"/>
          <w:szCs w:val="18"/>
        </w:rPr>
        <w:t>De dagelijkse bedrijfsvoering van OCCAR is de taak van het OCCAR-agentschap</w:t>
      </w:r>
      <w:r>
        <w:rPr>
          <w:rFonts w:ascii="Verdana" w:hAnsi="Verdana" w:cstheme="minorHAnsi"/>
          <w:sz w:val="18"/>
          <w:szCs w:val="18"/>
        </w:rPr>
        <w:t>.</w:t>
      </w:r>
      <w:r w:rsidRPr="00844C63">
        <w:rPr>
          <w:rFonts w:ascii="Verdana" w:hAnsi="Verdana" w:cstheme="minorHAnsi"/>
          <w:sz w:val="18"/>
          <w:szCs w:val="18"/>
        </w:rPr>
        <w:t xml:space="preserve"> Dit agentschap bestaat uit het hoofdkwartier in Bonn en daarnaast aparte </w:t>
      </w:r>
      <w:r w:rsidR="006B0F10">
        <w:rPr>
          <w:rFonts w:ascii="Verdana" w:hAnsi="Verdana" w:cstheme="minorHAnsi"/>
          <w:sz w:val="18"/>
          <w:szCs w:val="18"/>
        </w:rPr>
        <w:t>pro</w:t>
      </w:r>
      <w:r w:rsidR="003F0E26">
        <w:rPr>
          <w:rFonts w:ascii="Verdana" w:hAnsi="Verdana" w:cstheme="minorHAnsi"/>
          <w:sz w:val="18"/>
          <w:szCs w:val="18"/>
        </w:rPr>
        <w:t>jectd</w:t>
      </w:r>
      <w:r w:rsidRPr="00844C63">
        <w:rPr>
          <w:rFonts w:ascii="Verdana" w:hAnsi="Verdana" w:cstheme="minorHAnsi"/>
          <w:sz w:val="18"/>
          <w:szCs w:val="18"/>
        </w:rPr>
        <w:t xml:space="preserve">ivisies voor de uitvoering van de </w:t>
      </w:r>
      <w:r w:rsidR="006B0F10">
        <w:rPr>
          <w:rFonts w:ascii="Verdana" w:hAnsi="Verdana" w:cstheme="minorHAnsi"/>
          <w:sz w:val="18"/>
          <w:szCs w:val="18"/>
        </w:rPr>
        <w:t>pro</w:t>
      </w:r>
      <w:r w:rsidR="003F0E26">
        <w:rPr>
          <w:rFonts w:ascii="Verdana" w:hAnsi="Verdana" w:cstheme="minorHAnsi"/>
          <w:sz w:val="18"/>
          <w:szCs w:val="18"/>
        </w:rPr>
        <w:t>jecten</w:t>
      </w:r>
      <w:r w:rsidRPr="00844C63">
        <w:rPr>
          <w:rFonts w:ascii="Verdana" w:hAnsi="Verdana" w:cstheme="minorHAnsi"/>
          <w:sz w:val="18"/>
          <w:szCs w:val="18"/>
        </w:rPr>
        <w:t xml:space="preserve">. </w:t>
      </w:r>
      <w:r w:rsidR="00EE3403">
        <w:rPr>
          <w:rFonts w:ascii="Verdana" w:hAnsi="Verdana" w:cstheme="minorHAnsi"/>
          <w:sz w:val="18"/>
          <w:szCs w:val="18"/>
        </w:rPr>
        <w:t xml:space="preserve">De projectdivisies genoemd in paragraaf 3.8 houden kantoor in de nabijheid van de industrie die de projecten uitvoert. </w:t>
      </w:r>
      <w:r w:rsidRPr="008131C9" w:rsidR="00A47F37">
        <w:rPr>
          <w:rFonts w:ascii="Verdana" w:hAnsi="Verdana" w:cstheme="minorHAnsi"/>
          <w:sz w:val="18"/>
          <w:szCs w:val="18"/>
        </w:rPr>
        <w:t xml:space="preserve">Het </w:t>
      </w:r>
      <w:r w:rsidR="00A47F37">
        <w:rPr>
          <w:rFonts w:ascii="Verdana" w:hAnsi="Verdana" w:cstheme="minorHAnsi"/>
          <w:sz w:val="18"/>
          <w:szCs w:val="18"/>
        </w:rPr>
        <w:t>hoofdkwartier</w:t>
      </w:r>
      <w:r w:rsidRPr="008131C9" w:rsidR="00A47F37">
        <w:rPr>
          <w:rFonts w:ascii="Verdana" w:hAnsi="Verdana" w:cstheme="minorHAnsi"/>
          <w:sz w:val="18"/>
          <w:szCs w:val="18"/>
        </w:rPr>
        <w:t xml:space="preserve"> bestaat uit de directie en een aantal divisies, waarvan de taken onder meer toekomstplanning, verwerving, contracten en financiën omvatten.</w:t>
      </w:r>
      <w:r w:rsidR="00A47F37">
        <w:rPr>
          <w:rFonts w:ascii="Verdana" w:hAnsi="Verdana" w:cstheme="minorHAnsi"/>
          <w:sz w:val="18"/>
          <w:szCs w:val="18"/>
        </w:rPr>
        <w:t xml:space="preserve"> </w:t>
      </w:r>
      <w:r w:rsidRPr="008131C9" w:rsidR="00277640">
        <w:rPr>
          <w:rFonts w:ascii="Verdana" w:hAnsi="Verdana" w:cstheme="minorHAnsi"/>
          <w:sz w:val="18"/>
          <w:szCs w:val="18"/>
        </w:rPr>
        <w:t xml:space="preserve">De door de Raad </w:t>
      </w:r>
      <w:r w:rsidR="00A64CE8">
        <w:rPr>
          <w:rFonts w:ascii="Verdana" w:hAnsi="Verdana" w:cstheme="minorHAnsi"/>
          <w:sz w:val="18"/>
          <w:szCs w:val="18"/>
        </w:rPr>
        <w:t xml:space="preserve">van Toezicht </w:t>
      </w:r>
      <w:r w:rsidRPr="008131C9" w:rsidR="00277640">
        <w:rPr>
          <w:rFonts w:ascii="Verdana" w:hAnsi="Verdana" w:cstheme="minorHAnsi"/>
          <w:sz w:val="18"/>
          <w:szCs w:val="18"/>
        </w:rPr>
        <w:t>benoemde Directeur, die aan het hoofd van het agentschap staat, is verantwoordelijk voor het uitvoeren van de raadsbesluiten. De Directeur is rechtstreeks verantwoording verschuldigd aan de Raad</w:t>
      </w:r>
      <w:r w:rsidR="00A64CE8">
        <w:rPr>
          <w:rFonts w:ascii="Verdana" w:hAnsi="Verdana" w:cstheme="minorHAnsi"/>
          <w:sz w:val="18"/>
          <w:szCs w:val="18"/>
        </w:rPr>
        <w:t xml:space="preserve"> van Toezicht</w:t>
      </w:r>
      <w:r w:rsidRPr="008131C9" w:rsidR="00277640">
        <w:rPr>
          <w:rFonts w:ascii="Verdana" w:hAnsi="Verdana" w:cstheme="minorHAnsi"/>
          <w:sz w:val="18"/>
          <w:szCs w:val="18"/>
        </w:rPr>
        <w:t>.</w:t>
      </w:r>
      <w:r w:rsidRPr="00A47F37" w:rsidR="00A47F37">
        <w:t xml:space="preserve"> </w:t>
      </w:r>
      <w:r w:rsidRPr="00A47F37" w:rsidR="00A47F37">
        <w:rPr>
          <w:rFonts w:ascii="Verdana" w:hAnsi="Verdana" w:cstheme="minorHAnsi"/>
          <w:sz w:val="18"/>
          <w:szCs w:val="18"/>
        </w:rPr>
        <w:t>De benoemingstermijn voor de Directeur bedraagt drie jaar met de mogelijkheid tot een eenmalige verlenging met maximaal drie jaar.</w:t>
      </w:r>
      <w:r w:rsidRPr="008131C9" w:rsidR="00277640">
        <w:rPr>
          <w:rFonts w:ascii="Verdana" w:hAnsi="Verdana" w:cstheme="minorHAnsi"/>
          <w:sz w:val="18"/>
          <w:szCs w:val="18"/>
        </w:rPr>
        <w:t xml:space="preserve"> </w:t>
      </w:r>
    </w:p>
    <w:p w:rsidR="00277640" w:rsidP="003B7EFC" w:rsidRDefault="00326793" w14:paraId="3B4C49A2" w14:textId="75CAE4B0">
      <w:pPr>
        <w:jc w:val="both"/>
        <w:rPr>
          <w:rFonts w:ascii="Verdana" w:hAnsi="Verdana" w:cstheme="minorHAnsi"/>
          <w:sz w:val="18"/>
          <w:szCs w:val="18"/>
        </w:rPr>
      </w:pPr>
      <w:r>
        <w:rPr>
          <w:rFonts w:ascii="Verdana" w:hAnsi="Verdana" w:cstheme="minorHAnsi"/>
          <w:sz w:val="18"/>
          <w:szCs w:val="18"/>
        </w:rPr>
        <w:t>Het OCCAR-</w:t>
      </w:r>
      <w:r w:rsidR="00264B2C">
        <w:rPr>
          <w:rFonts w:ascii="Verdana" w:hAnsi="Verdana" w:cstheme="minorHAnsi"/>
          <w:sz w:val="18"/>
          <w:szCs w:val="18"/>
        </w:rPr>
        <w:t>v</w:t>
      </w:r>
      <w:r>
        <w:rPr>
          <w:rFonts w:ascii="Verdana" w:hAnsi="Verdana" w:cstheme="minorHAnsi"/>
          <w:sz w:val="18"/>
          <w:szCs w:val="18"/>
        </w:rPr>
        <w:t>erdrag</w:t>
      </w:r>
      <w:r w:rsidRPr="008131C9" w:rsidDel="00334869" w:rsidR="00334869">
        <w:rPr>
          <w:rFonts w:ascii="Verdana" w:hAnsi="Verdana" w:cstheme="minorHAnsi"/>
          <w:sz w:val="18"/>
          <w:szCs w:val="18"/>
        </w:rPr>
        <w:t xml:space="preserve"> </w:t>
      </w:r>
      <w:r w:rsidRPr="008131C9" w:rsidR="00277640">
        <w:rPr>
          <w:rFonts w:ascii="Verdana" w:hAnsi="Verdana" w:cstheme="minorHAnsi"/>
          <w:sz w:val="18"/>
          <w:szCs w:val="18"/>
        </w:rPr>
        <w:t xml:space="preserve">regelt de toekenning van voorrechten en immuniteiten </w:t>
      </w:r>
      <w:r w:rsidR="003B433C">
        <w:rPr>
          <w:rFonts w:ascii="Verdana" w:hAnsi="Verdana" w:cstheme="minorHAnsi"/>
          <w:sz w:val="18"/>
          <w:szCs w:val="18"/>
        </w:rPr>
        <w:t>aan</w:t>
      </w:r>
      <w:r w:rsidRPr="008131C9" w:rsidR="00277640">
        <w:rPr>
          <w:rFonts w:ascii="Verdana" w:hAnsi="Verdana" w:cstheme="minorHAnsi"/>
          <w:sz w:val="18"/>
          <w:szCs w:val="18"/>
        </w:rPr>
        <w:t xml:space="preserve"> het personeel van het agentschap, zoals vastgelegd in </w:t>
      </w:r>
      <w:r w:rsidR="003B433C">
        <w:rPr>
          <w:rFonts w:ascii="Verdana" w:hAnsi="Verdana" w:cstheme="minorHAnsi"/>
          <w:sz w:val="18"/>
          <w:szCs w:val="18"/>
        </w:rPr>
        <w:t>B</w:t>
      </w:r>
      <w:r w:rsidRPr="008131C9" w:rsidR="00277640">
        <w:rPr>
          <w:rFonts w:ascii="Verdana" w:hAnsi="Verdana" w:cstheme="minorHAnsi"/>
          <w:sz w:val="18"/>
          <w:szCs w:val="18"/>
        </w:rPr>
        <w:t>ijlage I. Het personeelsreglement en de salarisregeling voor het OCCAR-personeel zijn gebaseerd op de betreffende regels van organisaties zoals de NAVO.</w:t>
      </w:r>
      <w:r w:rsidR="008E008F">
        <w:rPr>
          <w:rFonts w:ascii="Verdana" w:hAnsi="Verdana" w:cstheme="minorHAnsi"/>
          <w:sz w:val="18"/>
          <w:szCs w:val="18"/>
        </w:rPr>
        <w:t xml:space="preserve"> </w:t>
      </w:r>
      <w:r>
        <w:rPr>
          <w:rFonts w:ascii="Verdana" w:hAnsi="Verdana"/>
          <w:sz w:val="18"/>
          <w:szCs w:val="18"/>
        </w:rPr>
        <w:t>Het OCCAR-Verdrag</w:t>
      </w:r>
      <w:r w:rsidRPr="008131C9" w:rsidDel="00334869" w:rsidR="00334869">
        <w:rPr>
          <w:rFonts w:ascii="Verdana" w:hAnsi="Verdana" w:cstheme="minorHAnsi"/>
          <w:sz w:val="18"/>
          <w:szCs w:val="18"/>
        </w:rPr>
        <w:t xml:space="preserve"> </w:t>
      </w:r>
      <w:r w:rsidRPr="008131C9" w:rsidR="00277640">
        <w:rPr>
          <w:rFonts w:ascii="Verdana" w:hAnsi="Verdana" w:cstheme="minorHAnsi"/>
          <w:sz w:val="18"/>
          <w:szCs w:val="18"/>
        </w:rPr>
        <w:t>bevat richtlijnen voor het personeel van het agentschap met betrekking tot eisen in</w:t>
      </w:r>
      <w:r w:rsidR="0002575F">
        <w:rPr>
          <w:rFonts w:ascii="Verdana" w:hAnsi="Verdana" w:cstheme="minorHAnsi"/>
          <w:sz w:val="18"/>
          <w:szCs w:val="18"/>
        </w:rPr>
        <w:t>zake integriteit en loyaliteit.</w:t>
      </w:r>
    </w:p>
    <w:p w:rsidRPr="00844C63" w:rsidR="00844C63" w:rsidP="00844C63" w:rsidRDefault="00844C63" w14:paraId="24A50F65" w14:textId="37747E9B">
      <w:pPr>
        <w:jc w:val="both"/>
        <w:rPr>
          <w:rFonts w:ascii="Verdana" w:hAnsi="Verdana" w:cstheme="minorHAnsi"/>
          <w:sz w:val="18"/>
          <w:szCs w:val="18"/>
        </w:rPr>
      </w:pPr>
      <w:r w:rsidRPr="00844C63">
        <w:rPr>
          <w:rFonts w:ascii="Verdana" w:hAnsi="Verdana" w:cstheme="minorHAnsi"/>
          <w:sz w:val="18"/>
          <w:szCs w:val="18"/>
        </w:rPr>
        <w:t>Het personeel van het OCCAR-agentschap is afkomstig uit de lidstaten</w:t>
      </w:r>
      <w:r w:rsidR="005B7961">
        <w:rPr>
          <w:rFonts w:ascii="Verdana" w:hAnsi="Verdana" w:cstheme="minorHAnsi"/>
          <w:sz w:val="18"/>
          <w:szCs w:val="18"/>
        </w:rPr>
        <w:t xml:space="preserve"> of samenwerkingspartners</w:t>
      </w:r>
      <w:r w:rsidRPr="00844C63">
        <w:rPr>
          <w:rFonts w:ascii="Verdana" w:hAnsi="Verdana" w:cstheme="minorHAnsi"/>
          <w:sz w:val="18"/>
          <w:szCs w:val="18"/>
        </w:rPr>
        <w:t>. In tegenstelling tot wat gebruikelijk is bij bijvoorbeeld sommige NAVO-instellingen wordt van lidstaten niet verwacht om bepaalde functies te vullen. OCCAR neemt medewerkers afkomstig uit de lidstaten</w:t>
      </w:r>
      <w:r w:rsidR="002E5617">
        <w:rPr>
          <w:rFonts w:ascii="Verdana" w:hAnsi="Verdana" w:cstheme="minorHAnsi"/>
          <w:sz w:val="18"/>
          <w:szCs w:val="18"/>
        </w:rPr>
        <w:t xml:space="preserve"> of samenwerkingspartners</w:t>
      </w:r>
      <w:r w:rsidRPr="00844C63">
        <w:rPr>
          <w:rFonts w:ascii="Verdana" w:hAnsi="Verdana" w:cstheme="minorHAnsi"/>
          <w:sz w:val="18"/>
          <w:szCs w:val="18"/>
        </w:rPr>
        <w:t xml:space="preserve"> in dienst op basis van gebleken geschiktheid en zij kunnen voor een periode van ongeveer zes jaar bij OCCAR blijven werken, soms enkele jaren langer. Nederland heeft na toetreding automatisch zitting in de diverse werkcomités en overlegorganen van OCCAR waarvoor Defensie personeel afvaardigt om Nederland te vertegenwoordigen. Ook wordt van lidstaten verwacht dat zij personeel beschikbaar stellen voor de pro</w:t>
      </w:r>
      <w:r w:rsidR="003F0E26">
        <w:rPr>
          <w:rFonts w:ascii="Verdana" w:hAnsi="Verdana" w:cstheme="minorHAnsi"/>
          <w:sz w:val="18"/>
          <w:szCs w:val="18"/>
        </w:rPr>
        <w:t>ject</w:t>
      </w:r>
      <w:r w:rsidR="006B0F10">
        <w:rPr>
          <w:rFonts w:ascii="Verdana" w:hAnsi="Verdana" w:cstheme="minorHAnsi"/>
          <w:sz w:val="18"/>
          <w:szCs w:val="18"/>
        </w:rPr>
        <w:t>directies van de pro</w:t>
      </w:r>
      <w:r w:rsidR="003F0E26">
        <w:rPr>
          <w:rFonts w:ascii="Verdana" w:hAnsi="Verdana" w:cstheme="minorHAnsi"/>
          <w:sz w:val="18"/>
          <w:szCs w:val="18"/>
        </w:rPr>
        <w:t>jecten</w:t>
      </w:r>
      <w:r w:rsidRPr="00844C63">
        <w:rPr>
          <w:rFonts w:ascii="Verdana" w:hAnsi="Verdana" w:cstheme="minorHAnsi"/>
          <w:sz w:val="18"/>
          <w:szCs w:val="18"/>
        </w:rPr>
        <w:t xml:space="preserve"> waaraan zij meedoen. Verder verwacht OCCAR van elke lidstaat dat accountantscapaciteit beschikbaar</w:t>
      </w:r>
      <w:r w:rsidR="006B0F10">
        <w:rPr>
          <w:rFonts w:ascii="Verdana" w:hAnsi="Verdana" w:cstheme="minorHAnsi"/>
          <w:sz w:val="18"/>
          <w:szCs w:val="18"/>
        </w:rPr>
        <w:t xml:space="preserve"> is voor uiteenlopende pro</w:t>
      </w:r>
      <w:r w:rsidR="003F0E26">
        <w:rPr>
          <w:rFonts w:ascii="Verdana" w:hAnsi="Verdana" w:cstheme="minorHAnsi"/>
          <w:sz w:val="18"/>
          <w:szCs w:val="18"/>
        </w:rPr>
        <w:t>jecten</w:t>
      </w:r>
      <w:r w:rsidRPr="00844C63">
        <w:rPr>
          <w:rFonts w:ascii="Verdana" w:hAnsi="Verdana" w:cstheme="minorHAnsi"/>
          <w:sz w:val="18"/>
          <w:szCs w:val="18"/>
        </w:rPr>
        <w:t xml:space="preserve"> en werkzaamheden.</w:t>
      </w:r>
    </w:p>
    <w:p w:rsidRPr="000A27E4" w:rsidR="00277640" w:rsidP="003B7EFC" w:rsidRDefault="00031DA8" w14:paraId="78B1A384" w14:textId="0D7D087C">
      <w:pPr>
        <w:pStyle w:val="ListParagraph"/>
        <w:numPr>
          <w:ilvl w:val="1"/>
          <w:numId w:val="11"/>
        </w:numPr>
        <w:jc w:val="both"/>
        <w:rPr>
          <w:rFonts w:ascii="Verdana" w:hAnsi="Verdana" w:cstheme="minorHAnsi"/>
          <w:bCs/>
          <w:sz w:val="18"/>
          <w:szCs w:val="18"/>
        </w:rPr>
      </w:pPr>
      <w:r w:rsidRPr="000A27E4">
        <w:rPr>
          <w:rFonts w:ascii="Verdana" w:hAnsi="Verdana" w:cstheme="minorHAnsi"/>
          <w:bCs/>
          <w:sz w:val="18"/>
          <w:szCs w:val="18"/>
        </w:rPr>
        <w:t>Verwer</w:t>
      </w:r>
      <w:r w:rsidRPr="000A27E4" w:rsidR="00497707">
        <w:rPr>
          <w:rFonts w:ascii="Verdana" w:hAnsi="Verdana" w:cstheme="minorHAnsi"/>
          <w:bCs/>
          <w:sz w:val="18"/>
          <w:szCs w:val="18"/>
        </w:rPr>
        <w:t>v</w:t>
      </w:r>
      <w:r w:rsidRPr="000A27E4">
        <w:rPr>
          <w:rFonts w:ascii="Verdana" w:hAnsi="Verdana" w:cstheme="minorHAnsi"/>
          <w:bCs/>
          <w:sz w:val="18"/>
          <w:szCs w:val="18"/>
        </w:rPr>
        <w:t>ings</w:t>
      </w:r>
      <w:r w:rsidRPr="000A27E4" w:rsidR="00277640">
        <w:rPr>
          <w:rFonts w:ascii="Verdana" w:hAnsi="Verdana" w:cstheme="minorHAnsi"/>
          <w:bCs/>
          <w:sz w:val="18"/>
          <w:szCs w:val="18"/>
        </w:rPr>
        <w:t>beginselen (hoofdstuk VI)</w:t>
      </w:r>
    </w:p>
    <w:p w:rsidRPr="00B439A2" w:rsidR="00B439A2" w:rsidP="00B439A2" w:rsidRDefault="00B439A2" w14:paraId="1DF90B27" w14:textId="41210CEC">
      <w:pPr>
        <w:jc w:val="both"/>
        <w:rPr>
          <w:rFonts w:ascii="Verdana" w:hAnsi="Verdana" w:cstheme="minorHAnsi"/>
          <w:sz w:val="18"/>
          <w:szCs w:val="18"/>
        </w:rPr>
      </w:pPr>
      <w:r w:rsidRPr="00B439A2">
        <w:rPr>
          <w:rFonts w:ascii="Verdana" w:hAnsi="Verdana" w:cstheme="minorHAnsi"/>
          <w:sz w:val="18"/>
          <w:szCs w:val="18"/>
        </w:rPr>
        <w:t xml:space="preserve">Op de gunning van contracten door OCCAR zijn de verwervingsbeginselen genoemd in de artikelen 24 tot en met 30 van </w:t>
      </w:r>
      <w:r w:rsidR="00326793">
        <w:rPr>
          <w:rFonts w:ascii="Verdana" w:hAnsi="Verdana" w:cstheme="minorHAnsi"/>
          <w:sz w:val="18"/>
          <w:szCs w:val="18"/>
        </w:rPr>
        <w:t>het OCCAR-</w:t>
      </w:r>
      <w:r w:rsidR="00C60152">
        <w:rPr>
          <w:rFonts w:ascii="Verdana" w:hAnsi="Verdana" w:cstheme="minorHAnsi"/>
          <w:sz w:val="18"/>
          <w:szCs w:val="18"/>
        </w:rPr>
        <w:t>V</w:t>
      </w:r>
      <w:r w:rsidR="00326793">
        <w:rPr>
          <w:rFonts w:ascii="Verdana" w:hAnsi="Verdana" w:cstheme="minorHAnsi"/>
          <w:sz w:val="18"/>
          <w:szCs w:val="18"/>
        </w:rPr>
        <w:t>erdrag</w:t>
      </w:r>
      <w:r w:rsidRPr="00B439A2">
        <w:rPr>
          <w:rFonts w:ascii="Verdana" w:hAnsi="Verdana" w:cstheme="minorHAnsi"/>
          <w:sz w:val="18"/>
          <w:szCs w:val="18"/>
        </w:rPr>
        <w:t xml:space="preserve"> van toepassing. Deze beginselen zijn nader uitgewerkt in verwervingsregels en procedures die moeten worden gevolgd bij de verwerving door OCCAR en</w:t>
      </w:r>
      <w:r w:rsidR="00712417">
        <w:rPr>
          <w:rFonts w:ascii="Verdana" w:hAnsi="Verdana" w:cstheme="minorHAnsi"/>
          <w:sz w:val="18"/>
          <w:szCs w:val="18"/>
        </w:rPr>
        <w:t xml:space="preserve"> deze</w:t>
      </w:r>
      <w:r w:rsidRPr="00B439A2">
        <w:rPr>
          <w:rFonts w:ascii="Verdana" w:hAnsi="Verdana" w:cstheme="minorHAnsi"/>
          <w:sz w:val="18"/>
          <w:szCs w:val="18"/>
        </w:rPr>
        <w:t xml:space="preserve"> zijn, op grond </w:t>
      </w:r>
      <w:r w:rsidR="00DC05A1">
        <w:rPr>
          <w:rFonts w:ascii="Verdana" w:hAnsi="Verdana" w:cstheme="minorHAnsi"/>
          <w:sz w:val="18"/>
          <w:szCs w:val="18"/>
        </w:rPr>
        <w:t xml:space="preserve">van het eerste lid van </w:t>
      </w:r>
      <w:r w:rsidRPr="00B439A2">
        <w:rPr>
          <w:rFonts w:ascii="Verdana" w:hAnsi="Verdana" w:cstheme="minorHAnsi"/>
          <w:sz w:val="18"/>
          <w:szCs w:val="18"/>
        </w:rPr>
        <w:t>artikel 23</w:t>
      </w:r>
      <w:r w:rsidR="00DC05A1">
        <w:rPr>
          <w:rFonts w:ascii="Verdana" w:hAnsi="Verdana" w:cstheme="minorHAnsi"/>
          <w:sz w:val="18"/>
          <w:szCs w:val="18"/>
        </w:rPr>
        <w:t xml:space="preserve"> van </w:t>
      </w:r>
      <w:r w:rsidR="009C5348">
        <w:rPr>
          <w:rFonts w:ascii="Verdana" w:hAnsi="Verdana" w:cstheme="minorHAnsi"/>
          <w:sz w:val="18"/>
          <w:szCs w:val="18"/>
        </w:rPr>
        <w:t xml:space="preserve">het </w:t>
      </w:r>
      <w:r w:rsidR="009C5348">
        <w:rPr>
          <w:rFonts w:ascii="Verdana" w:hAnsi="Verdana"/>
          <w:sz w:val="18"/>
          <w:szCs w:val="18"/>
        </w:rPr>
        <w:t>OCCAR-</w:t>
      </w:r>
      <w:r w:rsidR="00264B2C">
        <w:rPr>
          <w:rFonts w:ascii="Verdana" w:hAnsi="Verdana"/>
          <w:sz w:val="18"/>
          <w:szCs w:val="18"/>
        </w:rPr>
        <w:t>v</w:t>
      </w:r>
      <w:r w:rsidR="009C5348">
        <w:rPr>
          <w:rFonts w:ascii="Verdana" w:hAnsi="Verdana"/>
          <w:sz w:val="18"/>
          <w:szCs w:val="18"/>
        </w:rPr>
        <w:t>erdrag</w:t>
      </w:r>
      <w:r w:rsidRPr="00B439A2">
        <w:rPr>
          <w:rFonts w:ascii="Verdana" w:hAnsi="Verdana" w:cstheme="minorHAnsi"/>
          <w:sz w:val="18"/>
          <w:szCs w:val="18"/>
        </w:rPr>
        <w:t>, vastgelegd in e</w:t>
      </w:r>
      <w:r w:rsidR="00DC05A1">
        <w:rPr>
          <w:rFonts w:ascii="Verdana" w:hAnsi="Verdana" w:cstheme="minorHAnsi"/>
          <w:sz w:val="18"/>
          <w:szCs w:val="18"/>
        </w:rPr>
        <w:t xml:space="preserve">en </w:t>
      </w:r>
      <w:r w:rsidRPr="00DC05A1" w:rsidR="00DC05A1">
        <w:rPr>
          <w:rFonts w:ascii="Verdana" w:hAnsi="Verdana" w:cstheme="minorHAnsi"/>
          <w:i/>
          <w:sz w:val="18"/>
          <w:szCs w:val="18"/>
        </w:rPr>
        <w:t>OCCAR Management Procedure</w:t>
      </w:r>
      <w:r w:rsidR="00DC05A1">
        <w:rPr>
          <w:rFonts w:ascii="Verdana" w:hAnsi="Verdana" w:cstheme="minorHAnsi"/>
          <w:sz w:val="18"/>
          <w:szCs w:val="18"/>
        </w:rPr>
        <w:t xml:space="preserve">, </w:t>
      </w:r>
      <w:r w:rsidRPr="00B439A2">
        <w:rPr>
          <w:rFonts w:ascii="Verdana" w:hAnsi="Verdana" w:cstheme="minorHAnsi"/>
          <w:sz w:val="18"/>
          <w:szCs w:val="18"/>
        </w:rPr>
        <w:t xml:space="preserve">te weten de </w:t>
      </w:r>
      <w:r w:rsidRPr="00DC05A1">
        <w:rPr>
          <w:rFonts w:ascii="Verdana" w:hAnsi="Verdana" w:cstheme="minorHAnsi"/>
          <w:i/>
          <w:sz w:val="18"/>
          <w:szCs w:val="18"/>
        </w:rPr>
        <w:t>Contract Placement Procedure</w:t>
      </w:r>
      <w:r w:rsidRPr="00B439A2">
        <w:rPr>
          <w:rFonts w:ascii="Verdana" w:hAnsi="Verdana" w:cstheme="minorHAnsi"/>
          <w:sz w:val="18"/>
          <w:szCs w:val="18"/>
        </w:rPr>
        <w:t>.</w:t>
      </w:r>
    </w:p>
    <w:p w:rsidRPr="00B439A2" w:rsidR="00B439A2" w:rsidP="00B439A2" w:rsidRDefault="00B439A2" w14:paraId="762D9A00" w14:textId="17912424">
      <w:pPr>
        <w:jc w:val="both"/>
        <w:rPr>
          <w:rFonts w:ascii="Verdana" w:hAnsi="Verdana" w:cstheme="minorHAnsi"/>
          <w:sz w:val="18"/>
          <w:szCs w:val="18"/>
        </w:rPr>
      </w:pPr>
      <w:r w:rsidRPr="00B439A2">
        <w:rPr>
          <w:rFonts w:ascii="Verdana" w:hAnsi="Verdana" w:cstheme="minorHAnsi"/>
          <w:sz w:val="18"/>
          <w:szCs w:val="18"/>
        </w:rPr>
        <w:t xml:space="preserve">Het uitgangspunt van </w:t>
      </w:r>
      <w:r w:rsidR="00326793">
        <w:rPr>
          <w:rFonts w:ascii="Verdana" w:hAnsi="Verdana" w:cstheme="minorHAnsi"/>
          <w:sz w:val="18"/>
          <w:szCs w:val="18"/>
        </w:rPr>
        <w:t>het OCCAR-</w:t>
      </w:r>
      <w:r w:rsidR="00C60152">
        <w:rPr>
          <w:rFonts w:ascii="Verdana" w:hAnsi="Verdana" w:cstheme="minorHAnsi"/>
          <w:sz w:val="18"/>
          <w:szCs w:val="18"/>
        </w:rPr>
        <w:t>V</w:t>
      </w:r>
      <w:r w:rsidR="00326793">
        <w:rPr>
          <w:rFonts w:ascii="Verdana" w:hAnsi="Verdana" w:cstheme="minorHAnsi"/>
          <w:sz w:val="18"/>
          <w:szCs w:val="18"/>
        </w:rPr>
        <w:t>erdrag</w:t>
      </w:r>
      <w:r w:rsidRPr="00B439A2">
        <w:rPr>
          <w:rFonts w:ascii="Verdana" w:hAnsi="Verdana" w:cstheme="minorHAnsi"/>
          <w:sz w:val="18"/>
          <w:szCs w:val="18"/>
        </w:rPr>
        <w:t xml:space="preserve"> is dat de gunning van contracten plaatsvindt op basis van concurrentiestelling. Alle te gunnen opdrachten worden bekendgemaakt via de geëigende kanalen. Tot deze concurrentiestelling zijn industrieën en instituten uit niet-OCCAR-lidstaten niet op voorhand uitgesloten.</w:t>
      </w:r>
      <w:r w:rsidR="00EC0C27">
        <w:rPr>
          <w:rFonts w:ascii="Verdana" w:hAnsi="Verdana" w:cstheme="minorHAnsi"/>
          <w:sz w:val="18"/>
          <w:szCs w:val="18"/>
        </w:rPr>
        <w:t xml:space="preserve"> De verwijzing in artikel 24, derde lid naar de landen van de</w:t>
      </w:r>
      <w:r w:rsidR="00737880">
        <w:rPr>
          <w:rFonts w:ascii="Verdana" w:hAnsi="Verdana" w:cstheme="minorHAnsi"/>
          <w:sz w:val="18"/>
          <w:szCs w:val="18"/>
        </w:rPr>
        <w:t xml:space="preserve"> vroegere</w:t>
      </w:r>
      <w:r w:rsidR="00EC0C27">
        <w:rPr>
          <w:rFonts w:ascii="Verdana" w:hAnsi="Verdana" w:cstheme="minorHAnsi"/>
          <w:sz w:val="18"/>
          <w:szCs w:val="18"/>
        </w:rPr>
        <w:t xml:space="preserve"> </w:t>
      </w:r>
      <w:r w:rsidRPr="00EC0C27" w:rsidR="00EC0C27">
        <w:rPr>
          <w:rFonts w:ascii="Verdana" w:hAnsi="Verdana" w:cstheme="minorHAnsi"/>
          <w:i/>
          <w:sz w:val="18"/>
          <w:szCs w:val="18"/>
        </w:rPr>
        <w:t xml:space="preserve">Western European </w:t>
      </w:r>
      <w:proofErr w:type="spellStart"/>
      <w:r w:rsidRPr="00EC0C27" w:rsidR="00EC0C27">
        <w:rPr>
          <w:rFonts w:ascii="Verdana" w:hAnsi="Verdana" w:cstheme="minorHAnsi"/>
          <w:i/>
          <w:sz w:val="18"/>
          <w:szCs w:val="18"/>
        </w:rPr>
        <w:t>Armaments</w:t>
      </w:r>
      <w:proofErr w:type="spellEnd"/>
      <w:r w:rsidRPr="00EC0C27" w:rsidR="00EC0C27">
        <w:rPr>
          <w:rFonts w:ascii="Verdana" w:hAnsi="Verdana" w:cstheme="minorHAnsi"/>
          <w:i/>
          <w:sz w:val="18"/>
          <w:szCs w:val="18"/>
        </w:rPr>
        <w:t xml:space="preserve"> Group</w:t>
      </w:r>
      <w:r w:rsidR="00EC0C27">
        <w:rPr>
          <w:rFonts w:ascii="Verdana" w:hAnsi="Verdana" w:cstheme="minorHAnsi"/>
          <w:sz w:val="18"/>
          <w:szCs w:val="18"/>
        </w:rPr>
        <w:t xml:space="preserve"> is niet langer relevant omdat die in 2005 is opgeheven.</w:t>
      </w:r>
      <w:r w:rsidRPr="00B439A2">
        <w:rPr>
          <w:rFonts w:ascii="Verdana" w:hAnsi="Verdana" w:cstheme="minorHAnsi"/>
          <w:sz w:val="18"/>
          <w:szCs w:val="18"/>
        </w:rPr>
        <w:t xml:space="preserve"> </w:t>
      </w:r>
    </w:p>
    <w:p w:rsidRPr="00B439A2" w:rsidR="00B439A2" w:rsidP="00B439A2" w:rsidRDefault="00B439A2" w14:paraId="4E79F31A" w14:textId="77777777">
      <w:pPr>
        <w:jc w:val="both"/>
        <w:rPr>
          <w:rFonts w:ascii="Verdana" w:hAnsi="Verdana" w:cstheme="minorHAnsi"/>
          <w:sz w:val="18"/>
          <w:szCs w:val="18"/>
        </w:rPr>
      </w:pPr>
      <w:r w:rsidRPr="00B439A2">
        <w:rPr>
          <w:rFonts w:ascii="Verdana" w:hAnsi="Verdana" w:cstheme="minorHAnsi"/>
          <w:sz w:val="18"/>
          <w:szCs w:val="18"/>
        </w:rPr>
        <w:lastRenderedPageBreak/>
        <w:t xml:space="preserve">OCCAR heeft de verplichting om, op verzoek, aan bedrijven die geen uitnodiging tot inschrijving hebben ontvangen of die de opdracht niet gegund hebben gekregen, de redenen voor uitsluiting of afwijzing bekend te maken. </w:t>
      </w:r>
    </w:p>
    <w:p w:rsidRPr="00B439A2" w:rsidR="00B439A2" w:rsidP="00B439A2" w:rsidRDefault="00B439A2" w14:paraId="37700516" w14:textId="2694E831">
      <w:pPr>
        <w:jc w:val="both"/>
        <w:rPr>
          <w:rFonts w:ascii="Verdana" w:hAnsi="Verdana" w:cstheme="minorHAnsi"/>
          <w:sz w:val="18"/>
          <w:szCs w:val="18"/>
        </w:rPr>
      </w:pPr>
      <w:r w:rsidRPr="00B439A2">
        <w:rPr>
          <w:rFonts w:ascii="Verdana" w:hAnsi="Verdana" w:cstheme="minorHAnsi"/>
          <w:sz w:val="18"/>
          <w:szCs w:val="18"/>
        </w:rPr>
        <w:t>Aangezien OCCAR een internationale organisatie is die zelf opdrachten uitschrijft waarvoor, zoals hierboven is geschetst, haar eigen procedureregels gelden, is de Aanbestedingswet op Defensie- en Veiligheidsgebied niet van toepassing. Zie artikel 2.16</w:t>
      </w:r>
      <w:r w:rsidR="003B433C">
        <w:rPr>
          <w:rFonts w:ascii="Verdana" w:hAnsi="Verdana" w:cstheme="minorHAnsi"/>
          <w:sz w:val="18"/>
          <w:szCs w:val="18"/>
        </w:rPr>
        <w:t>,</w:t>
      </w:r>
      <w:r w:rsidRPr="00B439A2">
        <w:rPr>
          <w:rFonts w:ascii="Verdana" w:hAnsi="Verdana" w:cstheme="minorHAnsi"/>
          <w:sz w:val="18"/>
          <w:szCs w:val="18"/>
        </w:rPr>
        <w:t xml:space="preserve"> sub g</w:t>
      </w:r>
      <w:r w:rsidR="003B433C">
        <w:rPr>
          <w:rFonts w:ascii="Verdana" w:hAnsi="Verdana" w:cstheme="minorHAnsi"/>
          <w:sz w:val="18"/>
          <w:szCs w:val="18"/>
        </w:rPr>
        <w:t>, van de</w:t>
      </w:r>
      <w:r w:rsidRPr="00B439A2">
        <w:rPr>
          <w:rFonts w:ascii="Verdana" w:hAnsi="Verdana" w:cstheme="minorHAnsi"/>
          <w:sz w:val="18"/>
          <w:szCs w:val="18"/>
        </w:rPr>
        <w:t xml:space="preserve"> Aanbestedingswet op Defensie- en Veiligheidsgebied, waarin artikel 12 Richtlijn 2009/81/EG is geïmplementeerd. Zie verder ook de preambule van Richtlijn 2009/81/EG, randnummer 28</w:t>
      </w:r>
      <w:r w:rsidR="003B433C">
        <w:rPr>
          <w:rFonts w:ascii="Verdana" w:hAnsi="Verdana" w:cstheme="minorHAnsi"/>
          <w:sz w:val="18"/>
          <w:szCs w:val="18"/>
        </w:rPr>
        <w:t>,</w:t>
      </w:r>
      <w:r w:rsidRPr="00B439A2">
        <w:rPr>
          <w:rFonts w:ascii="Verdana" w:hAnsi="Verdana" w:cstheme="minorHAnsi"/>
          <w:sz w:val="18"/>
          <w:szCs w:val="18"/>
        </w:rPr>
        <w:t xml:space="preserve"> waarin OCCAR expliciet wordt benoemd en wordt aangegeven dat en waarom de richtlijn niet van toepassing mag zijn op dergelijke internationale organisaties.</w:t>
      </w:r>
      <w:r w:rsidR="00C81BD3">
        <w:rPr>
          <w:rStyle w:val="FootnoteReference"/>
          <w:rFonts w:ascii="Verdana" w:hAnsi="Verdana" w:cstheme="minorHAnsi"/>
          <w:sz w:val="18"/>
          <w:szCs w:val="18"/>
        </w:rPr>
        <w:footnoteReference w:id="25"/>
      </w:r>
    </w:p>
    <w:p w:rsidRPr="008131C9" w:rsidR="00B439A2" w:rsidP="003B7EFC" w:rsidRDefault="00B439A2" w14:paraId="1940A5BA" w14:textId="39B8003C">
      <w:pPr>
        <w:jc w:val="both"/>
        <w:rPr>
          <w:rFonts w:ascii="Verdana" w:hAnsi="Verdana" w:cstheme="minorHAnsi"/>
          <w:sz w:val="18"/>
          <w:szCs w:val="18"/>
        </w:rPr>
      </w:pPr>
      <w:r w:rsidRPr="00B439A2">
        <w:rPr>
          <w:rFonts w:ascii="Verdana" w:hAnsi="Verdana" w:cstheme="minorHAnsi"/>
          <w:sz w:val="18"/>
          <w:szCs w:val="18"/>
        </w:rPr>
        <w:t xml:space="preserve">Onder de verwervingsregels zoals deze zijn neergelegd in de </w:t>
      </w:r>
      <w:r w:rsidRPr="00712417">
        <w:rPr>
          <w:rFonts w:ascii="Verdana" w:hAnsi="Verdana" w:cstheme="minorHAnsi"/>
          <w:i/>
          <w:sz w:val="18"/>
          <w:szCs w:val="18"/>
        </w:rPr>
        <w:t>Contract Placement Procedure</w:t>
      </w:r>
      <w:r w:rsidRPr="00B439A2">
        <w:rPr>
          <w:rFonts w:ascii="Verdana" w:hAnsi="Verdana" w:cstheme="minorHAnsi"/>
          <w:sz w:val="18"/>
          <w:szCs w:val="18"/>
        </w:rPr>
        <w:t xml:space="preserve"> bij </w:t>
      </w:r>
      <w:r w:rsidR="00326793">
        <w:rPr>
          <w:rFonts w:ascii="Verdana" w:hAnsi="Verdana" w:cstheme="minorHAnsi"/>
          <w:sz w:val="18"/>
          <w:szCs w:val="18"/>
        </w:rPr>
        <w:t>het OCCAR-Verdrag</w:t>
      </w:r>
      <w:r w:rsidRPr="00B439A2">
        <w:rPr>
          <w:rFonts w:ascii="Verdana" w:hAnsi="Verdana" w:cstheme="minorHAnsi"/>
          <w:sz w:val="18"/>
          <w:szCs w:val="18"/>
        </w:rPr>
        <w:t xml:space="preserve"> bestaat meer ruimte voor</w:t>
      </w:r>
      <w:r w:rsidR="00DE307E">
        <w:rPr>
          <w:rFonts w:ascii="Verdana" w:hAnsi="Verdana" w:cstheme="minorHAnsi"/>
          <w:sz w:val="18"/>
          <w:szCs w:val="18"/>
        </w:rPr>
        <w:t xml:space="preserve"> de</w:t>
      </w:r>
      <w:r w:rsidRPr="00B439A2">
        <w:rPr>
          <w:rFonts w:ascii="Verdana" w:hAnsi="Verdana" w:cstheme="minorHAnsi"/>
          <w:sz w:val="18"/>
          <w:szCs w:val="18"/>
        </w:rPr>
        <w:t xml:space="preserve"> </w:t>
      </w:r>
      <w:r w:rsidR="00DE307E">
        <w:rPr>
          <w:rFonts w:ascii="Verdana" w:hAnsi="Verdana" w:cstheme="minorHAnsi"/>
          <w:sz w:val="18"/>
          <w:szCs w:val="18"/>
        </w:rPr>
        <w:t>rechtstreekse</w:t>
      </w:r>
      <w:r w:rsidRPr="00B439A2">
        <w:rPr>
          <w:rFonts w:ascii="Verdana" w:hAnsi="Verdana" w:cstheme="minorHAnsi"/>
          <w:sz w:val="18"/>
          <w:szCs w:val="18"/>
        </w:rPr>
        <w:t xml:space="preserve"> gunning van opdrachten dan onder de Europese aanbestedingsregels.</w:t>
      </w:r>
    </w:p>
    <w:p w:rsidRPr="000A27E4" w:rsidR="00277640" w:rsidP="003B7EFC" w:rsidRDefault="00277640" w14:paraId="044A57F1" w14:textId="6F2D599E">
      <w:pPr>
        <w:pStyle w:val="ListParagraph"/>
        <w:numPr>
          <w:ilvl w:val="1"/>
          <w:numId w:val="11"/>
        </w:numPr>
        <w:jc w:val="both"/>
        <w:rPr>
          <w:rFonts w:ascii="Verdana" w:hAnsi="Verdana" w:cstheme="minorHAnsi"/>
          <w:bCs/>
          <w:sz w:val="18"/>
          <w:szCs w:val="18"/>
        </w:rPr>
      </w:pPr>
      <w:r w:rsidRPr="000A27E4">
        <w:rPr>
          <w:rFonts w:ascii="Verdana" w:hAnsi="Verdana" w:cstheme="minorHAnsi"/>
          <w:bCs/>
          <w:sz w:val="18"/>
          <w:szCs w:val="18"/>
        </w:rPr>
        <w:t>Projecten (hoofdstuk VII)</w:t>
      </w:r>
    </w:p>
    <w:p w:rsidRPr="008131C9" w:rsidR="00277640" w:rsidP="003B7EFC" w:rsidRDefault="00277640" w14:paraId="655A8F59" w14:textId="50E3DDC4">
      <w:pPr>
        <w:jc w:val="both"/>
        <w:rPr>
          <w:rFonts w:ascii="Verdana" w:hAnsi="Verdana" w:cstheme="minorHAnsi"/>
          <w:sz w:val="18"/>
          <w:szCs w:val="18"/>
        </w:rPr>
      </w:pPr>
      <w:r w:rsidRPr="008131C9">
        <w:rPr>
          <w:rFonts w:ascii="Verdana" w:hAnsi="Verdana" w:cstheme="minorHAnsi"/>
          <w:sz w:val="18"/>
          <w:szCs w:val="18"/>
        </w:rPr>
        <w:t xml:space="preserve">De integratie van bestaande samenwerkingsprojecten is mogelijk indien de betrokken lidstaten met OCCAR een regeling overeenkomen. Deze regeling, vastgelegd in een overeenkomst, dient door de Raad </w:t>
      </w:r>
      <w:r w:rsidR="00A64CE8">
        <w:rPr>
          <w:rFonts w:ascii="Verdana" w:hAnsi="Verdana" w:cstheme="minorHAnsi"/>
          <w:sz w:val="18"/>
          <w:szCs w:val="18"/>
        </w:rPr>
        <w:t xml:space="preserve">van Toezicht </w:t>
      </w:r>
      <w:r w:rsidRPr="008131C9">
        <w:rPr>
          <w:rFonts w:ascii="Verdana" w:hAnsi="Verdana" w:cstheme="minorHAnsi"/>
          <w:sz w:val="18"/>
          <w:szCs w:val="18"/>
        </w:rPr>
        <w:t>te worden goedgekeurd.</w:t>
      </w:r>
    </w:p>
    <w:p w:rsidRPr="000A27E4" w:rsidR="00277640" w:rsidP="003B7EFC" w:rsidRDefault="00277640" w14:paraId="7CF020C4" w14:textId="5C55E58F">
      <w:pPr>
        <w:pStyle w:val="ListParagraph"/>
        <w:numPr>
          <w:ilvl w:val="1"/>
          <w:numId w:val="11"/>
        </w:numPr>
        <w:jc w:val="both"/>
        <w:rPr>
          <w:rFonts w:ascii="Verdana" w:hAnsi="Verdana" w:cstheme="minorHAnsi"/>
          <w:bCs/>
          <w:sz w:val="18"/>
          <w:szCs w:val="18"/>
        </w:rPr>
      </w:pPr>
      <w:r w:rsidRPr="000A27E4">
        <w:rPr>
          <w:rFonts w:ascii="Verdana" w:hAnsi="Verdana" w:cstheme="minorHAnsi"/>
          <w:bCs/>
          <w:sz w:val="18"/>
          <w:szCs w:val="18"/>
        </w:rPr>
        <w:t>Eigendom en vervreemding van goederen (hoofdstuk VIII)</w:t>
      </w:r>
    </w:p>
    <w:p w:rsidRPr="008131C9" w:rsidR="00277640" w:rsidP="003B7EFC" w:rsidRDefault="00277640" w14:paraId="57D431C6" w14:textId="4DE08685">
      <w:pPr>
        <w:jc w:val="both"/>
        <w:rPr>
          <w:rFonts w:ascii="Verdana" w:hAnsi="Verdana" w:cstheme="minorHAnsi"/>
          <w:sz w:val="18"/>
          <w:szCs w:val="18"/>
        </w:rPr>
      </w:pPr>
      <w:r w:rsidRPr="008131C9">
        <w:rPr>
          <w:rFonts w:ascii="Verdana" w:hAnsi="Verdana" w:cstheme="minorHAnsi"/>
          <w:sz w:val="18"/>
          <w:szCs w:val="18"/>
        </w:rPr>
        <w:t xml:space="preserve">Artikel 32 bevat een regeling </w:t>
      </w:r>
      <w:r w:rsidR="00016FB2">
        <w:rPr>
          <w:rFonts w:ascii="Verdana" w:hAnsi="Verdana" w:cstheme="minorHAnsi"/>
          <w:sz w:val="18"/>
          <w:szCs w:val="18"/>
        </w:rPr>
        <w:t>over</w:t>
      </w:r>
      <w:r w:rsidRPr="008131C9" w:rsidR="00016FB2">
        <w:rPr>
          <w:rFonts w:ascii="Verdana" w:hAnsi="Verdana" w:cstheme="minorHAnsi"/>
          <w:sz w:val="18"/>
          <w:szCs w:val="18"/>
        </w:rPr>
        <w:t xml:space="preserve"> </w:t>
      </w:r>
      <w:r w:rsidRPr="008131C9">
        <w:rPr>
          <w:rFonts w:ascii="Verdana" w:hAnsi="Verdana" w:cstheme="minorHAnsi"/>
          <w:sz w:val="18"/>
          <w:szCs w:val="18"/>
        </w:rPr>
        <w:t>het eigendom van goederen verworven door OCCAR onder een administratieve begrotingspost of, op grond van een bijzonder besluit van de Raad</w:t>
      </w:r>
      <w:r w:rsidR="00A64CE8">
        <w:rPr>
          <w:rFonts w:ascii="Verdana" w:hAnsi="Verdana" w:cstheme="minorHAnsi"/>
          <w:sz w:val="18"/>
          <w:szCs w:val="18"/>
        </w:rPr>
        <w:t xml:space="preserve"> van Toezicht</w:t>
      </w:r>
      <w:r w:rsidRPr="008131C9">
        <w:rPr>
          <w:rFonts w:ascii="Verdana" w:hAnsi="Verdana" w:cstheme="minorHAnsi"/>
          <w:sz w:val="18"/>
          <w:szCs w:val="18"/>
        </w:rPr>
        <w:t>, door een lidstaat in opdracht van OCCAR, of met gemeenschappelijke financiering. Het artikel gaat voorts in op de verdeelsleutel van de opbrengsten bij verkoop van goederen.</w:t>
      </w:r>
      <w:r w:rsidR="00D61DD6">
        <w:rPr>
          <w:rFonts w:ascii="Verdana" w:hAnsi="Verdana" w:cstheme="minorHAnsi"/>
          <w:sz w:val="18"/>
          <w:szCs w:val="18"/>
        </w:rPr>
        <w:t xml:space="preserve"> </w:t>
      </w:r>
      <w:r w:rsidRPr="008131C9">
        <w:rPr>
          <w:rFonts w:ascii="Verdana" w:hAnsi="Verdana" w:cstheme="minorHAnsi"/>
          <w:sz w:val="18"/>
          <w:szCs w:val="18"/>
        </w:rPr>
        <w:t>De in artikel 32 beschreven regeling komt overeen met regelingen voor soortgelijke organisaties met eigen rechtspersoonlijkheid.</w:t>
      </w:r>
    </w:p>
    <w:p w:rsidRPr="008131C9" w:rsidR="00277640" w:rsidP="003B7EFC" w:rsidRDefault="00277640" w14:paraId="56AEC9A4" w14:textId="7BE0F367">
      <w:pPr>
        <w:jc w:val="both"/>
        <w:rPr>
          <w:rFonts w:ascii="Verdana" w:hAnsi="Verdana" w:cstheme="minorHAnsi"/>
          <w:sz w:val="18"/>
          <w:szCs w:val="18"/>
        </w:rPr>
      </w:pPr>
      <w:r w:rsidRPr="008131C9">
        <w:rPr>
          <w:rFonts w:ascii="Verdana" w:hAnsi="Verdana" w:cstheme="minorHAnsi"/>
          <w:sz w:val="18"/>
          <w:szCs w:val="18"/>
        </w:rPr>
        <w:t>Artikel 33 regelt, in tegenstelling tot artikel 32, de verwerving van goederen onder een operationele begrotingspost van OCCAR, met de consequenties daarvan voor de lidstaten.</w:t>
      </w:r>
      <w:r w:rsidR="00423409">
        <w:rPr>
          <w:rFonts w:ascii="Verdana" w:hAnsi="Verdana" w:cstheme="minorHAnsi"/>
          <w:sz w:val="18"/>
          <w:szCs w:val="18"/>
        </w:rPr>
        <w:t xml:space="preserve"> </w:t>
      </w:r>
      <w:r w:rsidRPr="008131C9">
        <w:rPr>
          <w:rFonts w:ascii="Verdana" w:hAnsi="Verdana" w:cstheme="minorHAnsi"/>
          <w:sz w:val="18"/>
          <w:szCs w:val="18"/>
        </w:rPr>
        <w:t xml:space="preserve">Dit vereist gebruiks- en financieringsafspraken tussen de meefinancierende </w:t>
      </w:r>
      <w:r w:rsidR="00DE307E">
        <w:rPr>
          <w:rFonts w:ascii="Verdana" w:hAnsi="Verdana" w:cstheme="minorHAnsi"/>
          <w:sz w:val="18"/>
          <w:szCs w:val="18"/>
        </w:rPr>
        <w:t>lids</w:t>
      </w:r>
      <w:r w:rsidRPr="008131C9">
        <w:rPr>
          <w:rFonts w:ascii="Verdana" w:hAnsi="Verdana" w:cstheme="minorHAnsi"/>
          <w:sz w:val="18"/>
          <w:szCs w:val="18"/>
        </w:rPr>
        <w:t>taten.</w:t>
      </w:r>
    </w:p>
    <w:p w:rsidRPr="000A27E4" w:rsidR="00277640" w:rsidP="003B7EFC" w:rsidRDefault="00277640" w14:paraId="0A7A7A97" w14:textId="018409E0">
      <w:pPr>
        <w:pStyle w:val="ListParagraph"/>
        <w:numPr>
          <w:ilvl w:val="1"/>
          <w:numId w:val="11"/>
        </w:numPr>
        <w:jc w:val="both"/>
        <w:rPr>
          <w:rFonts w:ascii="Verdana" w:hAnsi="Verdana" w:cstheme="minorHAnsi"/>
          <w:bCs/>
          <w:sz w:val="18"/>
          <w:szCs w:val="18"/>
        </w:rPr>
      </w:pPr>
      <w:r w:rsidRPr="000A27E4">
        <w:rPr>
          <w:rFonts w:ascii="Verdana" w:hAnsi="Verdana" w:cstheme="minorHAnsi"/>
          <w:bCs/>
          <w:sz w:val="18"/>
          <w:szCs w:val="18"/>
        </w:rPr>
        <w:t>Financieel beheer (hoofdstuk IX)</w:t>
      </w:r>
    </w:p>
    <w:p w:rsidRPr="008131C9" w:rsidR="00277640" w:rsidP="00A67E53" w:rsidRDefault="00277640" w14:paraId="6DA435CA" w14:textId="1D33AC94">
      <w:pPr>
        <w:jc w:val="both"/>
        <w:rPr>
          <w:rFonts w:ascii="Verdana" w:hAnsi="Verdana" w:cstheme="minorHAnsi"/>
          <w:sz w:val="18"/>
          <w:szCs w:val="18"/>
        </w:rPr>
      </w:pPr>
      <w:r w:rsidRPr="008131C9">
        <w:rPr>
          <w:rFonts w:ascii="Verdana" w:hAnsi="Verdana" w:cstheme="minorHAnsi"/>
          <w:sz w:val="18"/>
          <w:szCs w:val="18"/>
        </w:rPr>
        <w:t xml:space="preserve">Dit hoofdstuk beschrijft de voor dergelijke organisaties gebruikelijke voorwaarden voor het financieel beheer. De specifieke financiële voorschriften voor OCCAR, waaronder de financiële bijdragen van de lidstaten, worden door de Raad </w:t>
      </w:r>
      <w:r w:rsidR="00A64CE8">
        <w:rPr>
          <w:rFonts w:ascii="Verdana" w:hAnsi="Verdana" w:cstheme="minorHAnsi"/>
          <w:sz w:val="18"/>
          <w:szCs w:val="18"/>
        </w:rPr>
        <w:t xml:space="preserve">van Toezicht </w:t>
      </w:r>
      <w:r w:rsidRPr="008131C9">
        <w:rPr>
          <w:rFonts w:ascii="Verdana" w:hAnsi="Verdana" w:cstheme="minorHAnsi"/>
          <w:sz w:val="18"/>
          <w:szCs w:val="18"/>
        </w:rPr>
        <w:t xml:space="preserve">goedgekeurd. De middelen nodig voor OCCAR-projecten en operationele plannen worden neergelegd in een jaarlijkse begroting van OCCAR. Het ontwerp ervan moet eveneens door de Raad </w:t>
      </w:r>
      <w:r w:rsidR="00A64CE8">
        <w:rPr>
          <w:rFonts w:ascii="Verdana" w:hAnsi="Verdana" w:cstheme="minorHAnsi"/>
          <w:sz w:val="18"/>
          <w:szCs w:val="18"/>
        </w:rPr>
        <w:t xml:space="preserve">van Toezicht </w:t>
      </w:r>
      <w:r w:rsidRPr="008131C9">
        <w:rPr>
          <w:rFonts w:ascii="Verdana" w:hAnsi="Verdana" w:cstheme="minorHAnsi"/>
          <w:sz w:val="18"/>
          <w:szCs w:val="18"/>
        </w:rPr>
        <w:t>worden goedgekeurd.</w:t>
      </w:r>
    </w:p>
    <w:p w:rsidRPr="008B1C4A" w:rsidR="00277640" w:rsidP="003B7EFC" w:rsidRDefault="00277640" w14:paraId="4002F2DE" w14:textId="7231BF25">
      <w:pPr>
        <w:pStyle w:val="ListParagraph"/>
        <w:numPr>
          <w:ilvl w:val="1"/>
          <w:numId w:val="11"/>
        </w:numPr>
        <w:jc w:val="both"/>
        <w:rPr>
          <w:rFonts w:ascii="Verdana" w:hAnsi="Verdana" w:cstheme="minorHAnsi"/>
          <w:bCs/>
          <w:sz w:val="18"/>
          <w:szCs w:val="18"/>
        </w:rPr>
      </w:pPr>
      <w:r w:rsidRPr="008B1C4A">
        <w:rPr>
          <w:rFonts w:ascii="Verdana" w:hAnsi="Verdana" w:cstheme="minorHAnsi"/>
          <w:bCs/>
          <w:sz w:val="18"/>
          <w:szCs w:val="18"/>
        </w:rPr>
        <w:t>Samenwerking met niet-lidstaten en internationale organisaties (hoofdstuk X)</w:t>
      </w:r>
    </w:p>
    <w:p w:rsidRPr="008131C9" w:rsidR="00277640" w:rsidP="003B7EFC" w:rsidRDefault="00277640" w14:paraId="4D7735CD" w14:textId="68F54918">
      <w:pPr>
        <w:jc w:val="both"/>
        <w:rPr>
          <w:rFonts w:ascii="Verdana" w:hAnsi="Verdana" w:cstheme="minorHAnsi"/>
          <w:sz w:val="18"/>
          <w:szCs w:val="18"/>
        </w:rPr>
      </w:pPr>
      <w:r w:rsidRPr="008131C9">
        <w:rPr>
          <w:rFonts w:ascii="Verdana" w:hAnsi="Verdana" w:cstheme="minorHAnsi"/>
          <w:sz w:val="18"/>
          <w:szCs w:val="18"/>
        </w:rPr>
        <w:t xml:space="preserve">In dit hoofdstuk wordt aangegeven dat bij samenwerking tussen OCCAR en overheidsinstanties, respectievelijk internationale organisaties, overeenkomsten kunnen worden gesloten. </w:t>
      </w:r>
      <w:r w:rsidR="00B22DE4">
        <w:rPr>
          <w:rFonts w:ascii="Verdana" w:hAnsi="Verdana" w:cstheme="minorHAnsi"/>
          <w:sz w:val="18"/>
          <w:szCs w:val="18"/>
        </w:rPr>
        <w:t>Bij</w:t>
      </w:r>
      <w:r w:rsidRPr="008131C9">
        <w:rPr>
          <w:rFonts w:ascii="Verdana" w:hAnsi="Verdana" w:cstheme="minorHAnsi"/>
          <w:sz w:val="18"/>
          <w:szCs w:val="18"/>
        </w:rPr>
        <w:t xml:space="preserve"> deelname aan een OCCAR-project kan aan een deelnemende niet-lidstaat of internationale organisatie instemming worden gevraagd </w:t>
      </w:r>
      <w:r w:rsidR="003B433C">
        <w:rPr>
          <w:rFonts w:ascii="Verdana" w:hAnsi="Verdana" w:cstheme="minorHAnsi"/>
          <w:sz w:val="18"/>
          <w:szCs w:val="18"/>
        </w:rPr>
        <w:t>voor het nemen door de Raad</w:t>
      </w:r>
      <w:r w:rsidR="00A64CE8">
        <w:rPr>
          <w:rFonts w:ascii="Verdana" w:hAnsi="Verdana" w:cstheme="minorHAnsi"/>
          <w:sz w:val="18"/>
          <w:szCs w:val="18"/>
        </w:rPr>
        <w:t xml:space="preserve"> van Toezicht</w:t>
      </w:r>
      <w:r w:rsidR="003B433C">
        <w:rPr>
          <w:rFonts w:ascii="Verdana" w:hAnsi="Verdana" w:cstheme="minorHAnsi"/>
          <w:sz w:val="18"/>
          <w:szCs w:val="18"/>
        </w:rPr>
        <w:t xml:space="preserve"> van</w:t>
      </w:r>
      <w:r w:rsidRPr="008131C9">
        <w:rPr>
          <w:rFonts w:ascii="Verdana" w:hAnsi="Verdana" w:cstheme="minorHAnsi"/>
          <w:sz w:val="18"/>
          <w:szCs w:val="18"/>
        </w:rPr>
        <w:t xml:space="preserve"> de besluiten ten aanzien van vraagstukken die uitsluitend betrekking hebben op het betreffende project.</w:t>
      </w:r>
    </w:p>
    <w:p w:rsidRPr="008B1C4A" w:rsidR="00277640" w:rsidP="003B7EFC" w:rsidRDefault="00277640" w14:paraId="5246CABE" w14:textId="451B4789">
      <w:pPr>
        <w:pStyle w:val="ListParagraph"/>
        <w:numPr>
          <w:ilvl w:val="1"/>
          <w:numId w:val="11"/>
        </w:numPr>
        <w:jc w:val="both"/>
        <w:rPr>
          <w:rFonts w:ascii="Verdana" w:hAnsi="Verdana" w:cstheme="minorHAnsi"/>
          <w:bCs/>
          <w:sz w:val="18"/>
          <w:szCs w:val="18"/>
        </w:rPr>
      </w:pPr>
      <w:r w:rsidRPr="008B1C4A">
        <w:rPr>
          <w:rFonts w:ascii="Verdana" w:hAnsi="Verdana" w:cstheme="minorHAnsi"/>
          <w:bCs/>
          <w:sz w:val="18"/>
          <w:szCs w:val="18"/>
        </w:rPr>
        <w:t>Juridische status, voorrechten en immuniteiten (hoofdstuk XI)</w:t>
      </w:r>
    </w:p>
    <w:p w:rsidRPr="008131C9" w:rsidR="00277640" w:rsidP="003B7EFC" w:rsidRDefault="00277640" w14:paraId="2D445D45" w14:textId="5FC19021">
      <w:pPr>
        <w:jc w:val="both"/>
        <w:rPr>
          <w:rFonts w:ascii="Verdana" w:hAnsi="Verdana" w:cstheme="minorHAnsi"/>
          <w:sz w:val="18"/>
          <w:szCs w:val="18"/>
        </w:rPr>
      </w:pPr>
      <w:r w:rsidRPr="008131C9">
        <w:rPr>
          <w:rFonts w:ascii="Verdana" w:hAnsi="Verdana" w:cstheme="minorHAnsi"/>
          <w:sz w:val="18"/>
          <w:szCs w:val="18"/>
        </w:rPr>
        <w:t xml:space="preserve">Artikel 39 beschrijft de rechtspersoonlijkheid van OCCAR met de daaraan ontleende bevoegdheden ten aanzien van het sluiten van contracten, het verwerven en vervreemden van roerende en onroerende zaken en het in rechte optreden. Met betrekking tot een contract bestaat een keuzevrijheid ten aanzien van het rechtsstelsel dat op het contract van toepassing is, bijvoorbeeld </w:t>
      </w:r>
      <w:r w:rsidR="00536BA9">
        <w:rPr>
          <w:rFonts w:ascii="Verdana" w:hAnsi="Verdana" w:cstheme="minorHAnsi"/>
          <w:sz w:val="18"/>
          <w:szCs w:val="18"/>
        </w:rPr>
        <w:lastRenderedPageBreak/>
        <w:t xml:space="preserve">mogelijkerwijs </w:t>
      </w:r>
      <w:r w:rsidRPr="008131C9">
        <w:rPr>
          <w:rFonts w:ascii="Verdana" w:hAnsi="Verdana" w:cstheme="minorHAnsi"/>
          <w:sz w:val="18"/>
          <w:szCs w:val="18"/>
        </w:rPr>
        <w:t>het Nederlands recht bij afspraken met een Nederlands bedrijf</w:t>
      </w:r>
      <w:r w:rsidR="00E87FE5">
        <w:rPr>
          <w:rFonts w:ascii="Verdana" w:hAnsi="Verdana" w:cstheme="minorHAnsi"/>
          <w:sz w:val="18"/>
          <w:szCs w:val="18"/>
        </w:rPr>
        <w:t xml:space="preserve"> (artikel 41, tweede lid)</w:t>
      </w:r>
      <w:r w:rsidRPr="008131C9">
        <w:rPr>
          <w:rFonts w:ascii="Verdana" w:hAnsi="Verdana" w:cstheme="minorHAnsi"/>
          <w:sz w:val="18"/>
          <w:szCs w:val="18"/>
        </w:rPr>
        <w:t>.</w:t>
      </w:r>
    </w:p>
    <w:p w:rsidR="00A67E53" w:rsidP="003B7EFC" w:rsidRDefault="00277640" w14:paraId="7084BAA5" w14:textId="59E24D2B">
      <w:pPr>
        <w:jc w:val="both"/>
        <w:rPr>
          <w:rFonts w:ascii="Verdana" w:hAnsi="Verdana" w:cstheme="minorHAnsi"/>
          <w:sz w:val="18"/>
          <w:szCs w:val="18"/>
        </w:rPr>
      </w:pPr>
      <w:r w:rsidRPr="008131C9">
        <w:rPr>
          <w:rFonts w:ascii="Verdana" w:hAnsi="Verdana" w:cstheme="minorHAnsi"/>
          <w:sz w:val="18"/>
          <w:szCs w:val="18"/>
        </w:rPr>
        <w:t xml:space="preserve">In artikel 40 wordt verwezen naar de in </w:t>
      </w:r>
      <w:r w:rsidR="002000AB">
        <w:rPr>
          <w:rFonts w:ascii="Verdana" w:hAnsi="Verdana" w:cstheme="minorHAnsi"/>
          <w:sz w:val="18"/>
          <w:szCs w:val="18"/>
        </w:rPr>
        <w:t>B</w:t>
      </w:r>
      <w:r w:rsidRPr="008131C9">
        <w:rPr>
          <w:rFonts w:ascii="Verdana" w:hAnsi="Verdana" w:cstheme="minorHAnsi"/>
          <w:sz w:val="18"/>
          <w:szCs w:val="18"/>
        </w:rPr>
        <w:t>ijlage I beschreven voorrechten en immuniteiten ten behoeve van het personeel, de deskundigen en de vertegenwoordigers van de lidstaten.</w:t>
      </w:r>
      <w:r w:rsidR="00161E5B">
        <w:rPr>
          <w:rFonts w:ascii="Verdana" w:hAnsi="Verdana" w:cstheme="minorHAnsi"/>
          <w:sz w:val="18"/>
          <w:szCs w:val="18"/>
        </w:rPr>
        <w:t xml:space="preserve"> </w:t>
      </w:r>
    </w:p>
    <w:p w:rsidRPr="008131C9" w:rsidR="00277640" w:rsidP="003B7EFC" w:rsidRDefault="003B5966" w14:paraId="4879E8D2" w14:textId="64C64F42">
      <w:pPr>
        <w:jc w:val="both"/>
        <w:rPr>
          <w:rFonts w:ascii="Verdana" w:hAnsi="Verdana" w:cstheme="minorHAnsi"/>
          <w:sz w:val="18"/>
          <w:szCs w:val="18"/>
        </w:rPr>
      </w:pPr>
      <w:r>
        <w:rPr>
          <w:rFonts w:ascii="Verdana" w:hAnsi="Verdana" w:cstheme="minorHAnsi"/>
          <w:sz w:val="18"/>
          <w:szCs w:val="18"/>
        </w:rPr>
        <w:t>I</w:t>
      </w:r>
      <w:r w:rsidR="000011C2">
        <w:rPr>
          <w:rFonts w:ascii="Verdana" w:hAnsi="Verdana" w:cstheme="minorHAnsi"/>
          <w:sz w:val="18"/>
          <w:szCs w:val="18"/>
        </w:rPr>
        <w:t xml:space="preserve">n het tweede lid van artikel 40 </w:t>
      </w:r>
      <w:r>
        <w:rPr>
          <w:rFonts w:ascii="Verdana" w:hAnsi="Verdana" w:cstheme="minorHAnsi"/>
          <w:sz w:val="18"/>
          <w:szCs w:val="18"/>
        </w:rPr>
        <w:t xml:space="preserve">wordt </w:t>
      </w:r>
      <w:r w:rsidRPr="008131C9" w:rsidR="00277640">
        <w:rPr>
          <w:rFonts w:ascii="Verdana" w:hAnsi="Verdana" w:cstheme="minorHAnsi"/>
          <w:sz w:val="18"/>
          <w:szCs w:val="18"/>
        </w:rPr>
        <w:t xml:space="preserve">de noodzaak erkend om overeenkomsten </w:t>
      </w:r>
      <w:r w:rsidRPr="008131C9" w:rsidR="00EE3403">
        <w:rPr>
          <w:rFonts w:ascii="Verdana" w:hAnsi="Verdana" w:cstheme="minorHAnsi"/>
          <w:sz w:val="18"/>
          <w:szCs w:val="18"/>
        </w:rPr>
        <w:t xml:space="preserve">te sluiten </w:t>
      </w:r>
      <w:r w:rsidRPr="008131C9" w:rsidR="00277640">
        <w:rPr>
          <w:rFonts w:ascii="Verdana" w:hAnsi="Verdana" w:cstheme="minorHAnsi"/>
          <w:sz w:val="18"/>
          <w:szCs w:val="18"/>
        </w:rPr>
        <w:t>inzake het OCCAR</w:t>
      </w:r>
      <w:r w:rsidR="005A6954">
        <w:rPr>
          <w:rFonts w:ascii="Verdana" w:hAnsi="Verdana" w:cstheme="minorHAnsi"/>
          <w:sz w:val="18"/>
          <w:szCs w:val="18"/>
        </w:rPr>
        <w:t>-</w:t>
      </w:r>
      <w:r w:rsidRPr="008131C9" w:rsidR="00277640">
        <w:rPr>
          <w:rFonts w:ascii="Verdana" w:hAnsi="Verdana" w:cstheme="minorHAnsi"/>
          <w:sz w:val="18"/>
          <w:szCs w:val="18"/>
        </w:rPr>
        <w:t xml:space="preserve">hoofdkwartier, haar </w:t>
      </w:r>
      <w:r w:rsidR="002F7994">
        <w:rPr>
          <w:rFonts w:ascii="Verdana" w:hAnsi="Verdana" w:cstheme="minorHAnsi"/>
          <w:sz w:val="18"/>
          <w:szCs w:val="18"/>
        </w:rPr>
        <w:t>project</w:t>
      </w:r>
      <w:r w:rsidRPr="008131C9" w:rsidR="00277640">
        <w:rPr>
          <w:rFonts w:ascii="Verdana" w:hAnsi="Verdana" w:cstheme="minorHAnsi"/>
          <w:sz w:val="18"/>
          <w:szCs w:val="18"/>
        </w:rPr>
        <w:t>divisies en kantoren tussen OCCAR en de lidstaten op wiens grondgebied deze voorzieningen zich bevinden.</w:t>
      </w:r>
      <w:r w:rsidR="000011C2">
        <w:rPr>
          <w:rFonts w:ascii="Verdana" w:hAnsi="Verdana" w:cstheme="minorHAnsi"/>
          <w:sz w:val="18"/>
          <w:szCs w:val="18"/>
        </w:rPr>
        <w:t xml:space="preserve"> </w:t>
      </w:r>
      <w:r w:rsidRPr="000011C2" w:rsidR="000011C2">
        <w:rPr>
          <w:rFonts w:ascii="Verdana" w:hAnsi="Verdana" w:cstheme="minorHAnsi"/>
          <w:sz w:val="18"/>
          <w:szCs w:val="18"/>
        </w:rPr>
        <w:t xml:space="preserve">Op dit moment is het hoofdkwartier gevestigd te Bonn (Duitsland). De divisies zijn gevestigd te </w:t>
      </w:r>
      <w:proofErr w:type="spellStart"/>
      <w:r w:rsidRPr="000011C2" w:rsidR="000011C2">
        <w:rPr>
          <w:rFonts w:ascii="Verdana" w:hAnsi="Verdana" w:cstheme="minorHAnsi"/>
          <w:sz w:val="18"/>
          <w:szCs w:val="18"/>
        </w:rPr>
        <w:t>Castellammare</w:t>
      </w:r>
      <w:proofErr w:type="spellEnd"/>
      <w:r w:rsidRPr="000011C2" w:rsidR="000011C2">
        <w:rPr>
          <w:rFonts w:ascii="Verdana" w:hAnsi="Verdana" w:cstheme="minorHAnsi"/>
          <w:sz w:val="18"/>
          <w:szCs w:val="18"/>
        </w:rPr>
        <w:t xml:space="preserve"> di </w:t>
      </w:r>
      <w:proofErr w:type="spellStart"/>
      <w:r w:rsidRPr="000011C2" w:rsidR="000011C2">
        <w:rPr>
          <w:rFonts w:ascii="Verdana" w:hAnsi="Verdana" w:cstheme="minorHAnsi"/>
          <w:sz w:val="18"/>
          <w:szCs w:val="18"/>
        </w:rPr>
        <w:t>Stabia</w:t>
      </w:r>
      <w:proofErr w:type="spellEnd"/>
      <w:r w:rsidRPr="000011C2" w:rsidR="000011C2">
        <w:rPr>
          <w:rFonts w:ascii="Verdana" w:hAnsi="Verdana" w:cstheme="minorHAnsi"/>
          <w:sz w:val="18"/>
          <w:szCs w:val="18"/>
        </w:rPr>
        <w:t xml:space="preserve"> (</w:t>
      </w:r>
      <w:r w:rsidR="002B646D">
        <w:rPr>
          <w:rFonts w:ascii="Verdana" w:hAnsi="Verdana" w:cstheme="minorHAnsi"/>
          <w:sz w:val="18"/>
          <w:szCs w:val="18"/>
        </w:rPr>
        <w:t>Italië</w:t>
      </w:r>
      <w:r w:rsidRPr="000011C2" w:rsidR="000011C2">
        <w:rPr>
          <w:rFonts w:ascii="Verdana" w:hAnsi="Verdana" w:cstheme="minorHAnsi"/>
          <w:sz w:val="18"/>
          <w:szCs w:val="18"/>
        </w:rPr>
        <w:t xml:space="preserve">), La </w:t>
      </w:r>
      <w:proofErr w:type="spellStart"/>
      <w:r w:rsidRPr="000011C2" w:rsidR="000011C2">
        <w:rPr>
          <w:rFonts w:ascii="Verdana" w:hAnsi="Verdana" w:cstheme="minorHAnsi"/>
          <w:sz w:val="18"/>
          <w:szCs w:val="18"/>
        </w:rPr>
        <w:t>Spezia</w:t>
      </w:r>
      <w:proofErr w:type="spellEnd"/>
      <w:r w:rsidRPr="000011C2" w:rsidR="000011C2">
        <w:rPr>
          <w:rFonts w:ascii="Verdana" w:hAnsi="Verdana" w:cstheme="minorHAnsi"/>
          <w:sz w:val="18"/>
          <w:szCs w:val="18"/>
        </w:rPr>
        <w:t xml:space="preserve"> (</w:t>
      </w:r>
      <w:r w:rsidR="002B646D">
        <w:rPr>
          <w:rFonts w:ascii="Verdana" w:hAnsi="Verdana" w:cstheme="minorHAnsi"/>
          <w:sz w:val="18"/>
          <w:szCs w:val="18"/>
        </w:rPr>
        <w:t>Italië</w:t>
      </w:r>
      <w:r w:rsidRPr="000011C2" w:rsidR="000011C2">
        <w:rPr>
          <w:rFonts w:ascii="Verdana" w:hAnsi="Verdana" w:cstheme="minorHAnsi"/>
          <w:sz w:val="18"/>
          <w:szCs w:val="18"/>
        </w:rPr>
        <w:t>), Madrid (</w:t>
      </w:r>
      <w:r w:rsidR="002B646D">
        <w:rPr>
          <w:rFonts w:ascii="Verdana" w:hAnsi="Verdana" w:cstheme="minorHAnsi"/>
          <w:sz w:val="18"/>
          <w:szCs w:val="18"/>
        </w:rPr>
        <w:t>Spanje</w:t>
      </w:r>
      <w:r w:rsidRPr="000011C2" w:rsidR="000011C2">
        <w:rPr>
          <w:rFonts w:ascii="Verdana" w:hAnsi="Verdana" w:cstheme="minorHAnsi"/>
          <w:sz w:val="18"/>
          <w:szCs w:val="18"/>
        </w:rPr>
        <w:t>), München (</w:t>
      </w:r>
      <w:r w:rsidR="002B646D">
        <w:rPr>
          <w:rFonts w:ascii="Verdana" w:hAnsi="Verdana" w:cstheme="minorHAnsi"/>
          <w:sz w:val="18"/>
          <w:szCs w:val="18"/>
        </w:rPr>
        <w:t>Duitsland</w:t>
      </w:r>
      <w:r w:rsidRPr="000011C2" w:rsidR="000011C2">
        <w:rPr>
          <w:rFonts w:ascii="Verdana" w:hAnsi="Verdana" w:cstheme="minorHAnsi"/>
          <w:sz w:val="18"/>
          <w:szCs w:val="18"/>
        </w:rPr>
        <w:t>), Parijs (</w:t>
      </w:r>
      <w:r w:rsidR="002B646D">
        <w:rPr>
          <w:rFonts w:ascii="Verdana" w:hAnsi="Verdana" w:cstheme="minorHAnsi"/>
          <w:sz w:val="18"/>
          <w:szCs w:val="18"/>
        </w:rPr>
        <w:t>Frankrijk</w:t>
      </w:r>
      <w:r w:rsidRPr="000011C2" w:rsidR="000011C2">
        <w:rPr>
          <w:rFonts w:ascii="Verdana" w:hAnsi="Verdana" w:cstheme="minorHAnsi"/>
          <w:sz w:val="18"/>
          <w:szCs w:val="18"/>
        </w:rPr>
        <w:t>), Rome (</w:t>
      </w:r>
      <w:r w:rsidR="002B646D">
        <w:rPr>
          <w:rFonts w:ascii="Verdana" w:hAnsi="Verdana" w:cstheme="minorHAnsi"/>
          <w:sz w:val="18"/>
          <w:szCs w:val="18"/>
        </w:rPr>
        <w:t>Italië</w:t>
      </w:r>
      <w:r w:rsidRPr="000011C2" w:rsidR="000011C2">
        <w:rPr>
          <w:rFonts w:ascii="Verdana" w:hAnsi="Verdana" w:cstheme="minorHAnsi"/>
          <w:sz w:val="18"/>
          <w:szCs w:val="18"/>
        </w:rPr>
        <w:t>), Saint-Nazaire (</w:t>
      </w:r>
      <w:r w:rsidR="002B646D">
        <w:rPr>
          <w:rFonts w:ascii="Verdana" w:hAnsi="Verdana" w:cstheme="minorHAnsi"/>
          <w:sz w:val="18"/>
          <w:szCs w:val="18"/>
        </w:rPr>
        <w:t>Frankrijk</w:t>
      </w:r>
      <w:r w:rsidRPr="000011C2" w:rsidR="000011C2">
        <w:rPr>
          <w:rFonts w:ascii="Verdana" w:hAnsi="Verdana" w:cstheme="minorHAnsi"/>
          <w:sz w:val="18"/>
          <w:szCs w:val="18"/>
        </w:rPr>
        <w:t>) en Sevilla (</w:t>
      </w:r>
      <w:r w:rsidR="002B646D">
        <w:rPr>
          <w:rFonts w:ascii="Verdana" w:hAnsi="Verdana" w:cstheme="minorHAnsi"/>
          <w:sz w:val="18"/>
          <w:szCs w:val="18"/>
        </w:rPr>
        <w:t>Spanje</w:t>
      </w:r>
      <w:r w:rsidRPr="000011C2" w:rsidR="000011C2">
        <w:rPr>
          <w:rFonts w:ascii="Verdana" w:hAnsi="Verdana" w:cstheme="minorHAnsi"/>
          <w:sz w:val="18"/>
          <w:szCs w:val="18"/>
        </w:rPr>
        <w:t>).</w:t>
      </w:r>
      <w:r w:rsidR="00971900">
        <w:rPr>
          <w:rFonts w:ascii="Verdana" w:hAnsi="Verdana" w:cstheme="minorHAnsi"/>
          <w:sz w:val="18"/>
          <w:szCs w:val="18"/>
        </w:rPr>
        <w:t xml:space="preserve"> </w:t>
      </w:r>
      <w:r w:rsidRPr="00852371" w:rsidR="00852371">
        <w:rPr>
          <w:rFonts w:ascii="Verdana" w:hAnsi="Verdana" w:cstheme="minorHAnsi"/>
          <w:sz w:val="18"/>
          <w:szCs w:val="18"/>
        </w:rPr>
        <w:t>Dergelijke overeenkomsten zijn te kwalificeren als zogenoemde zetelverdragen. Mocht in de toekomst worden besloten dat een voorziening in Nederland word</w:t>
      </w:r>
      <w:r w:rsidR="004D08CE">
        <w:rPr>
          <w:rFonts w:ascii="Verdana" w:hAnsi="Verdana" w:cstheme="minorHAnsi"/>
          <w:sz w:val="18"/>
          <w:szCs w:val="18"/>
        </w:rPr>
        <w:t>t</w:t>
      </w:r>
      <w:r w:rsidRPr="00852371" w:rsidR="00852371">
        <w:rPr>
          <w:rFonts w:ascii="Verdana" w:hAnsi="Verdana" w:cstheme="minorHAnsi"/>
          <w:sz w:val="18"/>
          <w:szCs w:val="18"/>
        </w:rPr>
        <w:t xml:space="preserve"> gevestigd</w:t>
      </w:r>
      <w:r w:rsidR="004D08CE">
        <w:rPr>
          <w:rFonts w:ascii="Verdana" w:hAnsi="Verdana" w:cstheme="minorHAnsi"/>
          <w:sz w:val="18"/>
          <w:szCs w:val="18"/>
        </w:rPr>
        <w:t xml:space="preserve"> – momenteel is dat niet aan de orde -</w:t>
      </w:r>
      <w:r w:rsidRPr="00852371" w:rsidR="00852371">
        <w:rPr>
          <w:rFonts w:ascii="Verdana" w:hAnsi="Verdana" w:cstheme="minorHAnsi"/>
          <w:sz w:val="18"/>
          <w:szCs w:val="18"/>
        </w:rPr>
        <w:t xml:space="preserve"> dan is voor deze overeenkomst op grond van artikel 7, aanhef en onderdeel a van de Rijkswet goedkeuring en bekendmaking verdragen (</w:t>
      </w:r>
      <w:proofErr w:type="spellStart"/>
      <w:r w:rsidRPr="00852371" w:rsidR="00852371">
        <w:rPr>
          <w:rFonts w:ascii="Verdana" w:hAnsi="Verdana" w:cstheme="minorHAnsi"/>
          <w:sz w:val="18"/>
          <w:szCs w:val="18"/>
        </w:rPr>
        <w:t>Rgbv</w:t>
      </w:r>
      <w:proofErr w:type="spellEnd"/>
      <w:r w:rsidRPr="00852371" w:rsidR="00852371">
        <w:rPr>
          <w:rFonts w:ascii="Verdana" w:hAnsi="Verdana" w:cstheme="minorHAnsi"/>
          <w:sz w:val="18"/>
          <w:szCs w:val="18"/>
        </w:rPr>
        <w:t>) juncto artikel 3 van de Wet van 24 december 1947 (Stb. H 452) houdende goedkeuring van het Verdrag nopens de voorrechten en immuniteiten van de Verenigde Naties</w:t>
      </w:r>
      <w:r w:rsidR="001474E4">
        <w:rPr>
          <w:rFonts w:ascii="Verdana" w:hAnsi="Verdana" w:cstheme="minorHAnsi"/>
          <w:sz w:val="18"/>
          <w:szCs w:val="18"/>
        </w:rPr>
        <w:t xml:space="preserve"> </w:t>
      </w:r>
      <w:r w:rsidRPr="00852371" w:rsidR="00852371">
        <w:rPr>
          <w:rFonts w:ascii="Verdana" w:hAnsi="Verdana" w:cstheme="minorHAnsi"/>
          <w:sz w:val="18"/>
          <w:szCs w:val="18"/>
        </w:rPr>
        <w:t>geen parlementaire goedkeuring vereist.</w:t>
      </w:r>
    </w:p>
    <w:p w:rsidRPr="008131C9" w:rsidR="00277640" w:rsidP="003B7EFC" w:rsidRDefault="00277640" w14:paraId="07E58BB5" w14:textId="3119AD81">
      <w:pPr>
        <w:jc w:val="both"/>
        <w:rPr>
          <w:rFonts w:ascii="Verdana" w:hAnsi="Verdana" w:cstheme="minorHAnsi"/>
          <w:sz w:val="18"/>
          <w:szCs w:val="18"/>
        </w:rPr>
      </w:pPr>
      <w:r w:rsidRPr="008131C9">
        <w:rPr>
          <w:rFonts w:ascii="Verdana" w:hAnsi="Verdana" w:cstheme="minorHAnsi"/>
          <w:sz w:val="18"/>
          <w:szCs w:val="18"/>
        </w:rPr>
        <w:t xml:space="preserve">Artikel 41 bevat een voor soortgelijke organisaties gebruikelijke mogelijkheid tot het delegeren van bevoegdheden </w:t>
      </w:r>
      <w:r w:rsidR="00C90E2F">
        <w:rPr>
          <w:rFonts w:ascii="Verdana" w:hAnsi="Verdana" w:cstheme="minorHAnsi"/>
          <w:sz w:val="18"/>
          <w:szCs w:val="18"/>
        </w:rPr>
        <w:t xml:space="preserve">beschreven in </w:t>
      </w:r>
      <w:r w:rsidR="002000AB">
        <w:rPr>
          <w:rFonts w:ascii="Verdana" w:hAnsi="Verdana" w:cstheme="minorHAnsi"/>
          <w:sz w:val="18"/>
          <w:szCs w:val="18"/>
        </w:rPr>
        <w:t xml:space="preserve">de </w:t>
      </w:r>
      <w:r w:rsidR="00C90E2F">
        <w:rPr>
          <w:rFonts w:ascii="Verdana" w:hAnsi="Verdana" w:cstheme="minorHAnsi"/>
          <w:sz w:val="18"/>
          <w:szCs w:val="18"/>
        </w:rPr>
        <w:t>artikel</w:t>
      </w:r>
      <w:r w:rsidR="002000AB">
        <w:rPr>
          <w:rFonts w:ascii="Verdana" w:hAnsi="Verdana" w:cstheme="minorHAnsi"/>
          <w:sz w:val="18"/>
          <w:szCs w:val="18"/>
        </w:rPr>
        <w:t>en</w:t>
      </w:r>
      <w:r w:rsidR="00C90E2F">
        <w:rPr>
          <w:rFonts w:ascii="Verdana" w:hAnsi="Verdana" w:cstheme="minorHAnsi"/>
          <w:sz w:val="18"/>
          <w:szCs w:val="18"/>
        </w:rPr>
        <w:t xml:space="preserve"> 39 en 40 </w:t>
      </w:r>
      <w:r w:rsidRPr="008131C9">
        <w:rPr>
          <w:rFonts w:ascii="Verdana" w:hAnsi="Verdana" w:cstheme="minorHAnsi"/>
          <w:sz w:val="18"/>
          <w:szCs w:val="18"/>
        </w:rPr>
        <w:t xml:space="preserve">van de Raad </w:t>
      </w:r>
      <w:r w:rsidR="00A64CE8">
        <w:rPr>
          <w:rFonts w:ascii="Verdana" w:hAnsi="Verdana" w:cstheme="minorHAnsi"/>
          <w:sz w:val="18"/>
          <w:szCs w:val="18"/>
        </w:rPr>
        <w:t xml:space="preserve">van Toezicht </w:t>
      </w:r>
      <w:r w:rsidRPr="008131C9">
        <w:rPr>
          <w:rFonts w:ascii="Verdana" w:hAnsi="Verdana" w:cstheme="minorHAnsi"/>
          <w:sz w:val="18"/>
          <w:szCs w:val="18"/>
        </w:rPr>
        <w:t xml:space="preserve">aan de Directeur of het delegeren van de bevoegdheid tot het ondertekenen van een contract of internationale overeenkomst aan </w:t>
      </w:r>
      <w:r w:rsidR="00C90E2F">
        <w:rPr>
          <w:rFonts w:ascii="Verdana" w:hAnsi="Verdana" w:cstheme="minorHAnsi"/>
          <w:sz w:val="18"/>
          <w:szCs w:val="18"/>
        </w:rPr>
        <w:t xml:space="preserve">ofwel </w:t>
      </w:r>
      <w:r w:rsidRPr="008131C9">
        <w:rPr>
          <w:rFonts w:ascii="Verdana" w:hAnsi="Verdana" w:cstheme="minorHAnsi"/>
          <w:sz w:val="18"/>
          <w:szCs w:val="18"/>
        </w:rPr>
        <w:t>de Directeur of</w:t>
      </w:r>
      <w:r w:rsidR="00C90E2F">
        <w:rPr>
          <w:rFonts w:ascii="Verdana" w:hAnsi="Verdana" w:cstheme="minorHAnsi"/>
          <w:sz w:val="18"/>
          <w:szCs w:val="18"/>
        </w:rPr>
        <w:t>wel</w:t>
      </w:r>
      <w:r w:rsidRPr="008131C9">
        <w:rPr>
          <w:rFonts w:ascii="Verdana" w:hAnsi="Verdana" w:cstheme="minorHAnsi"/>
          <w:sz w:val="18"/>
          <w:szCs w:val="18"/>
        </w:rPr>
        <w:t xml:space="preserve"> een door de Raad</w:t>
      </w:r>
      <w:r w:rsidR="00A64CE8">
        <w:rPr>
          <w:rFonts w:ascii="Verdana" w:hAnsi="Verdana" w:cstheme="minorHAnsi"/>
          <w:sz w:val="18"/>
          <w:szCs w:val="18"/>
        </w:rPr>
        <w:t xml:space="preserve"> van Toezicht</w:t>
      </w:r>
      <w:r w:rsidRPr="008131C9">
        <w:rPr>
          <w:rFonts w:ascii="Verdana" w:hAnsi="Verdana" w:cstheme="minorHAnsi"/>
          <w:sz w:val="18"/>
          <w:szCs w:val="18"/>
        </w:rPr>
        <w:t xml:space="preserve"> aangewezen OCCAR</w:t>
      </w:r>
      <w:r w:rsidR="00B22DE4">
        <w:rPr>
          <w:rFonts w:ascii="Verdana" w:hAnsi="Verdana" w:cstheme="minorHAnsi"/>
          <w:sz w:val="18"/>
          <w:szCs w:val="18"/>
        </w:rPr>
        <w:t>-</w:t>
      </w:r>
      <w:r w:rsidRPr="008131C9">
        <w:rPr>
          <w:rFonts w:ascii="Verdana" w:hAnsi="Verdana" w:cstheme="minorHAnsi"/>
          <w:sz w:val="18"/>
          <w:szCs w:val="18"/>
        </w:rPr>
        <w:t>personeelslid.</w:t>
      </w:r>
    </w:p>
    <w:p w:rsidRPr="008B1C4A" w:rsidR="00277640" w:rsidP="003B7EFC" w:rsidRDefault="00277640" w14:paraId="4392BDC4" w14:textId="677BF0B6">
      <w:pPr>
        <w:pStyle w:val="ListParagraph"/>
        <w:numPr>
          <w:ilvl w:val="1"/>
          <w:numId w:val="11"/>
        </w:numPr>
        <w:jc w:val="both"/>
        <w:rPr>
          <w:rFonts w:ascii="Verdana" w:hAnsi="Verdana" w:cstheme="minorHAnsi"/>
          <w:bCs/>
          <w:sz w:val="18"/>
          <w:szCs w:val="18"/>
        </w:rPr>
      </w:pPr>
      <w:r w:rsidRPr="008B1C4A">
        <w:rPr>
          <w:rFonts w:ascii="Verdana" w:hAnsi="Verdana" w:cstheme="minorHAnsi"/>
          <w:bCs/>
          <w:sz w:val="18"/>
          <w:szCs w:val="18"/>
        </w:rPr>
        <w:t>Beveiliging (hoofdstuk XII)</w:t>
      </w:r>
    </w:p>
    <w:p w:rsidRPr="008B1C4A" w:rsidR="008B1C4A" w:rsidP="003B7EFC" w:rsidRDefault="00277640" w14:paraId="2BCCABD9" w14:textId="4B96C0B2">
      <w:pPr>
        <w:jc w:val="both"/>
        <w:rPr>
          <w:rFonts w:ascii="Verdana" w:hAnsi="Verdana" w:cstheme="minorHAnsi"/>
          <w:sz w:val="18"/>
          <w:szCs w:val="18"/>
        </w:rPr>
      </w:pPr>
      <w:r w:rsidRPr="008131C9">
        <w:rPr>
          <w:rFonts w:ascii="Verdana" w:hAnsi="Verdana" w:cstheme="minorHAnsi"/>
          <w:sz w:val="18"/>
          <w:szCs w:val="18"/>
        </w:rPr>
        <w:t xml:space="preserve">Ingevolge dit hoofdstuk </w:t>
      </w:r>
      <w:r w:rsidR="00A64CE8">
        <w:rPr>
          <w:rFonts w:ascii="Verdana" w:hAnsi="Verdana" w:cstheme="minorHAnsi"/>
          <w:sz w:val="18"/>
          <w:szCs w:val="18"/>
        </w:rPr>
        <w:t xml:space="preserve">stelt de Raad van Toezicht </w:t>
      </w:r>
      <w:r w:rsidRPr="008131C9">
        <w:rPr>
          <w:rFonts w:ascii="Verdana" w:hAnsi="Verdana" w:cstheme="minorHAnsi"/>
          <w:sz w:val="18"/>
          <w:szCs w:val="18"/>
        </w:rPr>
        <w:t xml:space="preserve">de </w:t>
      </w:r>
      <w:r w:rsidR="00A43A76">
        <w:rPr>
          <w:rFonts w:ascii="Verdana" w:hAnsi="Verdana" w:cstheme="minorHAnsi"/>
          <w:sz w:val="18"/>
          <w:szCs w:val="18"/>
        </w:rPr>
        <w:t>be</w:t>
      </w:r>
      <w:r w:rsidRPr="008131C9" w:rsidR="00A43A76">
        <w:rPr>
          <w:rFonts w:ascii="Verdana" w:hAnsi="Verdana" w:cstheme="minorHAnsi"/>
          <w:sz w:val="18"/>
          <w:szCs w:val="18"/>
        </w:rPr>
        <w:t>veilig</w:t>
      </w:r>
      <w:r w:rsidR="00A43A76">
        <w:rPr>
          <w:rFonts w:ascii="Verdana" w:hAnsi="Verdana" w:cstheme="minorHAnsi"/>
          <w:sz w:val="18"/>
          <w:szCs w:val="18"/>
        </w:rPr>
        <w:t>ings</w:t>
      </w:r>
      <w:r w:rsidRPr="008131C9" w:rsidR="00A43A76">
        <w:rPr>
          <w:rFonts w:ascii="Verdana" w:hAnsi="Verdana" w:cstheme="minorHAnsi"/>
          <w:sz w:val="18"/>
          <w:szCs w:val="18"/>
        </w:rPr>
        <w:t xml:space="preserve">voorschriften </w:t>
      </w:r>
      <w:r w:rsidRPr="008131C9">
        <w:rPr>
          <w:rFonts w:ascii="Verdana" w:hAnsi="Verdana" w:cstheme="minorHAnsi"/>
          <w:sz w:val="18"/>
          <w:szCs w:val="18"/>
        </w:rPr>
        <w:t xml:space="preserve">van OCCAR </w:t>
      </w:r>
      <w:r w:rsidR="00962921">
        <w:rPr>
          <w:rFonts w:ascii="Verdana" w:hAnsi="Verdana" w:cstheme="minorHAnsi"/>
          <w:sz w:val="18"/>
          <w:szCs w:val="18"/>
        </w:rPr>
        <w:t>vast</w:t>
      </w:r>
      <w:r w:rsidRPr="008131C9" w:rsidR="00962921">
        <w:rPr>
          <w:rFonts w:ascii="Verdana" w:hAnsi="Verdana" w:cstheme="minorHAnsi"/>
          <w:sz w:val="18"/>
          <w:szCs w:val="18"/>
        </w:rPr>
        <w:t xml:space="preserve"> </w:t>
      </w:r>
      <w:r w:rsidR="007A0457">
        <w:rPr>
          <w:rFonts w:ascii="Verdana" w:hAnsi="Verdana" w:cstheme="minorHAnsi"/>
          <w:sz w:val="18"/>
          <w:szCs w:val="18"/>
        </w:rPr>
        <w:t>(in het verdrag aangeduid als:</w:t>
      </w:r>
      <w:r w:rsidR="00962921">
        <w:rPr>
          <w:rFonts w:ascii="Verdana" w:hAnsi="Verdana" w:cstheme="minorHAnsi"/>
          <w:sz w:val="18"/>
          <w:szCs w:val="18"/>
        </w:rPr>
        <w:t xml:space="preserve"> </w:t>
      </w:r>
      <w:r w:rsidR="00962921">
        <w:rPr>
          <w:rFonts w:ascii="Verdana" w:hAnsi="Verdana" w:cstheme="minorHAnsi"/>
          <w:i/>
          <w:sz w:val="18"/>
          <w:szCs w:val="18"/>
        </w:rPr>
        <w:t xml:space="preserve">security </w:t>
      </w:r>
      <w:proofErr w:type="spellStart"/>
      <w:r w:rsidR="00962921">
        <w:rPr>
          <w:rFonts w:ascii="Verdana" w:hAnsi="Verdana" w:cstheme="minorHAnsi"/>
          <w:i/>
          <w:sz w:val="18"/>
          <w:szCs w:val="18"/>
        </w:rPr>
        <w:t>regulations</w:t>
      </w:r>
      <w:proofErr w:type="spellEnd"/>
      <w:r w:rsidRPr="007A0457" w:rsidR="007A0457">
        <w:rPr>
          <w:rFonts w:ascii="Verdana" w:hAnsi="Verdana" w:cstheme="minorHAnsi"/>
          <w:sz w:val="18"/>
          <w:szCs w:val="18"/>
        </w:rPr>
        <w:t>)</w:t>
      </w:r>
      <w:r w:rsidRPr="008131C9">
        <w:rPr>
          <w:rFonts w:ascii="Verdana" w:hAnsi="Verdana" w:cstheme="minorHAnsi"/>
          <w:sz w:val="18"/>
          <w:szCs w:val="18"/>
        </w:rPr>
        <w:t xml:space="preserve">. </w:t>
      </w:r>
      <w:r w:rsidR="00962921">
        <w:rPr>
          <w:rFonts w:ascii="Verdana" w:hAnsi="Verdana" w:cstheme="minorHAnsi"/>
          <w:sz w:val="18"/>
          <w:szCs w:val="18"/>
        </w:rPr>
        <w:t>Dit staat los van het tussen de lidstaten overeengekomen OCCAR</w:t>
      </w:r>
      <w:r w:rsidR="00DC05A1">
        <w:rPr>
          <w:rFonts w:ascii="Verdana" w:hAnsi="Verdana" w:cstheme="minorHAnsi"/>
          <w:sz w:val="18"/>
          <w:szCs w:val="18"/>
        </w:rPr>
        <w:t>-B</w:t>
      </w:r>
      <w:r w:rsidRPr="00980691">
        <w:rPr>
          <w:rFonts w:ascii="Verdana" w:hAnsi="Verdana" w:cstheme="minorHAnsi"/>
          <w:sz w:val="18"/>
          <w:szCs w:val="18"/>
        </w:rPr>
        <w:t>eveiligings</w:t>
      </w:r>
      <w:r w:rsidR="00DE5841">
        <w:rPr>
          <w:rFonts w:ascii="Verdana" w:hAnsi="Verdana" w:cstheme="minorHAnsi"/>
          <w:sz w:val="18"/>
          <w:szCs w:val="18"/>
        </w:rPr>
        <w:t>verdrag</w:t>
      </w:r>
      <w:r w:rsidR="00962921">
        <w:rPr>
          <w:rFonts w:ascii="Verdana" w:hAnsi="Verdana" w:cstheme="minorHAnsi"/>
          <w:sz w:val="18"/>
          <w:szCs w:val="18"/>
        </w:rPr>
        <w:t xml:space="preserve">, met dien verstande dat </w:t>
      </w:r>
      <w:r w:rsidR="00A43A76">
        <w:rPr>
          <w:rFonts w:ascii="Verdana" w:hAnsi="Verdana" w:cstheme="minorHAnsi"/>
          <w:sz w:val="18"/>
          <w:szCs w:val="18"/>
        </w:rPr>
        <w:t xml:space="preserve">beveiligingsvoorschriften </w:t>
      </w:r>
      <w:r w:rsidR="00962921">
        <w:rPr>
          <w:rFonts w:ascii="Verdana" w:hAnsi="Verdana" w:cstheme="minorHAnsi"/>
          <w:sz w:val="18"/>
          <w:szCs w:val="18"/>
        </w:rPr>
        <w:t>op grond van artikel 7</w:t>
      </w:r>
      <w:r w:rsidR="00426AF4">
        <w:rPr>
          <w:rFonts w:ascii="Verdana" w:hAnsi="Verdana" w:cstheme="minorHAnsi"/>
          <w:sz w:val="18"/>
          <w:szCs w:val="18"/>
        </w:rPr>
        <w:t>, eerste lid,</w:t>
      </w:r>
      <w:r w:rsidR="00962921">
        <w:rPr>
          <w:rFonts w:ascii="Verdana" w:hAnsi="Verdana" w:cstheme="minorHAnsi"/>
          <w:sz w:val="18"/>
          <w:szCs w:val="18"/>
        </w:rPr>
        <w:t xml:space="preserve"> van het </w:t>
      </w:r>
      <w:r w:rsidR="00DC05A1">
        <w:rPr>
          <w:rFonts w:ascii="Verdana" w:hAnsi="Verdana" w:cstheme="minorHAnsi"/>
          <w:sz w:val="18"/>
          <w:szCs w:val="18"/>
        </w:rPr>
        <w:t>OCCAR-B</w:t>
      </w:r>
      <w:r w:rsidR="00962921">
        <w:rPr>
          <w:rFonts w:ascii="Verdana" w:hAnsi="Verdana" w:cstheme="minorHAnsi"/>
          <w:sz w:val="18"/>
          <w:szCs w:val="18"/>
        </w:rPr>
        <w:t>eveiligingsverdrag niet daarmee in strijd mogen zijn</w:t>
      </w:r>
      <w:r w:rsidRPr="00980691" w:rsidR="002D540B">
        <w:rPr>
          <w:rFonts w:ascii="Verdana" w:hAnsi="Verdana" w:cstheme="minorHAnsi"/>
          <w:sz w:val="18"/>
          <w:szCs w:val="18"/>
        </w:rPr>
        <w:t xml:space="preserve">; zie hierover verder </w:t>
      </w:r>
      <w:r w:rsidRPr="00980691" w:rsidR="00980691">
        <w:rPr>
          <w:rFonts w:ascii="Verdana" w:hAnsi="Verdana" w:cstheme="minorHAnsi"/>
          <w:sz w:val="18"/>
          <w:szCs w:val="18"/>
        </w:rPr>
        <w:t xml:space="preserve">hoofdstuk </w:t>
      </w:r>
      <w:r w:rsidRPr="00980691" w:rsidR="006C56CD">
        <w:rPr>
          <w:rFonts w:ascii="Verdana" w:hAnsi="Verdana" w:cstheme="minorHAnsi"/>
          <w:sz w:val="18"/>
          <w:szCs w:val="18"/>
        </w:rPr>
        <w:t>4</w:t>
      </w:r>
      <w:r w:rsidRPr="00980691">
        <w:rPr>
          <w:rFonts w:ascii="Verdana" w:hAnsi="Verdana" w:cstheme="minorHAnsi"/>
          <w:sz w:val="18"/>
          <w:szCs w:val="18"/>
        </w:rPr>
        <w:t>.</w:t>
      </w:r>
    </w:p>
    <w:p w:rsidRPr="008B1C4A" w:rsidR="00277640" w:rsidP="003B7EFC" w:rsidRDefault="00277640" w14:paraId="74BA690E" w14:textId="095C0F89">
      <w:pPr>
        <w:pStyle w:val="ListParagraph"/>
        <w:numPr>
          <w:ilvl w:val="1"/>
          <w:numId w:val="11"/>
        </w:numPr>
        <w:jc w:val="both"/>
        <w:rPr>
          <w:rFonts w:ascii="Verdana" w:hAnsi="Verdana" w:cstheme="minorHAnsi"/>
          <w:sz w:val="18"/>
          <w:szCs w:val="18"/>
        </w:rPr>
      </w:pPr>
      <w:r w:rsidRPr="008B1C4A">
        <w:rPr>
          <w:rFonts w:ascii="Verdana" w:hAnsi="Verdana" w:cstheme="minorHAnsi"/>
          <w:bCs/>
          <w:sz w:val="18"/>
          <w:szCs w:val="18"/>
        </w:rPr>
        <w:t>Verslagen en accountantscontroles (hoofdstuk XIII)</w:t>
      </w:r>
    </w:p>
    <w:p w:rsidRPr="008131C9" w:rsidR="00277640" w:rsidP="003B7EFC" w:rsidRDefault="00277640" w14:paraId="4AEEE5D6" w14:textId="34D1545B">
      <w:pPr>
        <w:jc w:val="both"/>
        <w:rPr>
          <w:rFonts w:ascii="Verdana" w:hAnsi="Verdana" w:cstheme="minorHAnsi"/>
          <w:sz w:val="18"/>
          <w:szCs w:val="18"/>
        </w:rPr>
      </w:pPr>
      <w:r w:rsidRPr="008131C9">
        <w:rPr>
          <w:rFonts w:ascii="Verdana" w:hAnsi="Verdana" w:cstheme="minorHAnsi"/>
          <w:sz w:val="18"/>
          <w:szCs w:val="18"/>
        </w:rPr>
        <w:t>De verplichting van de Directeur voor het aanbieden van een jaarlijks activiteitenrapport aan de Raad</w:t>
      </w:r>
      <w:r w:rsidR="00A64CE8">
        <w:rPr>
          <w:rFonts w:ascii="Verdana" w:hAnsi="Verdana" w:cstheme="minorHAnsi"/>
          <w:sz w:val="18"/>
          <w:szCs w:val="18"/>
        </w:rPr>
        <w:t xml:space="preserve"> van Toezicht</w:t>
      </w:r>
      <w:r w:rsidRPr="008131C9">
        <w:rPr>
          <w:rFonts w:ascii="Verdana" w:hAnsi="Verdana" w:cstheme="minorHAnsi"/>
          <w:sz w:val="18"/>
          <w:szCs w:val="18"/>
        </w:rPr>
        <w:t xml:space="preserve"> is vastgelegd in artikel 43.</w:t>
      </w:r>
    </w:p>
    <w:p w:rsidRPr="008131C9" w:rsidR="00277640" w:rsidP="003B7EFC" w:rsidRDefault="00277640" w14:paraId="3432FABA" w14:textId="64172396">
      <w:pPr>
        <w:jc w:val="both"/>
        <w:rPr>
          <w:rFonts w:ascii="Verdana" w:hAnsi="Verdana" w:cstheme="minorHAnsi"/>
          <w:sz w:val="18"/>
          <w:szCs w:val="18"/>
        </w:rPr>
      </w:pPr>
      <w:r w:rsidRPr="008131C9">
        <w:rPr>
          <w:rFonts w:ascii="Verdana" w:hAnsi="Verdana" w:cstheme="minorHAnsi"/>
          <w:sz w:val="18"/>
          <w:szCs w:val="18"/>
        </w:rPr>
        <w:t xml:space="preserve">Ten aanzien van de in artikel 44 beschreven externe controle – voor interne </w:t>
      </w:r>
      <w:r w:rsidRPr="00DE5841">
        <w:rPr>
          <w:rFonts w:ascii="Verdana" w:hAnsi="Verdana"/>
          <w:sz w:val="18"/>
          <w:szCs w:val="18"/>
        </w:rPr>
        <w:t>controle</w:t>
      </w:r>
      <w:r w:rsidRPr="008131C9">
        <w:rPr>
          <w:rFonts w:ascii="Verdana" w:hAnsi="Verdana" w:cstheme="minorHAnsi"/>
          <w:sz w:val="18"/>
          <w:szCs w:val="18"/>
        </w:rPr>
        <w:t xml:space="preserve"> zie artikel 36 – worden bevoegdheden toegekend aan de nationale accountants om alle informatie met betrekking tot OCCAR-projecten waaraan de betreffende lidstaat deelneemt en </w:t>
      </w:r>
      <w:r w:rsidR="002000AB">
        <w:rPr>
          <w:rFonts w:ascii="Verdana" w:hAnsi="Verdana" w:cstheme="minorHAnsi"/>
          <w:sz w:val="18"/>
          <w:szCs w:val="18"/>
        </w:rPr>
        <w:t xml:space="preserve">met betrekking </w:t>
      </w:r>
      <w:r w:rsidRPr="008131C9">
        <w:rPr>
          <w:rFonts w:ascii="Verdana" w:hAnsi="Verdana" w:cstheme="minorHAnsi"/>
          <w:sz w:val="18"/>
          <w:szCs w:val="18"/>
        </w:rPr>
        <w:t>tot het functioneren van het centrale kantoor op te vragen en te onderzoeken. Teneinde onnodige onderbrekingen van OCCAR-activiteiten te voorkomen en de informatie van lidstaten te beveiligen</w:t>
      </w:r>
      <w:r w:rsidR="00990BC2">
        <w:rPr>
          <w:rFonts w:ascii="Verdana" w:hAnsi="Verdana" w:cstheme="minorHAnsi"/>
          <w:sz w:val="18"/>
          <w:szCs w:val="18"/>
        </w:rPr>
        <w:t>,</w:t>
      </w:r>
      <w:r w:rsidRPr="008131C9">
        <w:rPr>
          <w:rFonts w:ascii="Verdana" w:hAnsi="Verdana" w:cstheme="minorHAnsi"/>
          <w:sz w:val="18"/>
          <w:szCs w:val="18"/>
        </w:rPr>
        <w:t xml:space="preserve"> zijn de nationale accountants verplicht, onderling en met de Directeur, vooraf overleg te plegen over hun controleactiviteiten.</w:t>
      </w:r>
    </w:p>
    <w:p w:rsidRPr="008131C9" w:rsidR="00277640" w:rsidP="003B7EFC" w:rsidRDefault="00277640" w14:paraId="22C97469" w14:textId="7E75F0B6">
      <w:pPr>
        <w:jc w:val="both"/>
        <w:rPr>
          <w:rFonts w:ascii="Verdana" w:hAnsi="Verdana" w:cstheme="minorHAnsi"/>
          <w:sz w:val="18"/>
          <w:szCs w:val="18"/>
        </w:rPr>
      </w:pPr>
      <w:r w:rsidRPr="008131C9">
        <w:rPr>
          <w:rFonts w:ascii="Verdana" w:hAnsi="Verdana" w:cstheme="minorHAnsi"/>
          <w:sz w:val="18"/>
          <w:szCs w:val="18"/>
        </w:rPr>
        <w:t>Artikel 46 bevat voorts de verplichting voor lidstaten om nauw samen te werken om fraude te voorkomen. Ingevolge artikel 47 heeft de Raad</w:t>
      </w:r>
      <w:r w:rsidR="00A64CE8">
        <w:rPr>
          <w:rFonts w:ascii="Verdana" w:hAnsi="Verdana" w:cstheme="minorHAnsi"/>
          <w:sz w:val="18"/>
          <w:szCs w:val="18"/>
        </w:rPr>
        <w:t xml:space="preserve"> van Toezicht</w:t>
      </w:r>
      <w:r w:rsidRPr="008131C9">
        <w:rPr>
          <w:rFonts w:ascii="Verdana" w:hAnsi="Verdana" w:cstheme="minorHAnsi"/>
          <w:sz w:val="18"/>
          <w:szCs w:val="18"/>
        </w:rPr>
        <w:t xml:space="preserve"> het recht om accountantsonderzoeken of controles te laten uitvoeren met als doel het functioneren van de organisatie en de uitvoering van projecten te verbeteren.</w:t>
      </w:r>
    </w:p>
    <w:p w:rsidRPr="008B1C4A" w:rsidR="00277640" w:rsidP="003B7EFC" w:rsidRDefault="00277640" w14:paraId="43E58AE2" w14:textId="77EE318D">
      <w:pPr>
        <w:pStyle w:val="ListParagraph"/>
        <w:numPr>
          <w:ilvl w:val="1"/>
          <w:numId w:val="11"/>
        </w:numPr>
        <w:jc w:val="both"/>
        <w:rPr>
          <w:rFonts w:ascii="Verdana" w:hAnsi="Verdana" w:cstheme="minorHAnsi"/>
          <w:bCs/>
          <w:sz w:val="18"/>
          <w:szCs w:val="18"/>
        </w:rPr>
      </w:pPr>
      <w:r w:rsidRPr="008B1C4A">
        <w:rPr>
          <w:rFonts w:ascii="Verdana" w:hAnsi="Verdana" w:cstheme="minorHAnsi"/>
          <w:bCs/>
          <w:sz w:val="18"/>
          <w:szCs w:val="18"/>
        </w:rPr>
        <w:t>Regeling van geschillen (hoofdstuk XIV)</w:t>
      </w:r>
    </w:p>
    <w:p w:rsidRPr="008131C9" w:rsidR="00277640" w:rsidP="003B7EFC" w:rsidRDefault="00277640" w14:paraId="24B41824" w14:textId="74E106EF">
      <w:pPr>
        <w:jc w:val="both"/>
        <w:rPr>
          <w:rFonts w:ascii="Verdana" w:hAnsi="Verdana" w:cstheme="minorHAnsi"/>
          <w:sz w:val="18"/>
          <w:szCs w:val="18"/>
        </w:rPr>
      </w:pPr>
      <w:r w:rsidRPr="008131C9">
        <w:rPr>
          <w:rFonts w:ascii="Verdana" w:hAnsi="Verdana" w:cstheme="minorHAnsi"/>
          <w:sz w:val="18"/>
          <w:szCs w:val="18"/>
        </w:rPr>
        <w:t xml:space="preserve">In </w:t>
      </w:r>
      <w:r w:rsidR="00BF47BB">
        <w:rPr>
          <w:rFonts w:ascii="Verdana" w:hAnsi="Verdana" w:cstheme="minorHAnsi"/>
          <w:sz w:val="18"/>
          <w:szCs w:val="18"/>
        </w:rPr>
        <w:t>beginsel worden</w:t>
      </w:r>
      <w:r w:rsidRPr="008131C9">
        <w:rPr>
          <w:rFonts w:ascii="Verdana" w:hAnsi="Verdana" w:cstheme="minorHAnsi"/>
          <w:sz w:val="18"/>
          <w:szCs w:val="18"/>
        </w:rPr>
        <w:t xml:space="preserve"> geschillen tussen de lidstaten over de interpretatie of toepassing van </w:t>
      </w:r>
      <w:r w:rsidR="00326793">
        <w:rPr>
          <w:rFonts w:ascii="Verdana" w:hAnsi="Verdana"/>
          <w:sz w:val="18"/>
          <w:szCs w:val="18"/>
        </w:rPr>
        <w:t>het OCCAR-Verdrag</w:t>
      </w:r>
      <w:r w:rsidRPr="008131C9">
        <w:rPr>
          <w:rFonts w:ascii="Verdana" w:hAnsi="Verdana" w:cstheme="minorHAnsi"/>
          <w:sz w:val="18"/>
          <w:szCs w:val="18"/>
        </w:rPr>
        <w:t xml:space="preserve"> in overleg geregeld. Indien dat niet mogelijk is, kan </w:t>
      </w:r>
      <w:r w:rsidR="00D95782">
        <w:rPr>
          <w:rFonts w:ascii="Verdana" w:hAnsi="Verdana" w:cstheme="minorHAnsi"/>
          <w:sz w:val="18"/>
          <w:szCs w:val="18"/>
        </w:rPr>
        <w:t>éé</w:t>
      </w:r>
      <w:r w:rsidRPr="008131C9">
        <w:rPr>
          <w:rFonts w:ascii="Verdana" w:hAnsi="Verdana" w:cstheme="minorHAnsi"/>
          <w:sz w:val="18"/>
          <w:szCs w:val="18"/>
        </w:rPr>
        <w:t>n</w:t>
      </w:r>
      <w:r w:rsidR="00493C28">
        <w:rPr>
          <w:rFonts w:ascii="Verdana" w:hAnsi="Verdana" w:cstheme="minorHAnsi"/>
          <w:sz w:val="18"/>
          <w:szCs w:val="18"/>
        </w:rPr>
        <w:t xml:space="preserve"> van de betrokken Partijen verzoeken dat een</w:t>
      </w:r>
      <w:r w:rsidRPr="008131C9">
        <w:rPr>
          <w:rFonts w:ascii="Verdana" w:hAnsi="Verdana" w:cstheme="minorHAnsi"/>
          <w:sz w:val="18"/>
          <w:szCs w:val="18"/>
        </w:rPr>
        <w:t xml:space="preserve"> geschil aan arbitrage word</w:t>
      </w:r>
      <w:r w:rsidR="00493C28">
        <w:rPr>
          <w:rFonts w:ascii="Verdana" w:hAnsi="Verdana" w:cstheme="minorHAnsi"/>
          <w:sz w:val="18"/>
          <w:szCs w:val="18"/>
        </w:rPr>
        <w:t>t</w:t>
      </w:r>
      <w:r w:rsidRPr="008131C9">
        <w:rPr>
          <w:rFonts w:ascii="Verdana" w:hAnsi="Verdana" w:cstheme="minorHAnsi"/>
          <w:sz w:val="18"/>
          <w:szCs w:val="18"/>
        </w:rPr>
        <w:t xml:space="preserve"> onderworpen. De (</w:t>
      </w:r>
      <w:r w:rsidR="00493C28">
        <w:rPr>
          <w:rFonts w:ascii="Verdana" w:hAnsi="Verdana" w:cstheme="minorHAnsi"/>
          <w:sz w:val="18"/>
          <w:szCs w:val="18"/>
        </w:rPr>
        <w:t xml:space="preserve">in het internationale rechtsverkeer </w:t>
      </w:r>
      <w:r w:rsidRPr="008131C9">
        <w:rPr>
          <w:rFonts w:ascii="Verdana" w:hAnsi="Verdana" w:cstheme="minorHAnsi"/>
          <w:sz w:val="18"/>
          <w:szCs w:val="18"/>
        </w:rPr>
        <w:t xml:space="preserve">gebruikelijke) voorwaarden voor die arbitrage zijn in </w:t>
      </w:r>
      <w:r w:rsidR="002000AB">
        <w:rPr>
          <w:rFonts w:ascii="Verdana" w:hAnsi="Verdana" w:cstheme="minorHAnsi"/>
          <w:sz w:val="18"/>
          <w:szCs w:val="18"/>
        </w:rPr>
        <w:t>B</w:t>
      </w:r>
      <w:r w:rsidRPr="008131C9">
        <w:rPr>
          <w:rFonts w:ascii="Verdana" w:hAnsi="Verdana" w:cstheme="minorHAnsi"/>
          <w:sz w:val="18"/>
          <w:szCs w:val="18"/>
        </w:rPr>
        <w:t xml:space="preserve">ijlage II vastgelegd. In geval van geschillen die voortvloeien uit een door OCCAR gesloten contract, kan een bij de Raad </w:t>
      </w:r>
      <w:r w:rsidR="00A64CE8">
        <w:rPr>
          <w:rFonts w:ascii="Verdana" w:hAnsi="Verdana" w:cstheme="minorHAnsi"/>
          <w:sz w:val="18"/>
          <w:szCs w:val="18"/>
        </w:rPr>
        <w:t xml:space="preserve">van Toezicht </w:t>
      </w:r>
      <w:r w:rsidRPr="008131C9">
        <w:rPr>
          <w:rFonts w:ascii="Verdana" w:hAnsi="Verdana" w:cstheme="minorHAnsi"/>
          <w:sz w:val="18"/>
          <w:szCs w:val="18"/>
        </w:rPr>
        <w:t xml:space="preserve">ondergebracht comité voor minnelijke schikking worden ingeschakeld. De </w:t>
      </w:r>
      <w:proofErr w:type="spellStart"/>
      <w:r w:rsidRPr="008131C9">
        <w:rPr>
          <w:rFonts w:ascii="Verdana" w:hAnsi="Verdana" w:cstheme="minorHAnsi"/>
          <w:sz w:val="18"/>
          <w:szCs w:val="18"/>
        </w:rPr>
        <w:t>projectgerelateerde</w:t>
      </w:r>
      <w:proofErr w:type="spellEnd"/>
      <w:r w:rsidRPr="008131C9">
        <w:rPr>
          <w:rFonts w:ascii="Verdana" w:hAnsi="Verdana" w:cstheme="minorHAnsi"/>
          <w:sz w:val="18"/>
          <w:szCs w:val="18"/>
        </w:rPr>
        <w:t xml:space="preserve"> contracten moeten dan wel voorzien </w:t>
      </w:r>
      <w:r w:rsidR="002000AB">
        <w:rPr>
          <w:rFonts w:ascii="Verdana" w:hAnsi="Verdana" w:cstheme="minorHAnsi"/>
          <w:sz w:val="18"/>
          <w:szCs w:val="18"/>
        </w:rPr>
        <w:t>in</w:t>
      </w:r>
      <w:r w:rsidRPr="008131C9">
        <w:rPr>
          <w:rFonts w:ascii="Verdana" w:hAnsi="Verdana" w:cstheme="minorHAnsi"/>
          <w:sz w:val="18"/>
          <w:szCs w:val="18"/>
        </w:rPr>
        <w:t xml:space="preserve"> een schikkingsregeling en een arbitrageclausule.</w:t>
      </w:r>
    </w:p>
    <w:p w:rsidRPr="008131C9" w:rsidR="00277640" w:rsidP="003B7EFC" w:rsidRDefault="00277640" w14:paraId="2C0EE4F0" w14:textId="77777777">
      <w:pPr>
        <w:jc w:val="both"/>
        <w:rPr>
          <w:rFonts w:ascii="Verdana" w:hAnsi="Verdana" w:cstheme="minorHAnsi"/>
          <w:sz w:val="18"/>
          <w:szCs w:val="18"/>
        </w:rPr>
      </w:pPr>
      <w:r w:rsidRPr="008131C9">
        <w:rPr>
          <w:rFonts w:ascii="Verdana" w:hAnsi="Verdana" w:cstheme="minorHAnsi"/>
          <w:sz w:val="18"/>
          <w:szCs w:val="18"/>
        </w:rPr>
        <w:t>Voor onder meer arbeidsvoorwaardelijke geschillen tussen OCCAR en een personeelslid wordt verwezen naar de geschillenbeslechtingsprocedure vastgelegd in het personeelsreglement van OCCAR.</w:t>
      </w:r>
    </w:p>
    <w:p w:rsidRPr="008131C9" w:rsidR="00277640" w:rsidP="003B7EFC" w:rsidRDefault="00277640" w14:paraId="6831A4A0" w14:textId="498A2C0C">
      <w:pPr>
        <w:jc w:val="both"/>
        <w:rPr>
          <w:rFonts w:ascii="Verdana" w:hAnsi="Verdana" w:cstheme="minorHAnsi"/>
          <w:sz w:val="18"/>
          <w:szCs w:val="18"/>
        </w:rPr>
      </w:pPr>
      <w:r w:rsidRPr="008131C9">
        <w:rPr>
          <w:rFonts w:ascii="Verdana" w:hAnsi="Verdana" w:cstheme="minorHAnsi"/>
          <w:sz w:val="18"/>
          <w:szCs w:val="18"/>
        </w:rPr>
        <w:lastRenderedPageBreak/>
        <w:t>Artikel 50 bevat een regeling voor derde</w:t>
      </w:r>
      <w:r w:rsidR="008B1C4A">
        <w:rPr>
          <w:rFonts w:ascii="Verdana" w:hAnsi="Verdana" w:cstheme="minorHAnsi"/>
          <w:sz w:val="18"/>
          <w:szCs w:val="18"/>
        </w:rPr>
        <w:t>n ingeval van schade of letsel.</w:t>
      </w:r>
    </w:p>
    <w:p w:rsidRPr="008B1C4A" w:rsidR="00277640" w:rsidP="003B7EFC" w:rsidRDefault="00277640" w14:paraId="53857586" w14:textId="0C8E8276">
      <w:pPr>
        <w:pStyle w:val="ListParagraph"/>
        <w:numPr>
          <w:ilvl w:val="1"/>
          <w:numId w:val="11"/>
        </w:numPr>
        <w:jc w:val="both"/>
        <w:rPr>
          <w:rFonts w:ascii="Verdana" w:hAnsi="Verdana" w:cstheme="minorHAnsi"/>
          <w:bCs/>
          <w:sz w:val="18"/>
          <w:szCs w:val="18"/>
        </w:rPr>
      </w:pPr>
      <w:r w:rsidRPr="008B1C4A">
        <w:rPr>
          <w:rFonts w:ascii="Verdana" w:hAnsi="Verdana" w:cstheme="minorHAnsi"/>
          <w:bCs/>
          <w:sz w:val="18"/>
          <w:szCs w:val="18"/>
        </w:rPr>
        <w:t>Slotbepalingen (hoofdstuk XV)</w:t>
      </w:r>
    </w:p>
    <w:p w:rsidRPr="00A64CE8" w:rsidR="00A20855" w:rsidP="00A20855" w:rsidRDefault="00277640" w14:paraId="4298812C" w14:textId="694F7B6F">
      <w:pPr>
        <w:rPr>
          <w:rFonts w:ascii="Verdana" w:hAnsi="Verdana" w:cs="Arial"/>
          <w:sz w:val="18"/>
          <w:szCs w:val="18"/>
          <w:shd w:val="clear" w:color="auto" w:fill="FFFFFF"/>
        </w:rPr>
      </w:pPr>
      <w:r w:rsidRPr="00A64CE8">
        <w:rPr>
          <w:rFonts w:ascii="Verdana" w:hAnsi="Verdana" w:cstheme="minorHAnsi"/>
          <w:sz w:val="18"/>
          <w:szCs w:val="18"/>
        </w:rPr>
        <w:t xml:space="preserve">Dit hoofdstuk bevat de gebruikelijke bepalingen met betrekking tot de inwerkingtreding </w:t>
      </w:r>
      <w:r w:rsidRPr="00A64CE8" w:rsidR="00935C03">
        <w:rPr>
          <w:rFonts w:ascii="Verdana" w:hAnsi="Verdana" w:cstheme="minorHAnsi"/>
          <w:sz w:val="18"/>
          <w:szCs w:val="18"/>
        </w:rPr>
        <w:t xml:space="preserve">en beëindiging </w:t>
      </w:r>
      <w:r w:rsidRPr="00A64CE8">
        <w:rPr>
          <w:rFonts w:ascii="Verdana" w:hAnsi="Verdana" w:cstheme="minorHAnsi"/>
          <w:sz w:val="18"/>
          <w:szCs w:val="18"/>
        </w:rPr>
        <w:t xml:space="preserve">van </w:t>
      </w:r>
      <w:r w:rsidRPr="00A64CE8" w:rsidR="00326793">
        <w:rPr>
          <w:rFonts w:ascii="Verdana" w:hAnsi="Verdana"/>
          <w:sz w:val="18"/>
          <w:szCs w:val="18"/>
        </w:rPr>
        <w:t>het OCCAR-Verdrag</w:t>
      </w:r>
      <w:r w:rsidRPr="00A64CE8" w:rsidDel="00CE446F" w:rsidR="00CE446F">
        <w:rPr>
          <w:rFonts w:ascii="Verdana" w:hAnsi="Verdana" w:cstheme="minorHAnsi"/>
          <w:sz w:val="18"/>
          <w:szCs w:val="18"/>
        </w:rPr>
        <w:t xml:space="preserve"> </w:t>
      </w:r>
      <w:r w:rsidRPr="00A64CE8">
        <w:rPr>
          <w:rFonts w:ascii="Verdana" w:hAnsi="Verdana" w:cstheme="minorHAnsi"/>
          <w:sz w:val="18"/>
          <w:szCs w:val="18"/>
        </w:rPr>
        <w:t xml:space="preserve">en de procedure voor verdragswijzigingen. </w:t>
      </w:r>
      <w:r w:rsidRPr="00A64CE8" w:rsidR="00CA4C47">
        <w:rPr>
          <w:rFonts w:ascii="Verdana" w:hAnsi="Verdana" w:cstheme="minorHAnsi"/>
          <w:sz w:val="18"/>
          <w:szCs w:val="18"/>
        </w:rPr>
        <w:t xml:space="preserve">Artikel 51 bepaalt dat de Raad van Toezicht de lidstaten kan aanbevelen wijzigingen in het Verdrag en de bijlagen aan te brengen. </w:t>
      </w:r>
      <w:r w:rsidRPr="00A64CE8" w:rsidR="00A20855">
        <w:rPr>
          <w:rFonts w:ascii="Verdana" w:hAnsi="Verdana" w:cstheme="minorHAnsi"/>
          <w:sz w:val="18"/>
          <w:szCs w:val="18"/>
        </w:rPr>
        <w:t xml:space="preserve">De door de Raad van Toezicht aanbevolen wijzigingen worden van kracht </w:t>
      </w:r>
      <w:r w:rsidR="0055762A">
        <w:rPr>
          <w:rFonts w:ascii="Verdana" w:hAnsi="Verdana" w:cstheme="minorHAnsi"/>
          <w:sz w:val="18"/>
          <w:szCs w:val="18"/>
        </w:rPr>
        <w:t>dertig</w:t>
      </w:r>
      <w:r w:rsidRPr="00A64CE8" w:rsidR="00A20855">
        <w:rPr>
          <w:rFonts w:ascii="Verdana" w:hAnsi="Verdana" w:cstheme="minorHAnsi"/>
          <w:sz w:val="18"/>
          <w:szCs w:val="18"/>
        </w:rPr>
        <w:t xml:space="preserve"> dagen nadat de depositaris kennisgeving van aanvaarding heeft ontvangen van alle lidstaten. Verdragen tot wijziging van het OCCAR-Verdrag behoeven parlementaire goedkeuring. De bijlagen vormen een geïntegreerd onderdeel van het OCCAR-Verdrag en zijn van uitvoerende aard. V</w:t>
      </w:r>
      <w:r w:rsidRPr="00A64CE8" w:rsidR="00A20855">
        <w:rPr>
          <w:rFonts w:ascii="Verdana" w:hAnsi="Verdana" w:cs="Arial"/>
          <w:sz w:val="18"/>
          <w:szCs w:val="18"/>
          <w:shd w:val="clear" w:color="auto" w:fill="FFFFFF"/>
        </w:rPr>
        <w:t xml:space="preserve">erdragen tot wijziging van de bijlagen behoeven ingevolge artikel 7, onderdeel f van de Rijkswet goedkeuring en bekendmaking verdragen geen parlementaire goedkeuring, tenzij de Staten-Generaal zich thans het recht tot goedkeuring </w:t>
      </w:r>
      <w:proofErr w:type="spellStart"/>
      <w:r w:rsidRPr="00A64CE8" w:rsidR="00A20855">
        <w:rPr>
          <w:rFonts w:ascii="Verdana" w:hAnsi="Verdana" w:cs="Arial"/>
          <w:sz w:val="18"/>
          <w:szCs w:val="18"/>
          <w:shd w:val="clear" w:color="auto" w:fill="FFFFFF"/>
        </w:rPr>
        <w:t>terzake</w:t>
      </w:r>
      <w:proofErr w:type="spellEnd"/>
      <w:r w:rsidRPr="00A64CE8" w:rsidR="00A20855">
        <w:rPr>
          <w:rFonts w:ascii="Verdana" w:hAnsi="Verdana" w:cs="Arial"/>
          <w:sz w:val="18"/>
          <w:szCs w:val="18"/>
          <w:shd w:val="clear" w:color="auto" w:fill="FFFFFF"/>
        </w:rPr>
        <w:t xml:space="preserve"> voorbehouden.</w:t>
      </w:r>
      <w:r w:rsidR="004F1FC3">
        <w:rPr>
          <w:rFonts w:ascii="Verdana" w:hAnsi="Verdana" w:cs="Arial"/>
          <w:sz w:val="18"/>
          <w:szCs w:val="18"/>
          <w:shd w:val="clear" w:color="auto" w:fill="FFFFFF"/>
        </w:rPr>
        <w:t xml:space="preserve"> </w:t>
      </w:r>
      <w:r w:rsidR="00C65BB1">
        <w:rPr>
          <w:rFonts w:ascii="Verdana" w:hAnsi="Verdana" w:cs="Arial"/>
          <w:sz w:val="18"/>
          <w:szCs w:val="18"/>
          <w:shd w:val="clear" w:color="auto" w:fill="FFFFFF"/>
        </w:rPr>
        <w:t>Bijlage IV vormt op bovenstaande een uitzondering, aangezien wijzigingen in Bijlage IV sinds de wijziging van 10 juni 2014 door een unaniem besluit van de Raad van Toezicht worden genomen.</w:t>
      </w:r>
      <w:r w:rsidR="004F1FC3">
        <w:rPr>
          <w:rFonts w:ascii="Verdana" w:hAnsi="Verdana" w:cs="Arial"/>
          <w:sz w:val="18"/>
          <w:szCs w:val="18"/>
          <w:shd w:val="clear" w:color="auto" w:fill="FFFFFF"/>
        </w:rPr>
        <w:t xml:space="preserve"> </w:t>
      </w:r>
    </w:p>
    <w:p w:rsidRPr="00A64CE8" w:rsidR="00A20855" w:rsidP="003B7EFC" w:rsidRDefault="001B5CFC" w14:paraId="52525530" w14:textId="17E02CE9">
      <w:pPr>
        <w:jc w:val="both"/>
        <w:rPr>
          <w:rFonts w:ascii="Verdana" w:hAnsi="Verdana" w:cs="Arial"/>
          <w:sz w:val="18"/>
          <w:szCs w:val="18"/>
          <w:shd w:val="clear" w:color="auto" w:fill="FFFFFF"/>
        </w:rPr>
      </w:pPr>
      <w:r w:rsidRPr="00A64CE8">
        <w:rPr>
          <w:rFonts w:ascii="Verdana" w:hAnsi="Verdana" w:cs="Arial"/>
          <w:sz w:val="18"/>
          <w:szCs w:val="18"/>
          <w:shd w:val="clear" w:color="auto" w:fill="FFFFFF"/>
        </w:rPr>
        <w:t xml:space="preserve">Ingevolge artikel 52 dienen het OCCAR-Verdrag en de bijlagen daarbij te worden bekrachtigd of aanvaard door de vier Staten die OCCAR hebben opgericht en treedt het in werking dertig dagen na de nederlegging van de vierde akte van bekrachtiging of goedkeuring. Op grond van deze bepaling zijn de bepalingen van het OCCAR-Verdrag en de bijlagen op 28 juni 2001 in werking getreden. </w:t>
      </w:r>
    </w:p>
    <w:p w:rsidRPr="008131C9" w:rsidR="00277640" w:rsidP="003B7EFC" w:rsidRDefault="00326793" w14:paraId="43666704" w14:textId="7DB2E043">
      <w:pPr>
        <w:jc w:val="both"/>
        <w:rPr>
          <w:rFonts w:ascii="Verdana" w:hAnsi="Verdana" w:cstheme="minorHAnsi"/>
          <w:sz w:val="18"/>
          <w:szCs w:val="18"/>
        </w:rPr>
      </w:pPr>
      <w:r>
        <w:rPr>
          <w:rFonts w:ascii="Verdana" w:hAnsi="Verdana"/>
          <w:sz w:val="18"/>
          <w:szCs w:val="18"/>
        </w:rPr>
        <w:t>Het OCCAR-Verdrag</w:t>
      </w:r>
      <w:r w:rsidRPr="008131C9" w:rsidR="00CE446F">
        <w:rPr>
          <w:rFonts w:ascii="Verdana" w:hAnsi="Verdana" w:cstheme="minorHAnsi"/>
          <w:sz w:val="18"/>
          <w:szCs w:val="18"/>
        </w:rPr>
        <w:t xml:space="preserve"> </w:t>
      </w:r>
      <w:r w:rsidRPr="008131C9" w:rsidR="00277640">
        <w:rPr>
          <w:rFonts w:ascii="Verdana" w:hAnsi="Verdana" w:cstheme="minorHAnsi"/>
          <w:sz w:val="18"/>
          <w:szCs w:val="18"/>
        </w:rPr>
        <w:t xml:space="preserve">treedt </w:t>
      </w:r>
      <w:r w:rsidR="00493C28">
        <w:rPr>
          <w:rFonts w:ascii="Verdana" w:hAnsi="Verdana" w:cstheme="minorHAnsi"/>
          <w:sz w:val="18"/>
          <w:szCs w:val="18"/>
        </w:rPr>
        <w:t>ingevolge artikel 53</w:t>
      </w:r>
      <w:r w:rsidR="00B15284">
        <w:rPr>
          <w:rFonts w:ascii="Verdana" w:hAnsi="Verdana" w:cstheme="minorHAnsi"/>
          <w:sz w:val="18"/>
          <w:szCs w:val="18"/>
        </w:rPr>
        <w:t>, na daartoe te zijn uitgenodigd, voor een toetredende staat</w:t>
      </w:r>
      <w:r w:rsidR="00493C28">
        <w:rPr>
          <w:rFonts w:ascii="Verdana" w:hAnsi="Verdana" w:cstheme="minorHAnsi"/>
          <w:sz w:val="18"/>
          <w:szCs w:val="18"/>
        </w:rPr>
        <w:t xml:space="preserve"> </w:t>
      </w:r>
      <w:r w:rsidR="00935764">
        <w:rPr>
          <w:rFonts w:ascii="Verdana" w:hAnsi="Verdana" w:cstheme="minorHAnsi"/>
          <w:sz w:val="18"/>
          <w:szCs w:val="18"/>
        </w:rPr>
        <w:t>in werking</w:t>
      </w:r>
      <w:r w:rsidRPr="008131C9" w:rsidR="00277640">
        <w:rPr>
          <w:rFonts w:ascii="Verdana" w:hAnsi="Verdana" w:cstheme="minorHAnsi"/>
          <w:sz w:val="18"/>
          <w:szCs w:val="18"/>
        </w:rPr>
        <w:t xml:space="preserve"> dertig dagen na ontvangst van de akte van toetreding door de depositaris.</w:t>
      </w:r>
      <w:r w:rsidR="002000AB">
        <w:rPr>
          <w:rFonts w:ascii="Verdana" w:hAnsi="Verdana" w:cstheme="minorHAnsi"/>
          <w:sz w:val="18"/>
          <w:szCs w:val="18"/>
        </w:rPr>
        <w:t xml:space="preserve"> Artikel 54 bepaalt dat de Regering van de Franse Republiek de depositaris van het Verdrag is. </w:t>
      </w:r>
    </w:p>
    <w:p w:rsidRPr="008131C9" w:rsidR="00277640" w:rsidP="003B7EFC" w:rsidRDefault="00277640" w14:paraId="4A8AF020" w14:textId="71C055EC">
      <w:pPr>
        <w:jc w:val="both"/>
        <w:rPr>
          <w:rFonts w:ascii="Verdana" w:hAnsi="Verdana" w:cstheme="minorHAnsi"/>
          <w:sz w:val="18"/>
          <w:szCs w:val="18"/>
        </w:rPr>
      </w:pPr>
      <w:r w:rsidRPr="008131C9">
        <w:rPr>
          <w:rFonts w:ascii="Verdana" w:hAnsi="Verdana" w:cstheme="minorHAnsi"/>
          <w:sz w:val="18"/>
          <w:szCs w:val="18"/>
        </w:rPr>
        <w:t xml:space="preserve">Verder wordt </w:t>
      </w:r>
      <w:r w:rsidR="00493C28">
        <w:rPr>
          <w:rFonts w:ascii="Verdana" w:hAnsi="Verdana" w:cstheme="minorHAnsi"/>
          <w:sz w:val="18"/>
          <w:szCs w:val="18"/>
        </w:rPr>
        <w:t>in artikel 55</w:t>
      </w:r>
      <w:r w:rsidRPr="008131C9" w:rsidR="00493C28">
        <w:rPr>
          <w:rFonts w:ascii="Verdana" w:hAnsi="Verdana" w:cstheme="minorHAnsi"/>
          <w:sz w:val="18"/>
          <w:szCs w:val="18"/>
        </w:rPr>
        <w:t xml:space="preserve"> </w:t>
      </w:r>
      <w:r w:rsidRPr="008131C9">
        <w:rPr>
          <w:rFonts w:ascii="Verdana" w:hAnsi="Verdana" w:cstheme="minorHAnsi"/>
          <w:sz w:val="18"/>
          <w:szCs w:val="18"/>
        </w:rPr>
        <w:t>bepaald dat bij ontbinding van OCCAR de afspraken die door de lidstaten hiervoor worden gemaakt, schriftelijk worden vastgelegd. OCCAR wordt ontbonden bij de inwerkingtreding van die afspraken.</w:t>
      </w:r>
    </w:p>
    <w:p w:rsidRPr="008131C9" w:rsidR="00277640" w:rsidP="003B7EFC" w:rsidRDefault="00277640" w14:paraId="4F2AD623" w14:textId="680E7FBF">
      <w:pPr>
        <w:jc w:val="both"/>
        <w:rPr>
          <w:rFonts w:ascii="Verdana" w:hAnsi="Verdana" w:cstheme="minorHAnsi"/>
          <w:sz w:val="18"/>
          <w:szCs w:val="18"/>
        </w:rPr>
      </w:pPr>
      <w:r w:rsidRPr="008131C9">
        <w:rPr>
          <w:rFonts w:ascii="Verdana" w:hAnsi="Verdana" w:cstheme="minorHAnsi"/>
          <w:sz w:val="18"/>
          <w:szCs w:val="18"/>
        </w:rPr>
        <w:t xml:space="preserve">Voorts </w:t>
      </w:r>
      <w:r w:rsidR="00935764">
        <w:rPr>
          <w:rFonts w:ascii="Verdana" w:hAnsi="Verdana" w:cstheme="minorHAnsi"/>
          <w:sz w:val="18"/>
          <w:szCs w:val="18"/>
        </w:rPr>
        <w:t>bepaalt</w:t>
      </w:r>
      <w:r w:rsidR="00493C28">
        <w:rPr>
          <w:rFonts w:ascii="Verdana" w:hAnsi="Verdana" w:cstheme="minorHAnsi"/>
          <w:sz w:val="18"/>
          <w:szCs w:val="18"/>
        </w:rPr>
        <w:t xml:space="preserve"> artikel 56</w:t>
      </w:r>
      <w:r w:rsidRPr="008131C9">
        <w:rPr>
          <w:rFonts w:ascii="Verdana" w:hAnsi="Verdana" w:cstheme="minorHAnsi"/>
          <w:sz w:val="18"/>
          <w:szCs w:val="18"/>
        </w:rPr>
        <w:t xml:space="preserve"> dat de opzegmogelijkheid voor een lidstaat van kracht wordt zes maanden nadat overleg heeft plaatsgevonden met de andere lidstaten en vervolgens de schriftelijke kennisgeving voor opzegging door de depositaris is ontvangen. Echter, de lidstaat die opzegt dient aan zijn aangegane verplichtingen te voldoen tot het moment waarop de opzegging van kracht wordt. Door de opzegging worden de rechten en verantwoordelijkheden van de opzeggende lidstaat met betrekking tot beveiliging, schadevergoeding, de regeling van geschillen en overige lopende verplichtingen niet aangetast.</w:t>
      </w:r>
    </w:p>
    <w:p w:rsidRPr="008131C9" w:rsidR="00277640" w:rsidP="003B7EFC" w:rsidRDefault="00277640" w14:paraId="3965E6BD" w14:textId="434FB4B6">
      <w:pPr>
        <w:jc w:val="both"/>
        <w:rPr>
          <w:rFonts w:ascii="Verdana" w:hAnsi="Verdana" w:cstheme="minorHAnsi"/>
          <w:sz w:val="18"/>
          <w:szCs w:val="18"/>
        </w:rPr>
      </w:pPr>
      <w:r w:rsidRPr="008131C9">
        <w:rPr>
          <w:rFonts w:ascii="Verdana" w:hAnsi="Verdana" w:cstheme="minorHAnsi"/>
          <w:sz w:val="18"/>
          <w:szCs w:val="18"/>
        </w:rPr>
        <w:t xml:space="preserve">Tot slot wordt </w:t>
      </w:r>
      <w:r w:rsidR="00935764">
        <w:rPr>
          <w:rFonts w:ascii="Verdana" w:hAnsi="Verdana" w:cstheme="minorHAnsi"/>
          <w:sz w:val="18"/>
          <w:szCs w:val="18"/>
        </w:rPr>
        <w:t xml:space="preserve">in artikel 57 </w:t>
      </w:r>
      <w:r w:rsidRPr="008131C9">
        <w:rPr>
          <w:rFonts w:ascii="Verdana" w:hAnsi="Verdana" w:cstheme="minorHAnsi"/>
          <w:sz w:val="18"/>
          <w:szCs w:val="18"/>
        </w:rPr>
        <w:t>vastgesteld dat in geval van het niet nakomen van de verplichtingen door een lidstaat, bij unaniem besluit van de Raad</w:t>
      </w:r>
      <w:r w:rsidR="00A64CE8">
        <w:rPr>
          <w:rFonts w:ascii="Verdana" w:hAnsi="Verdana" w:cstheme="minorHAnsi"/>
          <w:sz w:val="18"/>
          <w:szCs w:val="18"/>
        </w:rPr>
        <w:t xml:space="preserve"> van Toezicht</w:t>
      </w:r>
      <w:r w:rsidRPr="008131C9">
        <w:rPr>
          <w:rFonts w:ascii="Verdana" w:hAnsi="Verdana" w:cstheme="minorHAnsi"/>
          <w:sz w:val="18"/>
          <w:szCs w:val="18"/>
        </w:rPr>
        <w:t xml:space="preserve">, met uitzondering van de betreffende staat, </w:t>
      </w:r>
      <w:r w:rsidR="00D95782">
        <w:rPr>
          <w:rFonts w:ascii="Verdana" w:hAnsi="Verdana" w:cstheme="minorHAnsi"/>
          <w:sz w:val="18"/>
          <w:szCs w:val="18"/>
        </w:rPr>
        <w:t xml:space="preserve">kan worden </w:t>
      </w:r>
      <w:r w:rsidRPr="008131C9">
        <w:rPr>
          <w:rFonts w:ascii="Verdana" w:hAnsi="Verdana" w:cstheme="minorHAnsi"/>
          <w:sz w:val="18"/>
          <w:szCs w:val="18"/>
        </w:rPr>
        <w:t>besloten tot uitsluiting van het lidmaatschap</w:t>
      </w:r>
      <w:r w:rsidR="00493C28">
        <w:rPr>
          <w:rFonts w:ascii="Verdana" w:hAnsi="Verdana" w:cstheme="minorHAnsi"/>
          <w:sz w:val="18"/>
          <w:szCs w:val="18"/>
        </w:rPr>
        <w:t xml:space="preserve"> van OCCAR</w:t>
      </w:r>
      <w:r w:rsidRPr="008131C9">
        <w:rPr>
          <w:rFonts w:ascii="Verdana" w:hAnsi="Verdana" w:cstheme="minorHAnsi"/>
          <w:sz w:val="18"/>
          <w:szCs w:val="18"/>
        </w:rPr>
        <w:t>.</w:t>
      </w:r>
    </w:p>
    <w:p w:rsidRPr="00F11C7A" w:rsidR="007B3F7D" w:rsidP="00A662BC" w:rsidRDefault="009E77A9" w14:paraId="61D23475" w14:textId="7AAD3EEF">
      <w:pPr>
        <w:pStyle w:val="ListParagraph"/>
        <w:keepNext/>
        <w:numPr>
          <w:ilvl w:val="0"/>
          <w:numId w:val="10"/>
        </w:numPr>
        <w:ind w:left="357" w:hanging="357"/>
        <w:jc w:val="both"/>
        <w:rPr>
          <w:rFonts w:ascii="Verdana" w:hAnsi="Verdana" w:cstheme="minorHAnsi"/>
          <w:b/>
          <w:bCs/>
          <w:sz w:val="18"/>
          <w:szCs w:val="18"/>
        </w:rPr>
      </w:pPr>
      <w:r w:rsidRPr="00F11C7A">
        <w:rPr>
          <w:rFonts w:ascii="Verdana" w:hAnsi="Verdana" w:cstheme="minorHAnsi"/>
          <w:b/>
          <w:bCs/>
          <w:sz w:val="18"/>
          <w:szCs w:val="18"/>
        </w:rPr>
        <w:t>Het OCCAR-</w:t>
      </w:r>
      <w:r w:rsidR="00224939">
        <w:rPr>
          <w:rFonts w:ascii="Verdana" w:hAnsi="Verdana" w:cstheme="minorHAnsi"/>
          <w:b/>
          <w:bCs/>
          <w:sz w:val="18"/>
          <w:szCs w:val="18"/>
        </w:rPr>
        <w:t>B</w:t>
      </w:r>
      <w:r w:rsidRPr="00F11C7A">
        <w:rPr>
          <w:rFonts w:ascii="Verdana" w:hAnsi="Verdana" w:cstheme="minorHAnsi"/>
          <w:b/>
          <w:bCs/>
          <w:sz w:val="18"/>
          <w:szCs w:val="18"/>
        </w:rPr>
        <w:t>eveiligingsverdrag</w:t>
      </w:r>
    </w:p>
    <w:p w:rsidRPr="007B3F7D" w:rsidR="007B3F7D" w:rsidP="00A662BC" w:rsidRDefault="007B3F7D" w14:paraId="01AED1E1" w14:textId="77777777">
      <w:pPr>
        <w:pStyle w:val="ListParagraph"/>
        <w:keepNext/>
        <w:numPr>
          <w:ilvl w:val="0"/>
          <w:numId w:val="13"/>
        </w:numPr>
        <w:ind w:left="357" w:hanging="357"/>
        <w:jc w:val="both"/>
        <w:rPr>
          <w:rFonts w:ascii="Verdana" w:hAnsi="Verdana" w:cstheme="minorHAnsi"/>
          <w:bCs/>
          <w:vanish/>
          <w:sz w:val="18"/>
          <w:szCs w:val="18"/>
        </w:rPr>
      </w:pPr>
    </w:p>
    <w:p w:rsidRPr="007B3F7D" w:rsidR="007B3F7D" w:rsidP="00A662BC" w:rsidRDefault="007B3F7D" w14:paraId="3176FB3E" w14:textId="77777777">
      <w:pPr>
        <w:pStyle w:val="ListParagraph"/>
        <w:keepNext/>
        <w:numPr>
          <w:ilvl w:val="0"/>
          <w:numId w:val="13"/>
        </w:numPr>
        <w:ind w:left="357" w:hanging="357"/>
        <w:jc w:val="both"/>
        <w:rPr>
          <w:rFonts w:ascii="Verdana" w:hAnsi="Verdana" w:cstheme="minorHAnsi"/>
          <w:bCs/>
          <w:vanish/>
          <w:sz w:val="18"/>
          <w:szCs w:val="18"/>
        </w:rPr>
      </w:pPr>
    </w:p>
    <w:p w:rsidRPr="00B8016D" w:rsidR="00B8016D" w:rsidP="00B8016D" w:rsidRDefault="00B8016D" w14:paraId="2AD51070" w14:textId="77777777">
      <w:pPr>
        <w:pStyle w:val="ListParagraph"/>
        <w:keepNext/>
        <w:ind w:left="357"/>
        <w:jc w:val="both"/>
        <w:rPr>
          <w:rFonts w:ascii="Verdana" w:hAnsi="Verdana" w:cstheme="minorHAnsi"/>
          <w:b/>
          <w:bCs/>
          <w:sz w:val="18"/>
          <w:szCs w:val="18"/>
        </w:rPr>
      </w:pPr>
    </w:p>
    <w:p w:rsidRPr="007B3F7D" w:rsidR="007B3F7D" w:rsidP="00A662BC" w:rsidRDefault="007B3F7D" w14:paraId="5982DE31" w14:textId="48958325">
      <w:pPr>
        <w:pStyle w:val="ListParagraph"/>
        <w:keepNext/>
        <w:numPr>
          <w:ilvl w:val="1"/>
          <w:numId w:val="13"/>
        </w:numPr>
        <w:ind w:left="357" w:hanging="357"/>
        <w:jc w:val="both"/>
        <w:rPr>
          <w:rFonts w:ascii="Verdana" w:hAnsi="Verdana" w:cstheme="minorHAnsi"/>
          <w:b/>
          <w:bCs/>
          <w:sz w:val="18"/>
          <w:szCs w:val="18"/>
        </w:rPr>
      </w:pPr>
      <w:r>
        <w:rPr>
          <w:rFonts w:ascii="Verdana" w:hAnsi="Verdana" w:cstheme="minorHAnsi"/>
          <w:bCs/>
          <w:sz w:val="18"/>
          <w:szCs w:val="18"/>
        </w:rPr>
        <w:t>Algemeen en doelstelling</w:t>
      </w:r>
      <w:r>
        <w:rPr>
          <w:rFonts w:ascii="Verdana" w:hAnsi="Verdana" w:cstheme="minorHAnsi"/>
          <w:bCs/>
          <w:sz w:val="18"/>
          <w:szCs w:val="18"/>
        </w:rPr>
        <w:tab/>
      </w:r>
    </w:p>
    <w:p w:rsidR="009E77A9" w:rsidP="003B7EFC" w:rsidRDefault="00224939" w14:paraId="5B278B94" w14:textId="2A0F5E80">
      <w:pPr>
        <w:jc w:val="both"/>
        <w:rPr>
          <w:rFonts w:ascii="Verdana" w:hAnsi="Verdana" w:cstheme="minorHAnsi"/>
          <w:sz w:val="18"/>
          <w:szCs w:val="18"/>
        </w:rPr>
      </w:pPr>
      <w:r>
        <w:rPr>
          <w:rFonts w:ascii="Verdana" w:hAnsi="Verdana" w:cstheme="minorHAnsi"/>
          <w:sz w:val="18"/>
          <w:szCs w:val="18"/>
        </w:rPr>
        <w:t>O</w:t>
      </w:r>
      <w:r w:rsidR="007312C0">
        <w:rPr>
          <w:rFonts w:ascii="Verdana" w:hAnsi="Verdana" w:cstheme="minorHAnsi"/>
          <w:sz w:val="18"/>
          <w:szCs w:val="18"/>
        </w:rPr>
        <w:t xml:space="preserve">p 24 september 2004 </w:t>
      </w:r>
      <w:r>
        <w:rPr>
          <w:rFonts w:ascii="Verdana" w:hAnsi="Verdana" w:cstheme="minorHAnsi"/>
          <w:sz w:val="18"/>
          <w:szCs w:val="18"/>
        </w:rPr>
        <w:t>is te Parijs het</w:t>
      </w:r>
      <w:r w:rsidRPr="007B3F7D" w:rsidR="009E77A9">
        <w:rPr>
          <w:rFonts w:ascii="Verdana" w:hAnsi="Verdana" w:cstheme="minorHAnsi"/>
          <w:sz w:val="18"/>
          <w:szCs w:val="18"/>
        </w:rPr>
        <w:t xml:space="preserve"> OCCAR-</w:t>
      </w:r>
      <w:r>
        <w:rPr>
          <w:rFonts w:ascii="Verdana" w:hAnsi="Verdana" w:cstheme="minorHAnsi"/>
          <w:sz w:val="18"/>
          <w:szCs w:val="18"/>
        </w:rPr>
        <w:t>B</w:t>
      </w:r>
      <w:r w:rsidRPr="007B3F7D" w:rsidR="009E77A9">
        <w:rPr>
          <w:rFonts w:ascii="Verdana" w:hAnsi="Verdana" w:cstheme="minorHAnsi"/>
          <w:sz w:val="18"/>
          <w:szCs w:val="18"/>
        </w:rPr>
        <w:t>eveiligingsverdrag</w:t>
      </w:r>
      <w:r w:rsidR="007312C0">
        <w:rPr>
          <w:rFonts w:ascii="Verdana" w:hAnsi="Verdana" w:cstheme="minorHAnsi"/>
          <w:sz w:val="18"/>
          <w:szCs w:val="18"/>
        </w:rPr>
        <w:t xml:space="preserve"> tussen de regering van de Franse Republiek, de regering van de Bondsrepubliek </w:t>
      </w:r>
      <w:r w:rsidR="009A0082">
        <w:rPr>
          <w:rFonts w:ascii="Verdana" w:hAnsi="Verdana" w:cstheme="minorHAnsi"/>
          <w:sz w:val="18"/>
          <w:szCs w:val="18"/>
        </w:rPr>
        <w:t>Duitsland</w:t>
      </w:r>
      <w:r w:rsidR="007312C0">
        <w:rPr>
          <w:rFonts w:ascii="Verdana" w:hAnsi="Verdana" w:cstheme="minorHAnsi"/>
          <w:sz w:val="18"/>
          <w:szCs w:val="18"/>
        </w:rPr>
        <w:t>, de regering van het Koninkrijk België, de regering van de Italiaanse Republiek, de regering</w:t>
      </w:r>
      <w:r w:rsidR="009A0082">
        <w:rPr>
          <w:rFonts w:ascii="Verdana" w:hAnsi="Verdana" w:cstheme="minorHAnsi"/>
          <w:sz w:val="18"/>
          <w:szCs w:val="18"/>
        </w:rPr>
        <w:t xml:space="preserve"> </w:t>
      </w:r>
      <w:r w:rsidR="007312C0">
        <w:rPr>
          <w:rFonts w:ascii="Verdana" w:hAnsi="Verdana" w:cstheme="minorHAnsi"/>
          <w:sz w:val="18"/>
          <w:szCs w:val="18"/>
        </w:rPr>
        <w:t xml:space="preserve">van het </w:t>
      </w:r>
      <w:r w:rsidR="009A0082">
        <w:rPr>
          <w:rFonts w:ascii="Verdana" w:hAnsi="Verdana" w:cstheme="minorHAnsi"/>
          <w:sz w:val="18"/>
          <w:szCs w:val="18"/>
        </w:rPr>
        <w:t>Verenigd</w:t>
      </w:r>
      <w:r w:rsidR="007312C0">
        <w:rPr>
          <w:rFonts w:ascii="Verdana" w:hAnsi="Verdana" w:cstheme="minorHAnsi"/>
          <w:sz w:val="18"/>
          <w:szCs w:val="18"/>
        </w:rPr>
        <w:t xml:space="preserve"> Koninkrijk van Groot</w:t>
      </w:r>
      <w:r w:rsidR="009A0082">
        <w:rPr>
          <w:rFonts w:ascii="Verdana" w:hAnsi="Verdana" w:cstheme="minorHAnsi"/>
          <w:sz w:val="18"/>
          <w:szCs w:val="18"/>
        </w:rPr>
        <w:t>-</w:t>
      </w:r>
      <w:r w:rsidR="006F77BD">
        <w:rPr>
          <w:rFonts w:ascii="Verdana" w:hAnsi="Verdana" w:cstheme="minorHAnsi"/>
          <w:sz w:val="18"/>
          <w:szCs w:val="18"/>
        </w:rPr>
        <w:t xml:space="preserve">Brittannië </w:t>
      </w:r>
      <w:r w:rsidR="007312C0">
        <w:rPr>
          <w:rFonts w:ascii="Verdana" w:hAnsi="Verdana" w:cstheme="minorHAnsi"/>
          <w:sz w:val="18"/>
          <w:szCs w:val="18"/>
        </w:rPr>
        <w:t xml:space="preserve">en Noord-Ierland </w:t>
      </w:r>
      <w:r>
        <w:rPr>
          <w:rFonts w:ascii="Verdana" w:hAnsi="Verdana" w:cstheme="minorHAnsi"/>
          <w:sz w:val="18"/>
          <w:szCs w:val="18"/>
        </w:rPr>
        <w:t xml:space="preserve">tot stand gekomen </w:t>
      </w:r>
      <w:r w:rsidR="007312C0">
        <w:rPr>
          <w:rFonts w:ascii="Verdana" w:hAnsi="Verdana" w:cstheme="minorHAnsi"/>
          <w:sz w:val="18"/>
          <w:szCs w:val="18"/>
        </w:rPr>
        <w:t>(</w:t>
      </w:r>
      <w:proofErr w:type="spellStart"/>
      <w:r w:rsidR="007312C0">
        <w:rPr>
          <w:rFonts w:ascii="Verdana" w:hAnsi="Verdana" w:cstheme="minorHAnsi"/>
          <w:sz w:val="18"/>
          <w:szCs w:val="18"/>
        </w:rPr>
        <w:t>Trb</w:t>
      </w:r>
      <w:proofErr w:type="spellEnd"/>
      <w:r w:rsidR="007312C0">
        <w:rPr>
          <w:rFonts w:ascii="Verdana" w:hAnsi="Verdana" w:cstheme="minorHAnsi"/>
          <w:sz w:val="18"/>
          <w:szCs w:val="18"/>
        </w:rPr>
        <w:t>. 2024, 31, hierna: het OCCAR-Beveiligingsverdrag).</w:t>
      </w:r>
      <w:r w:rsidRPr="007B3F7D" w:rsidR="009E77A9">
        <w:rPr>
          <w:rFonts w:ascii="Verdana" w:hAnsi="Verdana" w:cstheme="minorHAnsi"/>
          <w:sz w:val="18"/>
          <w:szCs w:val="18"/>
        </w:rPr>
        <w:t xml:space="preserve"> </w:t>
      </w:r>
      <w:r w:rsidR="009A0082">
        <w:rPr>
          <w:rFonts w:ascii="Verdana" w:hAnsi="Verdana" w:cstheme="minorHAnsi"/>
          <w:sz w:val="18"/>
          <w:szCs w:val="18"/>
        </w:rPr>
        <w:t xml:space="preserve">Ingevolge artikel 11 van het OCCAR-Beveiligingsverdrag dient een staat die wenst toe te treden tot </w:t>
      </w:r>
      <w:r w:rsidR="00326793">
        <w:rPr>
          <w:rFonts w:ascii="Verdana" w:hAnsi="Verdana" w:cstheme="minorHAnsi"/>
          <w:sz w:val="18"/>
          <w:szCs w:val="18"/>
        </w:rPr>
        <w:t>het OCCAR-Verdrag</w:t>
      </w:r>
      <w:r w:rsidR="009A0082">
        <w:rPr>
          <w:rFonts w:ascii="Verdana" w:hAnsi="Verdana" w:cstheme="minorHAnsi"/>
          <w:sz w:val="18"/>
          <w:szCs w:val="18"/>
        </w:rPr>
        <w:t xml:space="preserve"> en ingevolge artikel 53 van </w:t>
      </w:r>
      <w:r w:rsidR="00326793">
        <w:rPr>
          <w:rFonts w:ascii="Verdana" w:hAnsi="Verdana" w:cstheme="minorHAnsi"/>
          <w:sz w:val="18"/>
          <w:szCs w:val="18"/>
        </w:rPr>
        <w:t>het OCCAR-Verdrag</w:t>
      </w:r>
      <w:r w:rsidR="009A0082">
        <w:rPr>
          <w:rFonts w:ascii="Verdana" w:hAnsi="Verdana" w:cstheme="minorHAnsi"/>
          <w:sz w:val="18"/>
          <w:szCs w:val="18"/>
        </w:rPr>
        <w:t xml:space="preserve"> daartoe een uitnodiging heeft ontvangen, gelijktijdig toe te treden tot het OCCAR-Beveiligingsverdrag. </w:t>
      </w:r>
      <w:r w:rsidRPr="007B3F7D" w:rsidR="009E77A9">
        <w:rPr>
          <w:rFonts w:ascii="Verdana" w:hAnsi="Verdana" w:cstheme="minorHAnsi"/>
          <w:sz w:val="18"/>
          <w:szCs w:val="18"/>
        </w:rPr>
        <w:t>Het OCCAR-</w:t>
      </w:r>
      <w:r>
        <w:rPr>
          <w:rFonts w:ascii="Verdana" w:hAnsi="Verdana" w:cstheme="minorHAnsi"/>
          <w:sz w:val="18"/>
          <w:szCs w:val="18"/>
        </w:rPr>
        <w:t>B</w:t>
      </w:r>
      <w:r w:rsidRPr="007B3F7D" w:rsidR="009E77A9">
        <w:rPr>
          <w:rFonts w:ascii="Verdana" w:hAnsi="Verdana" w:cstheme="minorHAnsi"/>
          <w:sz w:val="18"/>
          <w:szCs w:val="18"/>
        </w:rPr>
        <w:t xml:space="preserve">eveiligingsverdrag is noodzakelijk voor de adequate beveiliging van gerubriceerde gegevens die worden gegenereerd of uitgewisseld in het kader van de projecten en andere activiteiten van OCCAR. </w:t>
      </w:r>
    </w:p>
    <w:p w:rsidR="00F4188F" w:rsidP="003B7EFC" w:rsidRDefault="009E77A9" w14:paraId="1DF02CEE" w14:textId="6DDD2102">
      <w:pPr>
        <w:pStyle w:val="ListParagraph"/>
        <w:numPr>
          <w:ilvl w:val="1"/>
          <w:numId w:val="13"/>
        </w:numPr>
        <w:jc w:val="both"/>
        <w:rPr>
          <w:rFonts w:ascii="Verdana" w:hAnsi="Verdana" w:cstheme="minorHAnsi"/>
          <w:bCs/>
          <w:sz w:val="18"/>
          <w:szCs w:val="18"/>
        </w:rPr>
      </w:pPr>
      <w:r w:rsidRPr="002A3B8B">
        <w:rPr>
          <w:rFonts w:ascii="Verdana" w:hAnsi="Verdana" w:cstheme="minorHAnsi"/>
          <w:bCs/>
          <w:sz w:val="18"/>
          <w:szCs w:val="18"/>
        </w:rPr>
        <w:t>Artikelsgewijze toelichting</w:t>
      </w:r>
    </w:p>
    <w:p w:rsidR="00F4188F" w:rsidP="003B7EFC" w:rsidRDefault="00F4188F" w14:paraId="57483433" w14:textId="77777777">
      <w:pPr>
        <w:pStyle w:val="ListParagraph"/>
        <w:ind w:left="360"/>
        <w:jc w:val="both"/>
        <w:rPr>
          <w:rFonts w:ascii="Verdana" w:hAnsi="Verdana" w:cstheme="minorHAnsi"/>
          <w:bCs/>
          <w:sz w:val="18"/>
          <w:szCs w:val="18"/>
        </w:rPr>
      </w:pPr>
    </w:p>
    <w:p w:rsidRPr="00F4188F" w:rsidR="009E77A9" w:rsidP="003B7EFC" w:rsidRDefault="00A9747C" w14:paraId="62B74ED0" w14:textId="21F8706B">
      <w:pPr>
        <w:pStyle w:val="ListParagraph"/>
        <w:numPr>
          <w:ilvl w:val="2"/>
          <w:numId w:val="13"/>
        </w:numPr>
        <w:jc w:val="both"/>
        <w:rPr>
          <w:rFonts w:ascii="Verdana" w:hAnsi="Verdana" w:cstheme="minorHAnsi"/>
          <w:bCs/>
          <w:sz w:val="18"/>
          <w:szCs w:val="18"/>
        </w:rPr>
      </w:pPr>
      <w:r w:rsidRPr="00F4188F">
        <w:rPr>
          <w:rFonts w:ascii="Verdana" w:hAnsi="Verdana"/>
          <w:bCs/>
          <w:sz w:val="18"/>
          <w:szCs w:val="18"/>
        </w:rPr>
        <w:t>D</w:t>
      </w:r>
      <w:r w:rsidRPr="00F4188F" w:rsidR="009E77A9">
        <w:rPr>
          <w:rFonts w:ascii="Verdana" w:hAnsi="Verdana"/>
          <w:bCs/>
          <w:sz w:val="18"/>
          <w:szCs w:val="18"/>
        </w:rPr>
        <w:t>efinitie gerubriceerde informatie</w:t>
      </w:r>
    </w:p>
    <w:p w:rsidRPr="00F71DC5" w:rsidR="009E77A9" w:rsidP="003B7EFC" w:rsidRDefault="009E77A9" w14:paraId="2D577A20" w14:textId="0C9FCE37">
      <w:pPr>
        <w:jc w:val="both"/>
        <w:rPr>
          <w:rFonts w:ascii="Verdana" w:hAnsi="Verdana"/>
          <w:sz w:val="18"/>
          <w:szCs w:val="18"/>
        </w:rPr>
      </w:pPr>
      <w:r w:rsidRPr="00F71DC5">
        <w:rPr>
          <w:rFonts w:ascii="Verdana" w:hAnsi="Verdana"/>
          <w:sz w:val="18"/>
          <w:szCs w:val="18"/>
        </w:rPr>
        <w:lastRenderedPageBreak/>
        <w:t xml:space="preserve">De definitie van gerubriceerde informatie in </w:t>
      </w:r>
      <w:r w:rsidR="00647485">
        <w:rPr>
          <w:rFonts w:ascii="Verdana" w:hAnsi="Verdana"/>
          <w:sz w:val="18"/>
          <w:szCs w:val="18"/>
        </w:rPr>
        <w:t xml:space="preserve">het eerste </w:t>
      </w:r>
      <w:r w:rsidRPr="00F71DC5">
        <w:rPr>
          <w:rFonts w:ascii="Verdana" w:hAnsi="Verdana"/>
          <w:sz w:val="18"/>
          <w:szCs w:val="18"/>
        </w:rPr>
        <w:t xml:space="preserve">artikel sluit aan bij de definitie die </w:t>
      </w:r>
      <w:r w:rsidR="007A7A15">
        <w:rPr>
          <w:rFonts w:ascii="Verdana" w:hAnsi="Verdana"/>
          <w:sz w:val="18"/>
          <w:szCs w:val="18"/>
        </w:rPr>
        <w:t xml:space="preserve">het Koninkrijk der </w:t>
      </w:r>
      <w:r w:rsidRPr="00F71DC5">
        <w:rPr>
          <w:rFonts w:ascii="Verdana" w:hAnsi="Verdana"/>
          <w:sz w:val="18"/>
          <w:szCs w:val="18"/>
        </w:rPr>
        <w:t>Nederland</w:t>
      </w:r>
      <w:r w:rsidR="008D121D">
        <w:rPr>
          <w:rFonts w:ascii="Verdana" w:hAnsi="Verdana"/>
          <w:sz w:val="18"/>
          <w:szCs w:val="18"/>
        </w:rPr>
        <w:t>en</w:t>
      </w:r>
      <w:r w:rsidRPr="00F71DC5">
        <w:rPr>
          <w:rFonts w:ascii="Verdana" w:hAnsi="Verdana"/>
          <w:sz w:val="18"/>
          <w:szCs w:val="18"/>
        </w:rPr>
        <w:t xml:space="preserve"> in andere </w:t>
      </w:r>
      <w:r w:rsidR="00224939">
        <w:rPr>
          <w:rFonts w:ascii="Verdana" w:hAnsi="Verdana"/>
          <w:sz w:val="18"/>
          <w:szCs w:val="18"/>
        </w:rPr>
        <w:t>beveiligings</w:t>
      </w:r>
      <w:r w:rsidRPr="00F71DC5">
        <w:rPr>
          <w:rFonts w:ascii="Verdana" w:hAnsi="Verdana"/>
          <w:sz w:val="18"/>
          <w:szCs w:val="18"/>
        </w:rPr>
        <w:t>verdragen met bondgenoten hanteert.</w:t>
      </w:r>
      <w:r w:rsidRPr="00F71DC5">
        <w:rPr>
          <w:rStyle w:val="FootnoteReference"/>
          <w:rFonts w:ascii="Verdana" w:hAnsi="Verdana"/>
          <w:sz w:val="18"/>
          <w:szCs w:val="18"/>
        </w:rPr>
        <w:footnoteReference w:id="26"/>
      </w:r>
      <w:r w:rsidRPr="00F71DC5">
        <w:rPr>
          <w:rFonts w:ascii="Verdana" w:hAnsi="Verdana"/>
          <w:sz w:val="18"/>
          <w:szCs w:val="18"/>
        </w:rPr>
        <w:t xml:space="preserve"> De verplichting om een rubricering aan te brengen</w:t>
      </w:r>
      <w:r w:rsidRPr="00F71DC5" w:rsidR="004B6952">
        <w:rPr>
          <w:rFonts w:ascii="Verdana" w:hAnsi="Verdana"/>
          <w:sz w:val="18"/>
          <w:szCs w:val="18"/>
        </w:rPr>
        <w:t xml:space="preserve"> op de </w:t>
      </w:r>
      <w:r w:rsidR="00224939">
        <w:rPr>
          <w:rFonts w:ascii="Verdana" w:hAnsi="Verdana"/>
          <w:sz w:val="18"/>
          <w:szCs w:val="18"/>
        </w:rPr>
        <w:t xml:space="preserve">verkregen </w:t>
      </w:r>
      <w:r w:rsidRPr="00F71DC5" w:rsidR="004B6952">
        <w:rPr>
          <w:rFonts w:ascii="Verdana" w:hAnsi="Verdana"/>
          <w:sz w:val="18"/>
          <w:szCs w:val="18"/>
        </w:rPr>
        <w:t>informatie</w:t>
      </w:r>
      <w:r w:rsidRPr="00F71DC5">
        <w:rPr>
          <w:rFonts w:ascii="Verdana" w:hAnsi="Verdana"/>
          <w:sz w:val="18"/>
          <w:szCs w:val="18"/>
        </w:rPr>
        <w:t xml:space="preserve"> is ingegeven om het voor de verwerker duidelijk te maken dat de informatie op een bijzondere manier moet worden behandeld</w:t>
      </w:r>
      <w:r w:rsidR="003E0E64">
        <w:rPr>
          <w:rFonts w:ascii="Verdana" w:hAnsi="Verdana"/>
          <w:sz w:val="18"/>
          <w:szCs w:val="18"/>
        </w:rPr>
        <w:t xml:space="preserve"> en beveiligd</w:t>
      </w:r>
      <w:r w:rsidRPr="00F71DC5">
        <w:rPr>
          <w:rFonts w:ascii="Verdana" w:hAnsi="Verdana"/>
          <w:sz w:val="18"/>
          <w:szCs w:val="18"/>
        </w:rPr>
        <w:t xml:space="preserve">. </w:t>
      </w:r>
    </w:p>
    <w:p w:rsidRPr="00F71DC5" w:rsidR="009E77A9" w:rsidP="003B7EFC" w:rsidRDefault="009E77A9" w14:paraId="0FF4DB12" w14:textId="0E279B66">
      <w:pPr>
        <w:jc w:val="both"/>
        <w:rPr>
          <w:rFonts w:ascii="Verdana" w:hAnsi="Verdana"/>
          <w:sz w:val="18"/>
          <w:szCs w:val="18"/>
        </w:rPr>
      </w:pPr>
      <w:r w:rsidRPr="00F71DC5">
        <w:rPr>
          <w:rFonts w:ascii="Verdana" w:hAnsi="Verdana"/>
          <w:sz w:val="18"/>
          <w:szCs w:val="18"/>
        </w:rPr>
        <w:t xml:space="preserve">In de navolgende artikelen is uitgewerkt wat voor soort rubriceringen en wat voor beveiligingsnormen moeten worden toegepast. </w:t>
      </w:r>
    </w:p>
    <w:p w:rsidRPr="00F4188F" w:rsidR="009E77A9" w:rsidP="003B7EFC" w:rsidRDefault="00A9747C" w14:paraId="3F84F2EB" w14:textId="366DB797">
      <w:pPr>
        <w:pStyle w:val="ListParagraph"/>
        <w:numPr>
          <w:ilvl w:val="2"/>
          <w:numId w:val="13"/>
        </w:numPr>
        <w:jc w:val="both"/>
        <w:rPr>
          <w:rFonts w:ascii="Verdana" w:hAnsi="Verdana"/>
          <w:bCs/>
          <w:sz w:val="18"/>
          <w:szCs w:val="18"/>
        </w:rPr>
      </w:pPr>
      <w:r w:rsidRPr="00F4188F">
        <w:rPr>
          <w:rFonts w:ascii="Verdana" w:hAnsi="Verdana"/>
          <w:bCs/>
          <w:sz w:val="18"/>
          <w:szCs w:val="18"/>
        </w:rPr>
        <w:t>B</w:t>
      </w:r>
      <w:r w:rsidRPr="00F4188F" w:rsidR="009E77A9">
        <w:rPr>
          <w:rFonts w:ascii="Verdana" w:hAnsi="Verdana"/>
          <w:bCs/>
          <w:sz w:val="18"/>
          <w:szCs w:val="18"/>
        </w:rPr>
        <w:t>eveiligingseisen</w:t>
      </w:r>
    </w:p>
    <w:p w:rsidRPr="00F71DC5" w:rsidR="009E77A9" w:rsidP="003B7EFC" w:rsidRDefault="009E77A9" w14:paraId="6A67EFBE" w14:textId="2209A92B">
      <w:pPr>
        <w:jc w:val="both"/>
        <w:rPr>
          <w:rFonts w:ascii="Verdana" w:hAnsi="Verdana"/>
          <w:sz w:val="18"/>
          <w:szCs w:val="18"/>
        </w:rPr>
      </w:pPr>
      <w:r w:rsidRPr="00F71DC5">
        <w:rPr>
          <w:rFonts w:ascii="Verdana" w:hAnsi="Verdana"/>
          <w:sz w:val="18"/>
          <w:szCs w:val="18"/>
        </w:rPr>
        <w:t xml:space="preserve">In artikel 2 staan de belangrijkste uitgangspunten voor de beveiliging van gerubriceerde gegevens. Daar staat allereerst opgenomen dat gegevens moeten worden beveiligd op een gelijkwaardig niveau (sub b), dat wil zeggen conform de in artikel 4 weergegeven tabel. Dat betekent voor </w:t>
      </w:r>
      <w:r w:rsidR="007A7A15">
        <w:rPr>
          <w:rFonts w:ascii="Verdana" w:hAnsi="Verdana"/>
          <w:sz w:val="18"/>
          <w:szCs w:val="18"/>
        </w:rPr>
        <w:t xml:space="preserve">het Koninkrijk der </w:t>
      </w:r>
      <w:r w:rsidRPr="00F71DC5">
        <w:rPr>
          <w:rFonts w:ascii="Verdana" w:hAnsi="Verdana"/>
          <w:sz w:val="18"/>
          <w:szCs w:val="18"/>
        </w:rPr>
        <w:t>Nederland</w:t>
      </w:r>
      <w:r w:rsidR="007A7A15">
        <w:rPr>
          <w:rFonts w:ascii="Verdana" w:hAnsi="Verdana"/>
          <w:sz w:val="18"/>
          <w:szCs w:val="18"/>
        </w:rPr>
        <w:t>en</w:t>
      </w:r>
      <w:r w:rsidRPr="00F71DC5">
        <w:rPr>
          <w:rFonts w:ascii="Verdana" w:hAnsi="Verdana"/>
          <w:sz w:val="18"/>
          <w:szCs w:val="18"/>
        </w:rPr>
        <w:t xml:space="preserve"> bijvoorbeeld dat informatie gerubriceerd op het niveau OCCAR CONFIDENTIAL moet worden beveiligd op een manier die gelijkwaardig is aan de wijze waarop in Nederland informatie met een rubricering </w:t>
      </w:r>
      <w:proofErr w:type="spellStart"/>
      <w:r w:rsidRPr="00F71DC5">
        <w:rPr>
          <w:rFonts w:ascii="Verdana" w:hAnsi="Verdana"/>
          <w:sz w:val="18"/>
          <w:szCs w:val="18"/>
        </w:rPr>
        <w:t>Stg</w:t>
      </w:r>
      <w:proofErr w:type="spellEnd"/>
      <w:r w:rsidRPr="00F71DC5">
        <w:rPr>
          <w:rFonts w:ascii="Verdana" w:hAnsi="Verdana"/>
          <w:sz w:val="18"/>
          <w:szCs w:val="18"/>
        </w:rPr>
        <w:t xml:space="preserve">. CONFIDENTIEEL wordt beveiligd. </w:t>
      </w:r>
    </w:p>
    <w:p w:rsidRPr="00F71DC5" w:rsidR="009E77A9" w:rsidP="003B7EFC" w:rsidRDefault="004B6952" w14:paraId="39245F00" w14:textId="4CCFF961">
      <w:pPr>
        <w:jc w:val="both"/>
        <w:rPr>
          <w:rFonts w:ascii="Verdana" w:hAnsi="Verdana"/>
          <w:sz w:val="18"/>
          <w:szCs w:val="18"/>
        </w:rPr>
      </w:pPr>
      <w:r w:rsidRPr="00F71DC5">
        <w:rPr>
          <w:rFonts w:ascii="Verdana" w:hAnsi="Verdana"/>
          <w:sz w:val="18"/>
          <w:szCs w:val="18"/>
        </w:rPr>
        <w:t>De aanvullende eisen in sub d, e en f bevatten</w:t>
      </w:r>
      <w:r w:rsidRPr="00F71DC5" w:rsidR="009E77A9">
        <w:rPr>
          <w:rFonts w:ascii="Verdana" w:hAnsi="Verdana"/>
          <w:sz w:val="18"/>
          <w:szCs w:val="18"/>
        </w:rPr>
        <w:t xml:space="preserve"> aanvullende waarborgen ten opzichte van de algemene verplichting van sub b. Dat is </w:t>
      </w:r>
      <w:r w:rsidR="007A7A15">
        <w:rPr>
          <w:rFonts w:ascii="Verdana" w:hAnsi="Verdana"/>
          <w:sz w:val="18"/>
          <w:szCs w:val="18"/>
        </w:rPr>
        <w:t xml:space="preserve">onder andere </w:t>
      </w:r>
      <w:r w:rsidRPr="00F71DC5" w:rsidR="009E77A9">
        <w:rPr>
          <w:rFonts w:ascii="Verdana" w:hAnsi="Verdana"/>
          <w:sz w:val="18"/>
          <w:szCs w:val="18"/>
        </w:rPr>
        <w:t xml:space="preserve">van belang als een lidstaat voor een bepaald rubriceringsniveau geen equivalent heeft en informatie beveiligt op een andere wijze dan door middel van een rubriceringsniveau. De eisen uit artikel 2 garanderen in dat geval een minimumniveau aan maatregelen die de lidstaat in acht moet nemen. </w:t>
      </w:r>
    </w:p>
    <w:p w:rsidRPr="00647485" w:rsidR="009E77A9" w:rsidP="003B7EFC" w:rsidRDefault="00A9747C" w14:paraId="435D64A2" w14:textId="4FA7FA67">
      <w:pPr>
        <w:pStyle w:val="ListParagraph"/>
        <w:numPr>
          <w:ilvl w:val="2"/>
          <w:numId w:val="13"/>
        </w:numPr>
        <w:jc w:val="both"/>
        <w:rPr>
          <w:rFonts w:ascii="Verdana" w:hAnsi="Verdana"/>
          <w:bCs/>
          <w:sz w:val="18"/>
          <w:szCs w:val="18"/>
        </w:rPr>
      </w:pPr>
      <w:r w:rsidRPr="00647485">
        <w:rPr>
          <w:rFonts w:ascii="Verdana" w:hAnsi="Verdana"/>
          <w:bCs/>
          <w:sz w:val="18"/>
          <w:szCs w:val="18"/>
        </w:rPr>
        <w:t>B</w:t>
      </w:r>
      <w:r w:rsidRPr="00647485" w:rsidR="009E77A9">
        <w:rPr>
          <w:rFonts w:ascii="Verdana" w:hAnsi="Verdana"/>
          <w:bCs/>
          <w:sz w:val="18"/>
          <w:szCs w:val="18"/>
        </w:rPr>
        <w:t xml:space="preserve">eveiligingseisen </w:t>
      </w:r>
      <w:r w:rsidR="007A7A15">
        <w:rPr>
          <w:rFonts w:ascii="Verdana" w:hAnsi="Verdana"/>
          <w:bCs/>
          <w:sz w:val="18"/>
          <w:szCs w:val="18"/>
        </w:rPr>
        <w:t>OCCAR</w:t>
      </w:r>
    </w:p>
    <w:p w:rsidRPr="00F71DC5" w:rsidR="009E77A9" w:rsidP="003B7EFC" w:rsidRDefault="009E77A9" w14:paraId="70EA6853" w14:textId="4CB686E9">
      <w:pPr>
        <w:jc w:val="both"/>
        <w:rPr>
          <w:rFonts w:ascii="Verdana" w:hAnsi="Verdana"/>
          <w:sz w:val="18"/>
          <w:szCs w:val="18"/>
        </w:rPr>
      </w:pPr>
      <w:r w:rsidRPr="00F71DC5">
        <w:rPr>
          <w:rFonts w:ascii="Verdana" w:hAnsi="Verdana"/>
          <w:sz w:val="18"/>
          <w:szCs w:val="18"/>
        </w:rPr>
        <w:t>In artikel 3 staan de drie verschillende niveaus van rubricering die OCCAR zelf hanteert en welk criterium wordt gebruikt om te bepalen op welk niveau de informatie moet worden gerubriceerd. De niveaus zijn: OCCAR RESTRICTED, OCCAR CONFIDENTIAL en OCCAR SECRET. Afhankelijk van de schade die de informatie kan aanrichten</w:t>
      </w:r>
      <w:r w:rsidR="00E730F3">
        <w:rPr>
          <w:rFonts w:ascii="Verdana" w:hAnsi="Verdana"/>
          <w:sz w:val="18"/>
          <w:szCs w:val="18"/>
        </w:rPr>
        <w:t xml:space="preserve"> als deze</w:t>
      </w:r>
      <w:r w:rsidRPr="00F71DC5">
        <w:rPr>
          <w:rFonts w:ascii="Verdana" w:hAnsi="Verdana"/>
          <w:sz w:val="18"/>
          <w:szCs w:val="18"/>
        </w:rPr>
        <w:t xml:space="preserve"> in verkeerde handen</w:t>
      </w:r>
      <w:r w:rsidR="00E730F3">
        <w:rPr>
          <w:rFonts w:ascii="Verdana" w:hAnsi="Verdana"/>
          <w:sz w:val="18"/>
          <w:szCs w:val="18"/>
        </w:rPr>
        <w:t xml:space="preserve"> komt,</w:t>
      </w:r>
      <w:r w:rsidRPr="00F71DC5">
        <w:rPr>
          <w:rFonts w:ascii="Verdana" w:hAnsi="Verdana"/>
          <w:sz w:val="18"/>
          <w:szCs w:val="18"/>
        </w:rPr>
        <w:t xml:space="preserve"> moet een hoger of lager rubriceringsniveau worden gekozen. De Nederlandse rubriceringen worden op basis van vergelijkbare criteria vastgesteld op grond van artikel 4 van het Besluit Voorschrift Informatiebeveiliging Rijksdienst Bijzondere Informatie </w:t>
      </w:r>
      <w:r w:rsidRPr="00F71DC5" w:rsidR="00D4705B">
        <w:rPr>
          <w:rFonts w:ascii="Verdana" w:hAnsi="Verdana"/>
          <w:sz w:val="18"/>
          <w:szCs w:val="18"/>
        </w:rPr>
        <w:t>20</w:t>
      </w:r>
      <w:r w:rsidR="00D4705B">
        <w:rPr>
          <w:rFonts w:ascii="Verdana" w:hAnsi="Verdana"/>
          <w:sz w:val="18"/>
          <w:szCs w:val="18"/>
        </w:rPr>
        <w:t>25</w:t>
      </w:r>
      <w:r w:rsidRPr="00F71DC5" w:rsidR="00D4705B">
        <w:rPr>
          <w:rFonts w:ascii="Verdana" w:hAnsi="Verdana"/>
          <w:sz w:val="18"/>
          <w:szCs w:val="18"/>
        </w:rPr>
        <w:t xml:space="preserve"> </w:t>
      </w:r>
      <w:r w:rsidRPr="00F71DC5">
        <w:rPr>
          <w:rFonts w:ascii="Verdana" w:hAnsi="Verdana"/>
          <w:sz w:val="18"/>
          <w:szCs w:val="18"/>
        </w:rPr>
        <w:t xml:space="preserve">(VIRBI </w:t>
      </w:r>
      <w:r w:rsidRPr="00F71DC5" w:rsidR="00D4705B">
        <w:rPr>
          <w:rFonts w:ascii="Verdana" w:hAnsi="Verdana"/>
          <w:sz w:val="18"/>
          <w:szCs w:val="18"/>
        </w:rPr>
        <w:t>20</w:t>
      </w:r>
      <w:r w:rsidR="00D4705B">
        <w:rPr>
          <w:rFonts w:ascii="Verdana" w:hAnsi="Verdana"/>
          <w:sz w:val="18"/>
          <w:szCs w:val="18"/>
        </w:rPr>
        <w:t>25</w:t>
      </w:r>
      <w:r w:rsidRPr="00F71DC5">
        <w:rPr>
          <w:rFonts w:ascii="Verdana" w:hAnsi="Verdana"/>
          <w:sz w:val="18"/>
          <w:szCs w:val="18"/>
        </w:rPr>
        <w:t xml:space="preserve">). </w:t>
      </w:r>
    </w:p>
    <w:p w:rsidRPr="00647485" w:rsidR="009E77A9" w:rsidP="003B7EFC" w:rsidRDefault="00647485" w14:paraId="6BB1314F" w14:textId="7402E199">
      <w:pPr>
        <w:pStyle w:val="ListParagraph"/>
        <w:numPr>
          <w:ilvl w:val="2"/>
          <w:numId w:val="13"/>
        </w:numPr>
        <w:jc w:val="both"/>
        <w:rPr>
          <w:rFonts w:ascii="Verdana" w:hAnsi="Verdana"/>
          <w:bCs/>
          <w:sz w:val="18"/>
          <w:szCs w:val="18"/>
        </w:rPr>
      </w:pPr>
      <w:r w:rsidRPr="00647485">
        <w:rPr>
          <w:rFonts w:ascii="Verdana" w:hAnsi="Verdana"/>
          <w:bCs/>
          <w:sz w:val="18"/>
          <w:szCs w:val="18"/>
        </w:rPr>
        <w:t>E</w:t>
      </w:r>
      <w:r w:rsidRPr="00647485" w:rsidR="009E77A9">
        <w:rPr>
          <w:rFonts w:ascii="Verdana" w:hAnsi="Verdana"/>
          <w:bCs/>
          <w:sz w:val="18"/>
          <w:szCs w:val="18"/>
        </w:rPr>
        <w:t>quivalente rubriceringsniveaus</w:t>
      </w:r>
      <w:r w:rsidR="007A7A15">
        <w:rPr>
          <w:rFonts w:ascii="Verdana" w:hAnsi="Verdana"/>
          <w:bCs/>
          <w:sz w:val="18"/>
          <w:szCs w:val="18"/>
        </w:rPr>
        <w:t xml:space="preserve"> lidstaten</w:t>
      </w:r>
    </w:p>
    <w:p w:rsidRPr="00F71DC5" w:rsidR="009E77A9" w:rsidP="003B7EFC" w:rsidRDefault="009E77A9" w14:paraId="07BD98F7" w14:textId="31A4159A">
      <w:pPr>
        <w:jc w:val="both"/>
        <w:rPr>
          <w:rFonts w:ascii="Verdana" w:hAnsi="Verdana"/>
          <w:sz w:val="18"/>
          <w:szCs w:val="18"/>
        </w:rPr>
      </w:pPr>
      <w:r w:rsidRPr="00F71DC5">
        <w:rPr>
          <w:rFonts w:ascii="Verdana" w:hAnsi="Verdana"/>
          <w:sz w:val="18"/>
          <w:szCs w:val="18"/>
        </w:rPr>
        <w:t>In artikel 4</w:t>
      </w:r>
      <w:r w:rsidR="00183739">
        <w:rPr>
          <w:rFonts w:ascii="Verdana" w:hAnsi="Verdana"/>
          <w:sz w:val="18"/>
          <w:szCs w:val="18"/>
        </w:rPr>
        <w:t>, eerste lid,</w:t>
      </w:r>
      <w:r w:rsidRPr="00F71DC5">
        <w:rPr>
          <w:rFonts w:ascii="Verdana" w:hAnsi="Verdana"/>
          <w:sz w:val="18"/>
          <w:szCs w:val="18"/>
        </w:rPr>
        <w:t xml:space="preserve"> </w:t>
      </w:r>
      <w:r w:rsidR="00F013B1">
        <w:rPr>
          <w:rFonts w:ascii="Verdana" w:hAnsi="Verdana"/>
          <w:sz w:val="18"/>
          <w:szCs w:val="18"/>
        </w:rPr>
        <w:t xml:space="preserve">is </w:t>
      </w:r>
      <w:r w:rsidRPr="00F71DC5">
        <w:rPr>
          <w:rFonts w:ascii="Verdana" w:hAnsi="Verdana"/>
          <w:sz w:val="18"/>
          <w:szCs w:val="18"/>
        </w:rPr>
        <w:t xml:space="preserve">een </w:t>
      </w:r>
      <w:r w:rsidR="009728D6">
        <w:rPr>
          <w:rFonts w:ascii="Verdana" w:hAnsi="Verdana"/>
          <w:sz w:val="18"/>
          <w:szCs w:val="18"/>
        </w:rPr>
        <w:t>equivalentie</w:t>
      </w:r>
      <w:r w:rsidRPr="00F71DC5">
        <w:rPr>
          <w:rFonts w:ascii="Verdana" w:hAnsi="Verdana"/>
          <w:sz w:val="18"/>
          <w:szCs w:val="18"/>
        </w:rPr>
        <w:t>tabel opgenomen van de door OCCAR gebruikte rubriceringsniveaus en de rubriceringsniveaus die de lidstaten op nationaal niveau hanteren. De tabel geeft weer welk niveau van nationale rubricering wordt gezien als gelijkwaardig aan dat van de OCCAR-rubriceringen. Niet alle lidstaten hebben, zoals hiervoor al genoemd, een equivalent voor de door OCCAR</w:t>
      </w:r>
      <w:r w:rsidR="0055762A">
        <w:rPr>
          <w:rFonts w:ascii="Verdana" w:hAnsi="Verdana"/>
          <w:sz w:val="18"/>
          <w:szCs w:val="18"/>
        </w:rPr>
        <w:t xml:space="preserve"> </w:t>
      </w:r>
      <w:r w:rsidRPr="00F71DC5">
        <w:rPr>
          <w:rFonts w:ascii="Verdana" w:hAnsi="Verdana"/>
          <w:sz w:val="18"/>
          <w:szCs w:val="18"/>
        </w:rPr>
        <w:t xml:space="preserve">gehanteerde niveaus. In dat geval wordt in de tabel verwezen naar een onderliggend lid van het artikel, waarin bijzondere regels zijn beschreven voor die situaties. </w:t>
      </w:r>
    </w:p>
    <w:p w:rsidR="00EB1505" w:rsidP="003B7EFC" w:rsidRDefault="00EB1505" w14:paraId="43F173E4" w14:textId="7A02A58D">
      <w:pPr>
        <w:jc w:val="both"/>
        <w:rPr>
          <w:rFonts w:ascii="Verdana" w:hAnsi="Verdana"/>
          <w:sz w:val="18"/>
          <w:szCs w:val="18"/>
        </w:rPr>
      </w:pPr>
      <w:r>
        <w:rPr>
          <w:rFonts w:ascii="Verdana" w:hAnsi="Verdana"/>
          <w:sz w:val="18"/>
          <w:szCs w:val="18"/>
        </w:rPr>
        <w:t>Ingevolge artikel 4</w:t>
      </w:r>
      <w:r w:rsidR="00183739">
        <w:rPr>
          <w:rFonts w:ascii="Verdana" w:hAnsi="Verdana"/>
          <w:sz w:val="18"/>
          <w:szCs w:val="18"/>
        </w:rPr>
        <w:t>, derde lid,</w:t>
      </w:r>
      <w:r>
        <w:rPr>
          <w:rFonts w:ascii="Verdana" w:hAnsi="Verdana"/>
          <w:sz w:val="18"/>
          <w:szCs w:val="18"/>
        </w:rPr>
        <w:t xml:space="preserve"> is de equivalentietabel van Nederland </w:t>
      </w:r>
      <w:r w:rsidR="00D95782">
        <w:rPr>
          <w:rFonts w:ascii="Verdana" w:hAnsi="Verdana"/>
          <w:sz w:val="18"/>
          <w:szCs w:val="18"/>
        </w:rPr>
        <w:t xml:space="preserve">als volgt </w:t>
      </w:r>
      <w:r>
        <w:rPr>
          <w:rFonts w:ascii="Verdana" w:hAnsi="Verdana"/>
          <w:sz w:val="18"/>
          <w:szCs w:val="18"/>
        </w:rPr>
        <w:t xml:space="preserve">vastgesteld in de uitnodiging die is gedaan in overeenstemming met artikel 53 van </w:t>
      </w:r>
      <w:r w:rsidR="00326793">
        <w:rPr>
          <w:rFonts w:ascii="Verdana" w:hAnsi="Verdana"/>
          <w:sz w:val="18"/>
          <w:szCs w:val="18"/>
        </w:rPr>
        <w:t>het OCCAR-Verdrag</w:t>
      </w:r>
      <w:r w:rsidR="00D95782">
        <w:rPr>
          <w:rFonts w:ascii="Verdana" w:hAnsi="Verdana"/>
          <w:sz w:val="18"/>
          <w:szCs w:val="18"/>
        </w:rPr>
        <w:t>:</w:t>
      </w:r>
    </w:p>
    <w:tbl>
      <w:tblPr>
        <w:tblpPr w:leftFromText="141" w:rightFromText="141" w:bottomFromText="160" w:vertAnchor="text" w:horzAnchor="margin" w:tblpY="-2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0"/>
        <w:gridCol w:w="1181"/>
        <w:gridCol w:w="1874"/>
        <w:gridCol w:w="2110"/>
      </w:tblGrid>
      <w:tr w:rsidR="009728D6" w:rsidTr="009728D6" w14:paraId="09A2F3B0" w14:textId="77777777">
        <w:trPr>
          <w:trHeight w:val="750"/>
        </w:trPr>
        <w:tc>
          <w:tcPr>
            <w:tcW w:w="1450" w:type="dxa"/>
            <w:tcBorders>
              <w:top w:val="single" w:color="auto" w:sz="4" w:space="0"/>
              <w:left w:val="single" w:color="auto" w:sz="4" w:space="0"/>
              <w:bottom w:val="single" w:color="auto" w:sz="4" w:space="0"/>
              <w:right w:val="single" w:color="auto" w:sz="4" w:space="0"/>
            </w:tcBorders>
            <w:hideMark/>
          </w:tcPr>
          <w:p w:rsidRPr="009728D6" w:rsidR="009728D6" w:rsidP="009728D6" w:rsidRDefault="009728D6" w14:paraId="3EA7C713" w14:textId="77777777">
            <w:pPr>
              <w:spacing w:before="240" w:after="0"/>
              <w:jc w:val="center"/>
              <w:rPr>
                <w:rFonts w:ascii="Verdana" w:hAnsi="Verdana" w:eastAsia="Calibri" w:cstheme="majorBidi"/>
                <w:b/>
                <w:i/>
                <w:sz w:val="18"/>
                <w:szCs w:val="18"/>
                <w:lang w:val="en-GB"/>
              </w:rPr>
            </w:pPr>
            <w:r w:rsidRPr="009728D6">
              <w:rPr>
                <w:rFonts w:ascii="Verdana" w:hAnsi="Verdana" w:eastAsia="Calibri" w:cstheme="majorBidi"/>
                <w:b/>
                <w:i/>
                <w:sz w:val="18"/>
                <w:szCs w:val="18"/>
                <w:lang w:val="en-GB"/>
              </w:rPr>
              <w:t>OCCAR</w:t>
            </w:r>
          </w:p>
        </w:tc>
        <w:tc>
          <w:tcPr>
            <w:tcW w:w="1181" w:type="dxa"/>
            <w:tcBorders>
              <w:top w:val="single" w:color="auto" w:sz="4" w:space="0"/>
              <w:left w:val="single" w:color="auto" w:sz="4" w:space="0"/>
              <w:bottom w:val="single" w:color="auto" w:sz="4" w:space="0"/>
              <w:right w:val="single" w:color="auto" w:sz="4" w:space="0"/>
            </w:tcBorders>
            <w:hideMark/>
          </w:tcPr>
          <w:p w:rsidRPr="009728D6" w:rsidR="009728D6" w:rsidP="009728D6" w:rsidRDefault="009728D6" w14:paraId="458CE756" w14:textId="77777777">
            <w:pPr>
              <w:spacing w:before="240" w:after="0"/>
              <w:jc w:val="center"/>
              <w:rPr>
                <w:rFonts w:ascii="Verdana" w:hAnsi="Verdana" w:eastAsia="Calibri" w:cstheme="majorBidi"/>
                <w:b/>
                <w:i/>
                <w:sz w:val="18"/>
                <w:szCs w:val="18"/>
                <w:lang w:val="fr-FR"/>
              </w:rPr>
            </w:pPr>
            <w:r w:rsidRPr="009728D6">
              <w:rPr>
                <w:rFonts w:ascii="Verdana" w:hAnsi="Verdana" w:eastAsia="Calibri" w:cstheme="majorBidi"/>
                <w:b/>
                <w:i/>
                <w:sz w:val="18"/>
                <w:szCs w:val="18"/>
              </w:rPr>
              <w:t>OCCAR SECRET</w:t>
            </w:r>
          </w:p>
        </w:tc>
        <w:tc>
          <w:tcPr>
            <w:tcW w:w="1874" w:type="dxa"/>
            <w:tcBorders>
              <w:top w:val="single" w:color="auto" w:sz="4" w:space="0"/>
              <w:left w:val="single" w:color="auto" w:sz="4" w:space="0"/>
              <w:bottom w:val="single" w:color="auto" w:sz="4" w:space="0"/>
              <w:right w:val="single" w:color="auto" w:sz="4" w:space="0"/>
            </w:tcBorders>
            <w:hideMark/>
          </w:tcPr>
          <w:p w:rsidRPr="009728D6" w:rsidR="009728D6" w:rsidP="009728D6" w:rsidRDefault="009728D6" w14:paraId="4993BA5D" w14:textId="77777777">
            <w:pPr>
              <w:spacing w:before="240" w:after="0"/>
              <w:jc w:val="center"/>
              <w:rPr>
                <w:rFonts w:ascii="Verdana" w:hAnsi="Verdana" w:eastAsia="Calibri" w:cstheme="majorBidi"/>
                <w:b/>
                <w:i/>
                <w:sz w:val="18"/>
                <w:szCs w:val="18"/>
              </w:rPr>
            </w:pPr>
            <w:r w:rsidRPr="009728D6">
              <w:rPr>
                <w:rFonts w:ascii="Verdana" w:hAnsi="Verdana" w:eastAsia="Calibri" w:cstheme="majorBidi"/>
                <w:b/>
                <w:i/>
                <w:sz w:val="18"/>
                <w:szCs w:val="18"/>
              </w:rPr>
              <w:t>OCCAR CONFIDENTIAL</w:t>
            </w:r>
          </w:p>
        </w:tc>
        <w:tc>
          <w:tcPr>
            <w:tcW w:w="2110" w:type="dxa"/>
            <w:tcBorders>
              <w:top w:val="single" w:color="auto" w:sz="4" w:space="0"/>
              <w:left w:val="single" w:color="auto" w:sz="4" w:space="0"/>
              <w:bottom w:val="single" w:color="auto" w:sz="4" w:space="0"/>
              <w:right w:val="single" w:color="auto" w:sz="4" w:space="0"/>
            </w:tcBorders>
            <w:hideMark/>
          </w:tcPr>
          <w:p w:rsidRPr="009728D6" w:rsidR="009728D6" w:rsidP="009728D6" w:rsidRDefault="009728D6" w14:paraId="43615FBF" w14:textId="77777777">
            <w:pPr>
              <w:spacing w:before="240" w:after="0"/>
              <w:jc w:val="center"/>
              <w:rPr>
                <w:rFonts w:ascii="Verdana" w:hAnsi="Verdana" w:eastAsia="Calibri" w:cstheme="majorBidi"/>
                <w:b/>
                <w:i/>
                <w:sz w:val="18"/>
                <w:szCs w:val="18"/>
              </w:rPr>
            </w:pPr>
            <w:r w:rsidRPr="009728D6">
              <w:rPr>
                <w:rFonts w:ascii="Verdana" w:hAnsi="Verdana" w:eastAsia="Calibri" w:cstheme="majorBidi"/>
                <w:b/>
                <w:i/>
                <w:sz w:val="18"/>
                <w:szCs w:val="18"/>
              </w:rPr>
              <w:t>OCCAR RESTRICTED</w:t>
            </w:r>
          </w:p>
        </w:tc>
      </w:tr>
      <w:tr w:rsidR="009728D6" w:rsidTr="009728D6" w14:paraId="6662032E" w14:textId="77777777">
        <w:trPr>
          <w:trHeight w:val="750"/>
        </w:trPr>
        <w:tc>
          <w:tcPr>
            <w:tcW w:w="1450" w:type="dxa"/>
            <w:tcBorders>
              <w:top w:val="single" w:color="auto" w:sz="4" w:space="0"/>
              <w:left w:val="single" w:color="auto" w:sz="4" w:space="0"/>
              <w:bottom w:val="single" w:color="auto" w:sz="4" w:space="0"/>
              <w:right w:val="single" w:color="auto" w:sz="4" w:space="0"/>
            </w:tcBorders>
            <w:hideMark/>
          </w:tcPr>
          <w:p w:rsidRPr="009728D6" w:rsidR="009728D6" w:rsidP="009728D6" w:rsidRDefault="009728D6" w14:paraId="4B6B5D7C" w14:textId="77777777">
            <w:pPr>
              <w:spacing w:before="240" w:after="0"/>
              <w:jc w:val="center"/>
              <w:rPr>
                <w:rFonts w:ascii="Verdana" w:hAnsi="Verdana" w:eastAsia="Calibri" w:cstheme="majorBidi"/>
                <w:b/>
                <w:i/>
                <w:sz w:val="18"/>
                <w:szCs w:val="18"/>
                <w:lang w:val="en-GB"/>
              </w:rPr>
            </w:pPr>
            <w:r w:rsidRPr="009728D6">
              <w:rPr>
                <w:rFonts w:ascii="Verdana" w:hAnsi="Verdana" w:eastAsia="Calibri" w:cstheme="majorBidi"/>
                <w:b/>
                <w:i/>
                <w:sz w:val="18"/>
                <w:szCs w:val="18"/>
                <w:lang w:val="en-GB"/>
              </w:rPr>
              <w:t>Kingdom of the Netherlands</w:t>
            </w:r>
          </w:p>
        </w:tc>
        <w:tc>
          <w:tcPr>
            <w:tcW w:w="1181" w:type="dxa"/>
            <w:tcBorders>
              <w:top w:val="single" w:color="auto" w:sz="4" w:space="0"/>
              <w:left w:val="single" w:color="auto" w:sz="4" w:space="0"/>
              <w:bottom w:val="single" w:color="auto" w:sz="4" w:space="0"/>
              <w:right w:val="single" w:color="auto" w:sz="4" w:space="0"/>
            </w:tcBorders>
            <w:hideMark/>
          </w:tcPr>
          <w:p w:rsidRPr="009728D6" w:rsidR="009728D6" w:rsidP="009728D6" w:rsidRDefault="009728D6" w14:paraId="70EE40E0" w14:textId="77777777">
            <w:pPr>
              <w:spacing w:before="240" w:after="0"/>
              <w:jc w:val="center"/>
              <w:rPr>
                <w:rFonts w:ascii="Verdana" w:hAnsi="Verdana" w:eastAsia="Calibri" w:cstheme="majorBidi"/>
                <w:b/>
                <w:i/>
                <w:sz w:val="18"/>
                <w:szCs w:val="18"/>
                <w:lang w:val="fr-FR"/>
              </w:rPr>
            </w:pPr>
            <w:proofErr w:type="spellStart"/>
            <w:r w:rsidRPr="009728D6">
              <w:rPr>
                <w:rFonts w:ascii="Verdana" w:hAnsi="Verdana" w:eastAsia="Calibri" w:cstheme="majorBidi"/>
                <w:b/>
                <w:i/>
                <w:sz w:val="18"/>
                <w:szCs w:val="18"/>
              </w:rPr>
              <w:t>Stg</w:t>
            </w:r>
            <w:proofErr w:type="spellEnd"/>
            <w:r w:rsidRPr="009728D6">
              <w:rPr>
                <w:rFonts w:ascii="Verdana" w:hAnsi="Verdana" w:eastAsia="Calibri" w:cstheme="majorBidi"/>
                <w:b/>
                <w:i/>
                <w:sz w:val="18"/>
                <w:szCs w:val="18"/>
              </w:rPr>
              <w:t>. GEHEIM</w:t>
            </w:r>
          </w:p>
        </w:tc>
        <w:tc>
          <w:tcPr>
            <w:tcW w:w="1874" w:type="dxa"/>
            <w:tcBorders>
              <w:top w:val="single" w:color="auto" w:sz="4" w:space="0"/>
              <w:left w:val="single" w:color="auto" w:sz="4" w:space="0"/>
              <w:bottom w:val="single" w:color="auto" w:sz="4" w:space="0"/>
              <w:right w:val="single" w:color="auto" w:sz="4" w:space="0"/>
            </w:tcBorders>
            <w:hideMark/>
          </w:tcPr>
          <w:p w:rsidRPr="009728D6" w:rsidR="009728D6" w:rsidP="009728D6" w:rsidRDefault="009728D6" w14:paraId="7F3BC19D" w14:textId="77777777">
            <w:pPr>
              <w:spacing w:before="240" w:after="0"/>
              <w:jc w:val="center"/>
              <w:rPr>
                <w:rFonts w:ascii="Verdana" w:hAnsi="Verdana" w:eastAsia="Calibri" w:cstheme="majorBidi"/>
                <w:b/>
                <w:i/>
                <w:sz w:val="18"/>
                <w:szCs w:val="18"/>
              </w:rPr>
            </w:pPr>
            <w:proofErr w:type="spellStart"/>
            <w:r w:rsidRPr="009728D6">
              <w:rPr>
                <w:rFonts w:ascii="Verdana" w:hAnsi="Verdana" w:eastAsia="Calibri" w:cstheme="majorBidi"/>
                <w:b/>
                <w:i/>
                <w:sz w:val="18"/>
                <w:szCs w:val="18"/>
              </w:rPr>
              <w:t>Stg</w:t>
            </w:r>
            <w:proofErr w:type="spellEnd"/>
            <w:r w:rsidRPr="009728D6">
              <w:rPr>
                <w:rFonts w:ascii="Verdana" w:hAnsi="Verdana" w:eastAsia="Calibri" w:cstheme="majorBidi"/>
                <w:b/>
                <w:i/>
                <w:sz w:val="18"/>
                <w:szCs w:val="18"/>
              </w:rPr>
              <w:t>. CONFIDENTIEEL</w:t>
            </w:r>
          </w:p>
        </w:tc>
        <w:tc>
          <w:tcPr>
            <w:tcW w:w="2110" w:type="dxa"/>
            <w:tcBorders>
              <w:top w:val="single" w:color="auto" w:sz="4" w:space="0"/>
              <w:left w:val="single" w:color="auto" w:sz="4" w:space="0"/>
              <w:bottom w:val="single" w:color="auto" w:sz="4" w:space="0"/>
              <w:right w:val="single" w:color="auto" w:sz="4" w:space="0"/>
            </w:tcBorders>
            <w:hideMark/>
          </w:tcPr>
          <w:p w:rsidRPr="009728D6" w:rsidR="009728D6" w:rsidP="009728D6" w:rsidRDefault="009728D6" w14:paraId="327FA823" w14:textId="77777777">
            <w:pPr>
              <w:spacing w:before="240" w:after="0"/>
              <w:jc w:val="center"/>
              <w:rPr>
                <w:rFonts w:ascii="Verdana" w:hAnsi="Verdana" w:eastAsia="Calibri" w:cstheme="majorBidi"/>
                <w:b/>
                <w:i/>
                <w:sz w:val="18"/>
                <w:szCs w:val="18"/>
              </w:rPr>
            </w:pPr>
            <w:r w:rsidRPr="009728D6">
              <w:rPr>
                <w:rFonts w:ascii="Verdana" w:hAnsi="Verdana" w:eastAsia="Calibri" w:cstheme="majorBidi"/>
                <w:b/>
                <w:i/>
                <w:sz w:val="18"/>
                <w:szCs w:val="18"/>
              </w:rPr>
              <w:t>DEPARTEMENTAAL VERTROUWELIJK</w:t>
            </w:r>
          </w:p>
        </w:tc>
      </w:tr>
    </w:tbl>
    <w:p w:rsidR="009728D6" w:rsidP="003B7EFC" w:rsidRDefault="009728D6" w14:paraId="762F9017" w14:textId="77777777">
      <w:pPr>
        <w:jc w:val="both"/>
        <w:rPr>
          <w:rFonts w:ascii="Verdana" w:hAnsi="Verdana"/>
          <w:sz w:val="18"/>
          <w:szCs w:val="18"/>
        </w:rPr>
      </w:pPr>
    </w:p>
    <w:p w:rsidR="009728D6" w:rsidP="003B7EFC" w:rsidRDefault="009728D6" w14:paraId="1FD5234E" w14:textId="77777777">
      <w:pPr>
        <w:jc w:val="both"/>
        <w:rPr>
          <w:rFonts w:ascii="Verdana" w:hAnsi="Verdana"/>
          <w:sz w:val="18"/>
          <w:szCs w:val="18"/>
        </w:rPr>
      </w:pPr>
    </w:p>
    <w:p w:rsidR="009728D6" w:rsidP="003B7EFC" w:rsidRDefault="009728D6" w14:paraId="4645C3DA" w14:textId="77777777">
      <w:pPr>
        <w:jc w:val="both"/>
        <w:rPr>
          <w:rFonts w:ascii="Verdana" w:hAnsi="Verdana"/>
          <w:sz w:val="18"/>
          <w:szCs w:val="18"/>
        </w:rPr>
      </w:pPr>
    </w:p>
    <w:p w:rsidR="009728D6" w:rsidP="003B7EFC" w:rsidRDefault="009728D6" w14:paraId="5084235F" w14:textId="77777777">
      <w:pPr>
        <w:jc w:val="both"/>
        <w:rPr>
          <w:rFonts w:ascii="Verdana" w:hAnsi="Verdana"/>
          <w:sz w:val="18"/>
          <w:szCs w:val="18"/>
        </w:rPr>
      </w:pPr>
    </w:p>
    <w:p w:rsidR="009728D6" w:rsidP="003B7EFC" w:rsidRDefault="009728D6" w14:paraId="3C3F6993" w14:textId="77777777">
      <w:pPr>
        <w:jc w:val="both"/>
        <w:rPr>
          <w:rFonts w:ascii="Verdana" w:hAnsi="Verdana"/>
          <w:sz w:val="18"/>
          <w:szCs w:val="18"/>
        </w:rPr>
      </w:pPr>
    </w:p>
    <w:p w:rsidR="009E77A9" w:rsidP="007A7A15" w:rsidRDefault="009E77A9" w14:paraId="130A8B9F" w14:textId="4BBB48F8">
      <w:pPr>
        <w:jc w:val="both"/>
        <w:rPr>
          <w:rFonts w:ascii="Verdana" w:hAnsi="Verdana"/>
          <w:sz w:val="18"/>
          <w:szCs w:val="18"/>
        </w:rPr>
      </w:pPr>
      <w:r w:rsidRPr="00F71DC5">
        <w:rPr>
          <w:rFonts w:ascii="Verdana" w:hAnsi="Verdana"/>
          <w:sz w:val="18"/>
          <w:szCs w:val="18"/>
        </w:rPr>
        <w:t xml:space="preserve">OCCAR </w:t>
      </w:r>
      <w:r w:rsidR="00E966E1">
        <w:rPr>
          <w:rFonts w:ascii="Verdana" w:hAnsi="Verdana"/>
          <w:sz w:val="18"/>
          <w:szCs w:val="18"/>
        </w:rPr>
        <w:t xml:space="preserve">kent </w:t>
      </w:r>
      <w:r w:rsidRPr="00F71DC5">
        <w:rPr>
          <w:rFonts w:ascii="Verdana" w:hAnsi="Verdana"/>
          <w:sz w:val="18"/>
          <w:szCs w:val="18"/>
        </w:rPr>
        <w:t xml:space="preserve">geen equivalent beveiligingsniveau voor de Nederlandse rubricering </w:t>
      </w:r>
      <w:proofErr w:type="spellStart"/>
      <w:r w:rsidRPr="00F71DC5">
        <w:rPr>
          <w:rFonts w:ascii="Verdana" w:hAnsi="Verdana"/>
          <w:sz w:val="18"/>
          <w:szCs w:val="18"/>
        </w:rPr>
        <w:t>Stg</w:t>
      </w:r>
      <w:proofErr w:type="spellEnd"/>
      <w:r w:rsidRPr="00F71DC5">
        <w:rPr>
          <w:rFonts w:ascii="Verdana" w:hAnsi="Verdana"/>
          <w:sz w:val="18"/>
          <w:szCs w:val="18"/>
        </w:rPr>
        <w:t xml:space="preserve">. ZEER GEHEIM. Informatie met die Nederlandse rubricering mag dan ook niet met OCCAR of in het kader van OCCAR-projecten worden gedeeld. </w:t>
      </w:r>
    </w:p>
    <w:p w:rsidRPr="003B7EFC" w:rsidR="009E77A9" w:rsidP="003B7EFC" w:rsidRDefault="004163DC" w14:paraId="169B04E4" w14:textId="007BF8DA">
      <w:pPr>
        <w:pStyle w:val="ListParagraph"/>
        <w:numPr>
          <w:ilvl w:val="2"/>
          <w:numId w:val="13"/>
        </w:numPr>
        <w:jc w:val="both"/>
        <w:rPr>
          <w:rFonts w:ascii="Verdana" w:hAnsi="Verdana"/>
          <w:bCs/>
          <w:sz w:val="18"/>
          <w:szCs w:val="18"/>
        </w:rPr>
      </w:pPr>
      <w:r w:rsidRPr="003B7EFC">
        <w:rPr>
          <w:rFonts w:ascii="Verdana" w:hAnsi="Verdana"/>
          <w:bCs/>
          <w:sz w:val="18"/>
          <w:szCs w:val="18"/>
        </w:rPr>
        <w:lastRenderedPageBreak/>
        <w:t>P</w:t>
      </w:r>
      <w:r w:rsidRPr="003B7EFC" w:rsidR="009E77A9">
        <w:rPr>
          <w:rFonts w:ascii="Verdana" w:hAnsi="Verdana"/>
          <w:bCs/>
          <w:sz w:val="18"/>
          <w:szCs w:val="18"/>
        </w:rPr>
        <w:t xml:space="preserve">ersonele beveiligingseisen </w:t>
      </w:r>
    </w:p>
    <w:p w:rsidRPr="00F71DC5" w:rsidR="009E77A9" w:rsidP="003B7EFC" w:rsidRDefault="009E77A9" w14:paraId="54176629" w14:textId="351F5AC0">
      <w:pPr>
        <w:jc w:val="both"/>
        <w:rPr>
          <w:rFonts w:ascii="Verdana" w:hAnsi="Verdana"/>
          <w:sz w:val="18"/>
          <w:szCs w:val="18"/>
        </w:rPr>
      </w:pPr>
      <w:r w:rsidRPr="00F71DC5">
        <w:rPr>
          <w:rFonts w:ascii="Verdana" w:hAnsi="Verdana"/>
          <w:sz w:val="18"/>
          <w:szCs w:val="18"/>
        </w:rPr>
        <w:t>In aanvulling op artikel 2 is in artikel 5 opgenomen dat de lidstaten toegang tot informatie gerubriceerd op het niveau OCCAR SECRET of OCCAR CONFIDENTIAL dienen te beperken tot personen met een adequate veiligheidsmachtiging en een zogen</w:t>
      </w:r>
      <w:r w:rsidR="00935764">
        <w:rPr>
          <w:rFonts w:ascii="Verdana" w:hAnsi="Verdana"/>
          <w:sz w:val="18"/>
          <w:szCs w:val="18"/>
        </w:rPr>
        <w:t>oe</w:t>
      </w:r>
      <w:r w:rsidRPr="00F71DC5">
        <w:rPr>
          <w:rFonts w:ascii="Verdana" w:hAnsi="Verdana"/>
          <w:sz w:val="18"/>
          <w:szCs w:val="18"/>
        </w:rPr>
        <w:t xml:space="preserve">mde </w:t>
      </w:r>
      <w:proofErr w:type="spellStart"/>
      <w:r w:rsidRPr="00935764">
        <w:rPr>
          <w:rFonts w:ascii="Verdana" w:hAnsi="Verdana"/>
          <w:i/>
          <w:sz w:val="18"/>
          <w:szCs w:val="18"/>
        </w:rPr>
        <w:t>need-to-know</w:t>
      </w:r>
      <w:proofErr w:type="spellEnd"/>
      <w:r w:rsidRPr="00F71DC5">
        <w:rPr>
          <w:rFonts w:ascii="Verdana" w:hAnsi="Verdana"/>
          <w:sz w:val="18"/>
          <w:szCs w:val="18"/>
        </w:rPr>
        <w:t xml:space="preserve">. Dat laatste begrip wil zeggen dat informatie alleen </w:t>
      </w:r>
      <w:r w:rsidRPr="00F71DC5" w:rsidR="00D95782">
        <w:rPr>
          <w:rFonts w:ascii="Verdana" w:hAnsi="Verdana"/>
          <w:sz w:val="18"/>
          <w:szCs w:val="18"/>
        </w:rPr>
        <w:t xml:space="preserve">mag worden </w:t>
      </w:r>
      <w:r w:rsidRPr="00F71DC5">
        <w:rPr>
          <w:rFonts w:ascii="Verdana" w:hAnsi="Verdana"/>
          <w:sz w:val="18"/>
          <w:szCs w:val="18"/>
        </w:rPr>
        <w:t xml:space="preserve">gedeeld met personen </w:t>
      </w:r>
      <w:r w:rsidRPr="00F71DC5" w:rsidR="00077192">
        <w:rPr>
          <w:rFonts w:ascii="Verdana" w:hAnsi="Verdana"/>
          <w:sz w:val="18"/>
          <w:szCs w:val="18"/>
        </w:rPr>
        <w:t xml:space="preserve">voor wie het noodzakelijk is dat zij </w:t>
      </w:r>
      <w:r w:rsidRPr="00F71DC5">
        <w:rPr>
          <w:rFonts w:ascii="Verdana" w:hAnsi="Verdana"/>
          <w:sz w:val="18"/>
          <w:szCs w:val="18"/>
        </w:rPr>
        <w:t>op grond van hun werkzaamheden, bijvoorbeeld betrokkenheid bij een project</w:t>
      </w:r>
      <w:r w:rsidRPr="00F71DC5" w:rsidR="00077192">
        <w:rPr>
          <w:rFonts w:ascii="Verdana" w:hAnsi="Verdana"/>
          <w:sz w:val="18"/>
          <w:szCs w:val="18"/>
        </w:rPr>
        <w:t>, kennis nemen van de informatie</w:t>
      </w:r>
      <w:r w:rsidRPr="00F71DC5">
        <w:rPr>
          <w:rFonts w:ascii="Verdana" w:hAnsi="Verdana"/>
          <w:sz w:val="18"/>
          <w:szCs w:val="18"/>
        </w:rPr>
        <w:t xml:space="preserve">. </w:t>
      </w:r>
    </w:p>
    <w:p w:rsidRPr="00F71DC5" w:rsidR="009E77A9" w:rsidP="003B7EFC" w:rsidRDefault="009E77A9" w14:paraId="20B709BD" w14:textId="69E7B038">
      <w:pPr>
        <w:jc w:val="both"/>
        <w:rPr>
          <w:rFonts w:ascii="Verdana" w:hAnsi="Verdana"/>
          <w:sz w:val="18"/>
          <w:szCs w:val="18"/>
        </w:rPr>
      </w:pPr>
      <w:r w:rsidRPr="00F71DC5">
        <w:rPr>
          <w:rFonts w:ascii="Verdana" w:hAnsi="Verdana"/>
          <w:sz w:val="18"/>
          <w:szCs w:val="18"/>
        </w:rPr>
        <w:t xml:space="preserve">Het is gebruikelijk om in beveiligingsverdragen dit soort minimumeisen af te spreken. Het begrip </w:t>
      </w:r>
      <w:proofErr w:type="spellStart"/>
      <w:r w:rsidRPr="00935764">
        <w:rPr>
          <w:rFonts w:ascii="Verdana" w:hAnsi="Verdana"/>
          <w:i/>
          <w:sz w:val="18"/>
          <w:szCs w:val="18"/>
        </w:rPr>
        <w:t>need-to-know</w:t>
      </w:r>
      <w:proofErr w:type="spellEnd"/>
      <w:r w:rsidRPr="00F71DC5">
        <w:rPr>
          <w:rFonts w:ascii="Verdana" w:hAnsi="Verdana"/>
          <w:sz w:val="18"/>
          <w:szCs w:val="18"/>
        </w:rPr>
        <w:t xml:space="preserve"> is in het kader van internationale samenwerking een algemeen erkend</w:t>
      </w:r>
      <w:r w:rsidRPr="00F71DC5" w:rsidR="00077192">
        <w:rPr>
          <w:rFonts w:ascii="Verdana" w:hAnsi="Verdana"/>
          <w:sz w:val="18"/>
          <w:szCs w:val="18"/>
        </w:rPr>
        <w:t xml:space="preserve"> en gebruikt</w:t>
      </w:r>
      <w:r w:rsidRPr="00F71DC5">
        <w:rPr>
          <w:rFonts w:ascii="Verdana" w:hAnsi="Verdana"/>
          <w:sz w:val="18"/>
          <w:szCs w:val="18"/>
        </w:rPr>
        <w:t xml:space="preserve"> begrip.</w:t>
      </w:r>
      <w:r w:rsidR="0067054B">
        <w:rPr>
          <w:rFonts w:ascii="Verdana" w:hAnsi="Verdana"/>
          <w:sz w:val="18"/>
          <w:szCs w:val="18"/>
        </w:rPr>
        <w:t xml:space="preserve"> Nederland hanteert dit ook als minimumeis voor toegang tot gerubriceerde gegevens (art</w:t>
      </w:r>
      <w:r w:rsidR="00ED5ADD">
        <w:rPr>
          <w:rFonts w:ascii="Verdana" w:hAnsi="Verdana"/>
          <w:sz w:val="18"/>
          <w:szCs w:val="18"/>
        </w:rPr>
        <w:t>ikel</w:t>
      </w:r>
      <w:r w:rsidR="0067054B">
        <w:rPr>
          <w:rFonts w:ascii="Verdana" w:hAnsi="Verdana"/>
          <w:sz w:val="18"/>
          <w:szCs w:val="18"/>
        </w:rPr>
        <w:t xml:space="preserve"> 6 </w:t>
      </w:r>
      <w:r w:rsidR="008D121D">
        <w:rPr>
          <w:rFonts w:ascii="Verdana" w:hAnsi="Verdana"/>
          <w:sz w:val="18"/>
          <w:szCs w:val="18"/>
        </w:rPr>
        <w:t xml:space="preserve">eerste </w:t>
      </w:r>
      <w:r w:rsidR="0067054B">
        <w:rPr>
          <w:rFonts w:ascii="Verdana" w:hAnsi="Verdana"/>
          <w:sz w:val="18"/>
          <w:szCs w:val="18"/>
        </w:rPr>
        <w:t xml:space="preserve">lid </w:t>
      </w:r>
      <w:r w:rsidR="00D4705B">
        <w:rPr>
          <w:rFonts w:ascii="Verdana" w:hAnsi="Verdana"/>
          <w:sz w:val="18"/>
          <w:szCs w:val="18"/>
        </w:rPr>
        <w:t xml:space="preserve">sub a </w:t>
      </w:r>
      <w:r w:rsidR="0067054B">
        <w:rPr>
          <w:rFonts w:ascii="Verdana" w:hAnsi="Verdana"/>
          <w:sz w:val="18"/>
          <w:szCs w:val="18"/>
        </w:rPr>
        <w:t xml:space="preserve">VIRBI </w:t>
      </w:r>
      <w:r w:rsidR="00D4705B">
        <w:rPr>
          <w:rFonts w:ascii="Verdana" w:hAnsi="Verdana"/>
          <w:sz w:val="18"/>
          <w:szCs w:val="18"/>
        </w:rPr>
        <w:t>2025</w:t>
      </w:r>
      <w:r w:rsidR="0067054B">
        <w:rPr>
          <w:rFonts w:ascii="Verdana" w:hAnsi="Verdana"/>
          <w:sz w:val="18"/>
          <w:szCs w:val="18"/>
        </w:rPr>
        <w:t>)</w:t>
      </w:r>
      <w:r w:rsidR="00E24A59">
        <w:rPr>
          <w:rFonts w:ascii="Verdana" w:hAnsi="Verdana"/>
          <w:sz w:val="18"/>
          <w:szCs w:val="18"/>
        </w:rPr>
        <w:t>.</w:t>
      </w:r>
      <w:r w:rsidRPr="00F71DC5">
        <w:rPr>
          <w:rFonts w:ascii="Verdana" w:hAnsi="Verdana"/>
          <w:sz w:val="18"/>
          <w:szCs w:val="18"/>
        </w:rPr>
        <w:t xml:space="preserve"> </w:t>
      </w:r>
    </w:p>
    <w:p w:rsidRPr="00F71DC5" w:rsidR="009E77A9" w:rsidP="003B7EFC" w:rsidRDefault="009E77A9" w14:paraId="28FD5F25" w14:textId="78604269">
      <w:pPr>
        <w:jc w:val="both"/>
        <w:rPr>
          <w:rFonts w:ascii="Verdana" w:hAnsi="Verdana"/>
          <w:sz w:val="18"/>
          <w:szCs w:val="18"/>
        </w:rPr>
      </w:pPr>
      <w:r w:rsidRPr="00F71DC5">
        <w:rPr>
          <w:rFonts w:ascii="Verdana" w:hAnsi="Verdana"/>
          <w:sz w:val="18"/>
          <w:szCs w:val="18"/>
        </w:rPr>
        <w:t>De veiligheidsscreening voor een veiligheidsmachtiging voor personen wordt in Nederland uitgevoerd op basis van de Wet veiligheidsonderzoeken (</w:t>
      </w:r>
      <w:proofErr w:type="spellStart"/>
      <w:r w:rsidRPr="00F71DC5">
        <w:rPr>
          <w:rFonts w:ascii="Verdana" w:hAnsi="Verdana"/>
          <w:sz w:val="18"/>
          <w:szCs w:val="18"/>
        </w:rPr>
        <w:t>Wvo</w:t>
      </w:r>
      <w:proofErr w:type="spellEnd"/>
      <w:r w:rsidRPr="00F71DC5">
        <w:rPr>
          <w:rFonts w:ascii="Verdana" w:hAnsi="Verdana"/>
          <w:sz w:val="18"/>
          <w:szCs w:val="18"/>
        </w:rPr>
        <w:t xml:space="preserve">). </w:t>
      </w:r>
    </w:p>
    <w:p w:rsidRPr="003B7EFC" w:rsidR="009E77A9" w:rsidP="003B7EFC" w:rsidRDefault="00A17E77" w14:paraId="1B37CCDC" w14:textId="135C7145">
      <w:pPr>
        <w:pStyle w:val="ListParagraph"/>
        <w:numPr>
          <w:ilvl w:val="2"/>
          <w:numId w:val="13"/>
        </w:numPr>
        <w:jc w:val="both"/>
        <w:rPr>
          <w:rFonts w:ascii="Verdana" w:hAnsi="Verdana"/>
          <w:bCs/>
          <w:sz w:val="18"/>
          <w:szCs w:val="18"/>
        </w:rPr>
      </w:pPr>
      <w:r>
        <w:rPr>
          <w:rFonts w:ascii="Verdana" w:hAnsi="Verdana"/>
          <w:bCs/>
          <w:sz w:val="18"/>
          <w:szCs w:val="18"/>
        </w:rPr>
        <w:t>O</w:t>
      </w:r>
      <w:r w:rsidRPr="003B7EFC" w:rsidR="009E77A9">
        <w:rPr>
          <w:rFonts w:ascii="Verdana" w:hAnsi="Verdana"/>
          <w:bCs/>
          <w:sz w:val="18"/>
          <w:szCs w:val="18"/>
        </w:rPr>
        <w:t>nderzoeks</w:t>
      </w:r>
      <w:r>
        <w:rPr>
          <w:rFonts w:ascii="Verdana" w:hAnsi="Verdana"/>
          <w:bCs/>
          <w:sz w:val="18"/>
          <w:szCs w:val="18"/>
        </w:rPr>
        <w:t>- en meldings</w:t>
      </w:r>
      <w:r w:rsidRPr="003B7EFC" w:rsidR="009E77A9">
        <w:rPr>
          <w:rFonts w:ascii="Verdana" w:hAnsi="Verdana"/>
          <w:bCs/>
          <w:sz w:val="18"/>
          <w:szCs w:val="18"/>
        </w:rPr>
        <w:t xml:space="preserve">plicht na </w:t>
      </w:r>
      <w:proofErr w:type="spellStart"/>
      <w:r w:rsidRPr="003B7EFC" w:rsidR="009E77A9">
        <w:rPr>
          <w:rFonts w:ascii="Verdana" w:hAnsi="Verdana"/>
          <w:bCs/>
          <w:sz w:val="18"/>
          <w:szCs w:val="18"/>
        </w:rPr>
        <w:t>compromittering</w:t>
      </w:r>
      <w:proofErr w:type="spellEnd"/>
      <w:r w:rsidRPr="003B7EFC" w:rsidR="009E77A9">
        <w:rPr>
          <w:rFonts w:ascii="Verdana" w:hAnsi="Verdana"/>
          <w:bCs/>
          <w:sz w:val="18"/>
          <w:szCs w:val="18"/>
        </w:rPr>
        <w:t xml:space="preserve"> </w:t>
      </w:r>
    </w:p>
    <w:p w:rsidRPr="00F71DC5" w:rsidR="009E77A9" w:rsidP="003B7EFC" w:rsidRDefault="00A50F05" w14:paraId="46BAD329" w14:textId="3A39EB0D">
      <w:pPr>
        <w:jc w:val="both"/>
        <w:rPr>
          <w:rFonts w:ascii="Verdana" w:hAnsi="Verdana"/>
          <w:sz w:val="18"/>
          <w:szCs w:val="18"/>
        </w:rPr>
      </w:pPr>
      <w:r w:rsidRPr="00F71DC5">
        <w:rPr>
          <w:rFonts w:ascii="Verdana" w:hAnsi="Verdana"/>
          <w:sz w:val="18"/>
          <w:szCs w:val="18"/>
        </w:rPr>
        <w:t xml:space="preserve">In </w:t>
      </w:r>
      <w:r w:rsidRPr="00F71DC5" w:rsidR="009E77A9">
        <w:rPr>
          <w:rFonts w:ascii="Verdana" w:hAnsi="Verdana"/>
          <w:sz w:val="18"/>
          <w:szCs w:val="18"/>
        </w:rPr>
        <w:t xml:space="preserve">artikel </w:t>
      </w:r>
      <w:r w:rsidRPr="00F71DC5">
        <w:rPr>
          <w:rFonts w:ascii="Verdana" w:hAnsi="Verdana"/>
          <w:sz w:val="18"/>
          <w:szCs w:val="18"/>
        </w:rPr>
        <w:t xml:space="preserve">6 </w:t>
      </w:r>
      <w:r w:rsidR="00D95782">
        <w:rPr>
          <w:rFonts w:ascii="Verdana" w:hAnsi="Verdana"/>
          <w:sz w:val="18"/>
          <w:szCs w:val="18"/>
        </w:rPr>
        <w:t>is</w:t>
      </w:r>
      <w:r w:rsidRPr="00F71DC5">
        <w:rPr>
          <w:rFonts w:ascii="Verdana" w:hAnsi="Verdana"/>
          <w:sz w:val="18"/>
          <w:szCs w:val="18"/>
        </w:rPr>
        <w:t xml:space="preserve"> </w:t>
      </w:r>
      <w:r w:rsidRPr="00F71DC5" w:rsidR="009E77A9">
        <w:rPr>
          <w:rFonts w:ascii="Verdana" w:hAnsi="Verdana"/>
          <w:sz w:val="18"/>
          <w:szCs w:val="18"/>
        </w:rPr>
        <w:t>een</w:t>
      </w:r>
      <w:r w:rsidR="006F68A4">
        <w:rPr>
          <w:rFonts w:ascii="Verdana" w:hAnsi="Verdana"/>
          <w:sz w:val="18"/>
          <w:szCs w:val="18"/>
        </w:rPr>
        <w:t xml:space="preserve"> </w:t>
      </w:r>
      <w:proofErr w:type="spellStart"/>
      <w:r w:rsidR="006F68A4">
        <w:rPr>
          <w:rFonts w:ascii="Verdana" w:hAnsi="Verdana"/>
          <w:sz w:val="18"/>
          <w:szCs w:val="18"/>
        </w:rPr>
        <w:t>onderzoeks</w:t>
      </w:r>
      <w:r w:rsidRPr="00F71DC5">
        <w:rPr>
          <w:rFonts w:ascii="Verdana" w:hAnsi="Verdana"/>
          <w:sz w:val="18"/>
          <w:szCs w:val="18"/>
        </w:rPr>
        <w:t>plicht</w:t>
      </w:r>
      <w:proofErr w:type="spellEnd"/>
      <w:r w:rsidRPr="00F71DC5">
        <w:rPr>
          <w:rFonts w:ascii="Verdana" w:hAnsi="Verdana"/>
          <w:sz w:val="18"/>
          <w:szCs w:val="18"/>
        </w:rPr>
        <w:t xml:space="preserve"> en meldingsplicht opgenomen bij </w:t>
      </w:r>
      <w:r w:rsidR="00D7262E">
        <w:rPr>
          <w:rFonts w:ascii="Verdana" w:hAnsi="Verdana"/>
          <w:sz w:val="18"/>
          <w:szCs w:val="18"/>
        </w:rPr>
        <w:t>gev</w:t>
      </w:r>
      <w:r w:rsidRPr="00F71DC5">
        <w:rPr>
          <w:rFonts w:ascii="Verdana" w:hAnsi="Verdana"/>
          <w:sz w:val="18"/>
          <w:szCs w:val="18"/>
        </w:rPr>
        <w:t xml:space="preserve">allen waarbij gerubriceerde informatie (mogelijk) in verkeerde handen is beland. </w:t>
      </w:r>
      <w:r w:rsidRPr="00F71DC5" w:rsidR="009E77A9">
        <w:rPr>
          <w:rFonts w:ascii="Verdana" w:hAnsi="Verdana"/>
          <w:sz w:val="18"/>
          <w:szCs w:val="18"/>
        </w:rPr>
        <w:t xml:space="preserve">Zo zijn de lidstaten in staat om </w:t>
      </w:r>
      <w:r w:rsidRPr="00F71DC5">
        <w:rPr>
          <w:rFonts w:ascii="Verdana" w:hAnsi="Verdana"/>
          <w:sz w:val="18"/>
          <w:szCs w:val="18"/>
        </w:rPr>
        <w:t xml:space="preserve">eventueel </w:t>
      </w:r>
      <w:r w:rsidRPr="00F71DC5" w:rsidR="00077192">
        <w:rPr>
          <w:rFonts w:ascii="Verdana" w:hAnsi="Verdana"/>
          <w:sz w:val="18"/>
          <w:szCs w:val="18"/>
        </w:rPr>
        <w:t xml:space="preserve">noodzakelijke </w:t>
      </w:r>
      <w:r w:rsidRPr="00F71DC5" w:rsidR="009E77A9">
        <w:rPr>
          <w:rFonts w:ascii="Verdana" w:hAnsi="Verdana"/>
          <w:sz w:val="18"/>
          <w:szCs w:val="18"/>
        </w:rPr>
        <w:t xml:space="preserve">mitigerende maatregelen te nemen. </w:t>
      </w:r>
    </w:p>
    <w:p w:rsidRPr="00B0531B" w:rsidR="00B0531B" w:rsidP="00B0531B" w:rsidRDefault="0002575F" w14:paraId="048EC362" w14:textId="7ACE1DBA">
      <w:pPr>
        <w:pStyle w:val="ListParagraph"/>
        <w:numPr>
          <w:ilvl w:val="2"/>
          <w:numId w:val="13"/>
        </w:numPr>
        <w:jc w:val="both"/>
        <w:rPr>
          <w:rFonts w:ascii="Verdana" w:hAnsi="Verdana"/>
          <w:bCs/>
          <w:sz w:val="18"/>
          <w:szCs w:val="18"/>
          <w:lang w:val="en-US"/>
        </w:rPr>
      </w:pPr>
      <w:r w:rsidRPr="00393584">
        <w:rPr>
          <w:rFonts w:ascii="Verdana" w:hAnsi="Verdana"/>
          <w:i/>
          <w:sz w:val="18"/>
          <w:szCs w:val="18"/>
          <w:lang w:val="en-US"/>
        </w:rPr>
        <w:t>National Security Authority</w:t>
      </w:r>
      <w:r w:rsidRPr="00B47327">
        <w:rPr>
          <w:rFonts w:ascii="Verdana" w:hAnsi="Verdana"/>
          <w:sz w:val="18"/>
          <w:szCs w:val="18"/>
          <w:lang w:val="en-US"/>
        </w:rPr>
        <w:t xml:space="preserve"> </w:t>
      </w:r>
      <w:proofErr w:type="spellStart"/>
      <w:r w:rsidRPr="00B0531B" w:rsidR="009E77A9">
        <w:rPr>
          <w:rFonts w:ascii="Verdana" w:hAnsi="Verdana"/>
          <w:bCs/>
          <w:sz w:val="18"/>
          <w:szCs w:val="18"/>
          <w:lang w:val="en-US"/>
        </w:rPr>
        <w:t>en</w:t>
      </w:r>
      <w:proofErr w:type="spellEnd"/>
      <w:r w:rsidRPr="00B0531B" w:rsidR="009E77A9">
        <w:rPr>
          <w:rFonts w:ascii="Verdana" w:hAnsi="Verdana"/>
          <w:bCs/>
          <w:sz w:val="18"/>
          <w:szCs w:val="18"/>
          <w:lang w:val="en-US"/>
        </w:rPr>
        <w:t xml:space="preserve"> </w:t>
      </w:r>
      <w:proofErr w:type="spellStart"/>
      <w:r w:rsidR="00393584">
        <w:rPr>
          <w:rFonts w:ascii="Verdana" w:hAnsi="Verdana"/>
          <w:bCs/>
          <w:sz w:val="18"/>
          <w:szCs w:val="18"/>
          <w:lang w:val="en-US"/>
        </w:rPr>
        <w:t>Beveiligingscomité</w:t>
      </w:r>
      <w:proofErr w:type="spellEnd"/>
      <w:r w:rsidRPr="00B0531B" w:rsidR="009E77A9">
        <w:rPr>
          <w:rFonts w:ascii="Verdana" w:hAnsi="Verdana"/>
          <w:bCs/>
          <w:sz w:val="18"/>
          <w:szCs w:val="18"/>
          <w:lang w:val="en-US"/>
        </w:rPr>
        <w:t xml:space="preserve"> </w:t>
      </w:r>
    </w:p>
    <w:p w:rsidRPr="00F71DC5" w:rsidR="009E77A9" w:rsidP="003B7EFC" w:rsidRDefault="009E77A9" w14:paraId="27FA5ACC" w14:textId="32F4DC3A">
      <w:pPr>
        <w:jc w:val="both"/>
        <w:rPr>
          <w:rFonts w:ascii="Verdana" w:hAnsi="Verdana"/>
          <w:sz w:val="18"/>
          <w:szCs w:val="18"/>
        </w:rPr>
      </w:pPr>
      <w:r w:rsidRPr="00F71DC5">
        <w:rPr>
          <w:rFonts w:ascii="Verdana" w:hAnsi="Verdana"/>
          <w:sz w:val="18"/>
          <w:szCs w:val="18"/>
        </w:rPr>
        <w:t>De verantwoordelijke autoriteit voor de implementatie en uitvoering van het OCCAR-</w:t>
      </w:r>
      <w:r w:rsidR="00A60031">
        <w:rPr>
          <w:rFonts w:ascii="Verdana" w:hAnsi="Verdana"/>
          <w:sz w:val="18"/>
          <w:szCs w:val="18"/>
        </w:rPr>
        <w:t>B</w:t>
      </w:r>
      <w:r w:rsidRPr="00F71DC5" w:rsidR="00A60031">
        <w:rPr>
          <w:rFonts w:ascii="Verdana" w:hAnsi="Verdana"/>
          <w:sz w:val="18"/>
          <w:szCs w:val="18"/>
        </w:rPr>
        <w:t>eveiligings</w:t>
      </w:r>
      <w:r w:rsidR="000E4138">
        <w:rPr>
          <w:rFonts w:ascii="Verdana" w:hAnsi="Verdana"/>
          <w:sz w:val="18"/>
          <w:szCs w:val="18"/>
        </w:rPr>
        <w:t>verdrag</w:t>
      </w:r>
      <w:r w:rsidRPr="00F71DC5" w:rsidR="00A60031">
        <w:rPr>
          <w:rFonts w:ascii="Verdana" w:hAnsi="Verdana"/>
          <w:sz w:val="18"/>
          <w:szCs w:val="18"/>
        </w:rPr>
        <w:t xml:space="preserve"> </w:t>
      </w:r>
      <w:r w:rsidRPr="00F71DC5">
        <w:rPr>
          <w:rFonts w:ascii="Verdana" w:hAnsi="Verdana"/>
          <w:sz w:val="18"/>
          <w:szCs w:val="18"/>
        </w:rPr>
        <w:t xml:space="preserve">is de </w:t>
      </w:r>
      <w:r w:rsidRPr="00393584">
        <w:rPr>
          <w:rFonts w:ascii="Verdana" w:hAnsi="Verdana"/>
          <w:i/>
          <w:sz w:val="18"/>
          <w:szCs w:val="18"/>
        </w:rPr>
        <w:t xml:space="preserve">National Security </w:t>
      </w:r>
      <w:proofErr w:type="spellStart"/>
      <w:r w:rsidRPr="00393584">
        <w:rPr>
          <w:rFonts w:ascii="Verdana" w:hAnsi="Verdana"/>
          <w:i/>
          <w:sz w:val="18"/>
          <w:szCs w:val="18"/>
        </w:rPr>
        <w:t>Authority</w:t>
      </w:r>
      <w:proofErr w:type="spellEnd"/>
      <w:r w:rsidR="00E730F3">
        <w:rPr>
          <w:rFonts w:ascii="Verdana" w:hAnsi="Verdana"/>
          <w:sz w:val="18"/>
          <w:szCs w:val="18"/>
        </w:rPr>
        <w:t xml:space="preserve"> (NSA)</w:t>
      </w:r>
      <w:r w:rsidRPr="00F71DC5">
        <w:rPr>
          <w:rFonts w:ascii="Verdana" w:hAnsi="Verdana"/>
          <w:sz w:val="18"/>
          <w:szCs w:val="18"/>
        </w:rPr>
        <w:t xml:space="preserve">. Nederland kent twee </w:t>
      </w:r>
      <w:r w:rsidR="00E730F3">
        <w:rPr>
          <w:rFonts w:ascii="Verdana" w:hAnsi="Verdana"/>
          <w:sz w:val="18"/>
          <w:szCs w:val="18"/>
        </w:rPr>
        <w:t>van deze autoriteiten</w:t>
      </w:r>
      <w:r w:rsidRPr="00F71DC5">
        <w:rPr>
          <w:rFonts w:ascii="Verdana" w:hAnsi="Verdana"/>
          <w:sz w:val="18"/>
          <w:szCs w:val="18"/>
        </w:rPr>
        <w:t>, een</w:t>
      </w:r>
      <w:r w:rsidR="00E730F3">
        <w:rPr>
          <w:rFonts w:ascii="Verdana" w:hAnsi="Verdana"/>
          <w:sz w:val="18"/>
          <w:szCs w:val="18"/>
        </w:rPr>
        <w:t xml:space="preserve"> NSA</w:t>
      </w:r>
      <w:r w:rsidRPr="00F71DC5">
        <w:rPr>
          <w:rFonts w:ascii="Verdana" w:hAnsi="Verdana"/>
          <w:sz w:val="18"/>
          <w:szCs w:val="18"/>
        </w:rPr>
        <w:t xml:space="preserve"> voor het civiele </w:t>
      </w:r>
      <w:r w:rsidR="00E730F3">
        <w:rPr>
          <w:rFonts w:ascii="Verdana" w:hAnsi="Verdana"/>
          <w:sz w:val="18"/>
          <w:szCs w:val="18"/>
        </w:rPr>
        <w:t xml:space="preserve">domein </w:t>
      </w:r>
      <w:r w:rsidRPr="00F71DC5">
        <w:rPr>
          <w:rFonts w:ascii="Verdana" w:hAnsi="Verdana"/>
          <w:sz w:val="18"/>
          <w:szCs w:val="18"/>
        </w:rPr>
        <w:t xml:space="preserve">en een NSA voor het militaire domein. De laatstgenoemde militaire NSA is ondergebracht bij de Beveiligingsautoriteit van het Ministerie van Defensie, welke rol wordt vervuld door de directeur van de Directie Bedrijfsvoering en Evaluatie (DBE) op grond van artikel </w:t>
      </w:r>
      <w:r w:rsidRPr="00F71DC5" w:rsidR="000F226F">
        <w:rPr>
          <w:rFonts w:ascii="Verdana" w:hAnsi="Verdana"/>
          <w:sz w:val="18"/>
          <w:szCs w:val="18"/>
        </w:rPr>
        <w:t>2</w:t>
      </w:r>
      <w:r w:rsidR="000F226F">
        <w:rPr>
          <w:rFonts w:ascii="Verdana" w:hAnsi="Verdana"/>
          <w:sz w:val="18"/>
          <w:szCs w:val="18"/>
        </w:rPr>
        <w:t>7</w:t>
      </w:r>
      <w:r w:rsidR="002C5732">
        <w:rPr>
          <w:rFonts w:ascii="Verdana" w:hAnsi="Verdana"/>
          <w:sz w:val="18"/>
          <w:szCs w:val="18"/>
        </w:rPr>
        <w:t>, eerste lid en onder f van het</w:t>
      </w:r>
      <w:r w:rsidRPr="00F71DC5">
        <w:rPr>
          <w:rFonts w:ascii="Verdana" w:hAnsi="Verdana"/>
          <w:sz w:val="18"/>
          <w:szCs w:val="18"/>
        </w:rPr>
        <w:t xml:space="preserve"> Algemeen organisatiebesluit Defensie </w:t>
      </w:r>
      <w:r w:rsidRPr="00F71DC5" w:rsidR="000F226F">
        <w:rPr>
          <w:rFonts w:ascii="Verdana" w:hAnsi="Verdana"/>
          <w:sz w:val="18"/>
          <w:szCs w:val="18"/>
        </w:rPr>
        <w:t>202</w:t>
      </w:r>
      <w:r w:rsidR="000F226F">
        <w:rPr>
          <w:rFonts w:ascii="Verdana" w:hAnsi="Verdana"/>
          <w:sz w:val="18"/>
          <w:szCs w:val="18"/>
        </w:rPr>
        <w:t xml:space="preserve">5 </w:t>
      </w:r>
      <w:r w:rsidR="00ED5ADD">
        <w:rPr>
          <w:rFonts w:ascii="Verdana" w:hAnsi="Verdana"/>
          <w:sz w:val="18"/>
          <w:szCs w:val="18"/>
        </w:rPr>
        <w:t xml:space="preserve">en artikel </w:t>
      </w:r>
      <w:r w:rsidR="000F226F">
        <w:rPr>
          <w:rFonts w:ascii="Verdana" w:hAnsi="Verdana"/>
          <w:sz w:val="18"/>
          <w:szCs w:val="18"/>
        </w:rPr>
        <w:t>2</w:t>
      </w:r>
      <w:r w:rsidR="00FE1658">
        <w:rPr>
          <w:rFonts w:ascii="Verdana" w:hAnsi="Verdana"/>
          <w:sz w:val="18"/>
          <w:szCs w:val="18"/>
        </w:rPr>
        <w:t>,</w:t>
      </w:r>
      <w:r w:rsidR="00ED5ADD">
        <w:rPr>
          <w:rFonts w:ascii="Verdana" w:hAnsi="Verdana"/>
          <w:sz w:val="18"/>
          <w:szCs w:val="18"/>
        </w:rPr>
        <w:t xml:space="preserve"> </w:t>
      </w:r>
      <w:r w:rsidR="000F226F">
        <w:rPr>
          <w:rFonts w:ascii="Verdana" w:hAnsi="Verdana"/>
          <w:sz w:val="18"/>
          <w:szCs w:val="18"/>
        </w:rPr>
        <w:t xml:space="preserve">eerste </w:t>
      </w:r>
      <w:r w:rsidR="00ED5ADD">
        <w:rPr>
          <w:rFonts w:ascii="Verdana" w:hAnsi="Verdana"/>
          <w:sz w:val="18"/>
          <w:szCs w:val="18"/>
        </w:rPr>
        <w:t xml:space="preserve">lid </w:t>
      </w:r>
      <w:r w:rsidR="00FE1658">
        <w:rPr>
          <w:rFonts w:ascii="Verdana" w:hAnsi="Verdana"/>
          <w:sz w:val="18"/>
          <w:szCs w:val="18"/>
        </w:rPr>
        <w:t xml:space="preserve">van het </w:t>
      </w:r>
      <w:proofErr w:type="spellStart"/>
      <w:r w:rsidR="00ED5ADD">
        <w:rPr>
          <w:rFonts w:ascii="Verdana" w:hAnsi="Verdana"/>
          <w:sz w:val="18"/>
          <w:szCs w:val="18"/>
        </w:rPr>
        <w:t>subtaak</w:t>
      </w:r>
      <w:proofErr w:type="spellEnd"/>
      <w:r w:rsidR="00ED5ADD">
        <w:rPr>
          <w:rFonts w:ascii="Verdana" w:hAnsi="Verdana"/>
          <w:sz w:val="18"/>
          <w:szCs w:val="18"/>
        </w:rPr>
        <w:t xml:space="preserve">- en </w:t>
      </w:r>
      <w:proofErr w:type="spellStart"/>
      <w:r w:rsidR="00FE1658">
        <w:rPr>
          <w:rFonts w:ascii="Verdana" w:hAnsi="Verdana"/>
          <w:sz w:val="18"/>
          <w:szCs w:val="18"/>
        </w:rPr>
        <w:t>onder</w:t>
      </w:r>
      <w:r w:rsidR="00ED5ADD">
        <w:rPr>
          <w:rFonts w:ascii="Verdana" w:hAnsi="Verdana"/>
          <w:sz w:val="18"/>
          <w:szCs w:val="18"/>
        </w:rPr>
        <w:t>mandaatbesluit</w:t>
      </w:r>
      <w:proofErr w:type="spellEnd"/>
      <w:r w:rsidR="00ED5ADD">
        <w:rPr>
          <w:rFonts w:ascii="Verdana" w:hAnsi="Verdana"/>
          <w:sz w:val="18"/>
          <w:szCs w:val="18"/>
        </w:rPr>
        <w:t xml:space="preserve"> </w:t>
      </w:r>
      <w:r w:rsidR="000F226F">
        <w:rPr>
          <w:rFonts w:ascii="Verdana" w:hAnsi="Verdana"/>
          <w:sz w:val="18"/>
          <w:szCs w:val="18"/>
        </w:rPr>
        <w:t xml:space="preserve">National Security </w:t>
      </w:r>
      <w:proofErr w:type="spellStart"/>
      <w:r w:rsidR="000F226F">
        <w:rPr>
          <w:rFonts w:ascii="Verdana" w:hAnsi="Verdana"/>
          <w:sz w:val="18"/>
          <w:szCs w:val="18"/>
        </w:rPr>
        <w:t>Authority</w:t>
      </w:r>
      <w:proofErr w:type="spellEnd"/>
      <w:r w:rsidR="000F226F">
        <w:rPr>
          <w:rFonts w:ascii="Verdana" w:hAnsi="Verdana"/>
          <w:sz w:val="18"/>
          <w:szCs w:val="18"/>
        </w:rPr>
        <w:t xml:space="preserve"> 2025</w:t>
      </w:r>
      <w:r w:rsidRPr="00F71DC5">
        <w:rPr>
          <w:rFonts w:ascii="Verdana" w:hAnsi="Verdana"/>
          <w:sz w:val="18"/>
          <w:szCs w:val="18"/>
        </w:rPr>
        <w:t xml:space="preserve">. </w:t>
      </w:r>
    </w:p>
    <w:p w:rsidRPr="00F71DC5" w:rsidR="009E77A9" w:rsidP="003B7EFC" w:rsidRDefault="009E77A9" w14:paraId="4A7A006D" w14:textId="2EF34080">
      <w:pPr>
        <w:jc w:val="both"/>
        <w:rPr>
          <w:rFonts w:ascii="Verdana" w:hAnsi="Verdana"/>
          <w:sz w:val="18"/>
          <w:szCs w:val="18"/>
        </w:rPr>
      </w:pPr>
      <w:r w:rsidRPr="00F71DC5">
        <w:rPr>
          <w:rFonts w:ascii="Verdana" w:hAnsi="Verdana"/>
          <w:sz w:val="18"/>
          <w:szCs w:val="18"/>
        </w:rPr>
        <w:t xml:space="preserve">Omdat OCCAR een samenwerkingsverband is op defensiematerieelgebied </w:t>
      </w:r>
      <w:r w:rsidR="0002575F">
        <w:rPr>
          <w:rFonts w:ascii="Verdana" w:hAnsi="Verdana"/>
          <w:sz w:val="18"/>
          <w:szCs w:val="18"/>
        </w:rPr>
        <w:t xml:space="preserve">treedt </w:t>
      </w:r>
      <w:r w:rsidRPr="00F71DC5">
        <w:rPr>
          <w:rFonts w:ascii="Verdana" w:hAnsi="Verdana"/>
          <w:sz w:val="18"/>
          <w:szCs w:val="18"/>
        </w:rPr>
        <w:t xml:space="preserve">de NSA voor het militaire domein hier </w:t>
      </w:r>
      <w:r w:rsidR="0002575F">
        <w:rPr>
          <w:rFonts w:ascii="Verdana" w:hAnsi="Verdana"/>
          <w:sz w:val="18"/>
          <w:szCs w:val="18"/>
        </w:rPr>
        <w:t xml:space="preserve">op </w:t>
      </w:r>
      <w:r w:rsidRPr="00F71DC5">
        <w:rPr>
          <w:rFonts w:ascii="Verdana" w:hAnsi="Verdana"/>
          <w:sz w:val="18"/>
          <w:szCs w:val="18"/>
        </w:rPr>
        <w:t xml:space="preserve">als NSA en </w:t>
      </w:r>
      <w:r w:rsidR="003E0E64">
        <w:rPr>
          <w:rFonts w:ascii="Verdana" w:hAnsi="Verdana"/>
          <w:sz w:val="18"/>
          <w:szCs w:val="18"/>
        </w:rPr>
        <w:t xml:space="preserve">deze NSA </w:t>
      </w:r>
      <w:r w:rsidR="0002575F">
        <w:rPr>
          <w:rFonts w:ascii="Verdana" w:hAnsi="Verdana"/>
          <w:sz w:val="18"/>
          <w:szCs w:val="18"/>
        </w:rPr>
        <w:t xml:space="preserve">vertegenwoordigt het </w:t>
      </w:r>
      <w:r w:rsidR="00E92B62">
        <w:rPr>
          <w:rFonts w:ascii="Verdana" w:hAnsi="Verdana"/>
          <w:sz w:val="18"/>
          <w:szCs w:val="18"/>
        </w:rPr>
        <w:t xml:space="preserve">Koninkrijk der </w:t>
      </w:r>
      <w:r w:rsidRPr="00F71DC5">
        <w:rPr>
          <w:rFonts w:ascii="Verdana" w:hAnsi="Verdana"/>
          <w:sz w:val="18"/>
          <w:szCs w:val="18"/>
        </w:rPr>
        <w:t>Nederland</w:t>
      </w:r>
      <w:r w:rsidR="00E92B62">
        <w:rPr>
          <w:rFonts w:ascii="Verdana" w:hAnsi="Verdana"/>
          <w:sz w:val="18"/>
          <w:szCs w:val="18"/>
        </w:rPr>
        <w:t>en</w:t>
      </w:r>
      <w:r w:rsidRPr="00F71DC5">
        <w:rPr>
          <w:rFonts w:ascii="Verdana" w:hAnsi="Verdana"/>
          <w:sz w:val="18"/>
          <w:szCs w:val="18"/>
        </w:rPr>
        <w:t xml:space="preserve"> in </w:t>
      </w:r>
      <w:r w:rsidR="00662B16">
        <w:rPr>
          <w:rFonts w:ascii="Verdana" w:hAnsi="Verdana"/>
          <w:sz w:val="18"/>
          <w:szCs w:val="18"/>
        </w:rPr>
        <w:t>het</w:t>
      </w:r>
      <w:r w:rsidRPr="00F71DC5" w:rsidR="00662B16">
        <w:rPr>
          <w:rFonts w:ascii="Verdana" w:hAnsi="Verdana"/>
          <w:sz w:val="18"/>
          <w:szCs w:val="18"/>
        </w:rPr>
        <w:t xml:space="preserve"> </w:t>
      </w:r>
      <w:r w:rsidR="00FE1658">
        <w:rPr>
          <w:rFonts w:ascii="Verdana" w:hAnsi="Verdana"/>
          <w:sz w:val="18"/>
          <w:szCs w:val="18"/>
        </w:rPr>
        <w:t xml:space="preserve">Beveiligingscomité </w:t>
      </w:r>
      <w:r w:rsidR="0002575F">
        <w:rPr>
          <w:rFonts w:ascii="Verdana" w:hAnsi="Verdana"/>
          <w:sz w:val="18"/>
          <w:szCs w:val="18"/>
        </w:rPr>
        <w:t xml:space="preserve">zoals </w:t>
      </w:r>
      <w:r w:rsidR="00FE1658">
        <w:rPr>
          <w:rFonts w:ascii="Verdana" w:hAnsi="Verdana"/>
          <w:sz w:val="18"/>
          <w:szCs w:val="18"/>
        </w:rPr>
        <w:t>bedoeld</w:t>
      </w:r>
      <w:r w:rsidR="0002575F">
        <w:rPr>
          <w:rFonts w:ascii="Verdana" w:hAnsi="Verdana"/>
          <w:sz w:val="18"/>
          <w:szCs w:val="18"/>
        </w:rPr>
        <w:t xml:space="preserve"> </w:t>
      </w:r>
      <w:r w:rsidRPr="00F71DC5">
        <w:rPr>
          <w:rFonts w:ascii="Verdana" w:hAnsi="Verdana"/>
          <w:sz w:val="18"/>
          <w:szCs w:val="18"/>
        </w:rPr>
        <w:t>in artikel</w:t>
      </w:r>
      <w:r w:rsidR="00662B16">
        <w:rPr>
          <w:rFonts w:ascii="Verdana" w:hAnsi="Verdana"/>
          <w:sz w:val="18"/>
          <w:szCs w:val="18"/>
        </w:rPr>
        <w:t xml:space="preserve"> </w:t>
      </w:r>
      <w:r w:rsidR="007A7A15">
        <w:rPr>
          <w:rFonts w:ascii="Verdana" w:hAnsi="Verdana"/>
          <w:sz w:val="18"/>
          <w:szCs w:val="18"/>
        </w:rPr>
        <w:t>7</w:t>
      </w:r>
      <w:r w:rsidR="00FE1658">
        <w:rPr>
          <w:rFonts w:ascii="Verdana" w:hAnsi="Verdana"/>
          <w:sz w:val="18"/>
          <w:szCs w:val="18"/>
        </w:rPr>
        <w:t>, tweede lid,</w:t>
      </w:r>
      <w:r w:rsidR="0002575F">
        <w:rPr>
          <w:rFonts w:ascii="Verdana" w:hAnsi="Verdana"/>
          <w:sz w:val="18"/>
          <w:szCs w:val="18"/>
        </w:rPr>
        <w:t xml:space="preserve"> </w:t>
      </w:r>
      <w:r w:rsidRPr="007A7A15" w:rsidR="007A7A15">
        <w:rPr>
          <w:rFonts w:ascii="Verdana" w:hAnsi="Verdana"/>
          <w:sz w:val="18"/>
          <w:szCs w:val="18"/>
        </w:rPr>
        <w:t xml:space="preserve">van het OCCAR-Beveiligingsverdrag. Het </w:t>
      </w:r>
      <w:r w:rsidR="000848F0">
        <w:rPr>
          <w:rFonts w:ascii="Verdana" w:hAnsi="Verdana"/>
          <w:sz w:val="18"/>
          <w:szCs w:val="18"/>
        </w:rPr>
        <w:t>Beveiligingscomité</w:t>
      </w:r>
      <w:r w:rsidRPr="007A7A15" w:rsidR="007A7A15">
        <w:rPr>
          <w:rFonts w:ascii="Verdana" w:hAnsi="Verdana"/>
          <w:sz w:val="18"/>
          <w:szCs w:val="18"/>
        </w:rPr>
        <w:t xml:space="preserve"> houdt zich bezig met alle aspecten van beveiliging in </w:t>
      </w:r>
      <w:r w:rsidR="00393584">
        <w:rPr>
          <w:rFonts w:ascii="Verdana" w:hAnsi="Verdana"/>
          <w:sz w:val="18"/>
          <w:szCs w:val="18"/>
        </w:rPr>
        <w:t xml:space="preserve">de </w:t>
      </w:r>
      <w:r w:rsidRPr="007A7A15" w:rsidR="007A7A15">
        <w:rPr>
          <w:rFonts w:ascii="Verdana" w:hAnsi="Verdana"/>
          <w:sz w:val="18"/>
          <w:szCs w:val="18"/>
        </w:rPr>
        <w:t xml:space="preserve">context van het OCCAR-Beveiligingsverdrag, </w:t>
      </w:r>
      <w:r w:rsidR="00FE1658">
        <w:rPr>
          <w:rFonts w:ascii="Verdana" w:hAnsi="Verdana"/>
          <w:sz w:val="18"/>
          <w:szCs w:val="18"/>
        </w:rPr>
        <w:t xml:space="preserve">de </w:t>
      </w:r>
      <w:r w:rsidRPr="007A7A15" w:rsidR="007A7A15">
        <w:rPr>
          <w:rFonts w:ascii="Verdana" w:hAnsi="Verdana"/>
          <w:sz w:val="18"/>
          <w:szCs w:val="18"/>
        </w:rPr>
        <w:t>beveiliging van gerubriceerde gegevens.</w:t>
      </w:r>
      <w:r w:rsidRPr="00F71DC5">
        <w:rPr>
          <w:rFonts w:ascii="Verdana" w:hAnsi="Verdana"/>
          <w:sz w:val="18"/>
          <w:szCs w:val="18"/>
        </w:rPr>
        <w:t xml:space="preserve"> </w:t>
      </w:r>
    </w:p>
    <w:p w:rsidR="009E77A9" w:rsidP="003B7EFC" w:rsidRDefault="00B246E6" w14:paraId="456F37E7" w14:textId="4A4C9426">
      <w:pPr>
        <w:jc w:val="both"/>
        <w:rPr>
          <w:rFonts w:ascii="Verdana" w:hAnsi="Verdana"/>
          <w:sz w:val="18"/>
          <w:szCs w:val="18"/>
        </w:rPr>
      </w:pPr>
      <w:r>
        <w:rPr>
          <w:rFonts w:ascii="Verdana" w:hAnsi="Verdana"/>
          <w:sz w:val="18"/>
          <w:szCs w:val="18"/>
        </w:rPr>
        <w:t>Artikel 7</w:t>
      </w:r>
      <w:r w:rsidRPr="00F71DC5" w:rsidR="009E77A9">
        <w:rPr>
          <w:rFonts w:ascii="Verdana" w:hAnsi="Verdana"/>
          <w:sz w:val="18"/>
          <w:szCs w:val="18"/>
        </w:rPr>
        <w:t xml:space="preserve"> verplicht de lidstaten ervoor te zorgen dat het Veiligheidsreglement, aangenomen door de Raad</w:t>
      </w:r>
      <w:r w:rsidR="00A64CE8">
        <w:rPr>
          <w:rFonts w:ascii="Verdana" w:hAnsi="Verdana"/>
          <w:sz w:val="18"/>
          <w:szCs w:val="18"/>
        </w:rPr>
        <w:t xml:space="preserve"> van Toezicht</w:t>
      </w:r>
      <w:r w:rsidRPr="00F71DC5" w:rsidR="009E77A9">
        <w:rPr>
          <w:rFonts w:ascii="Verdana" w:hAnsi="Verdana"/>
          <w:sz w:val="18"/>
          <w:szCs w:val="18"/>
        </w:rPr>
        <w:t>, voldoe</w:t>
      </w:r>
      <w:r w:rsidR="00AB791C">
        <w:rPr>
          <w:rFonts w:ascii="Verdana" w:hAnsi="Verdana"/>
          <w:sz w:val="18"/>
          <w:szCs w:val="18"/>
        </w:rPr>
        <w:t>t</w:t>
      </w:r>
      <w:r w:rsidRPr="00F71DC5" w:rsidR="009E77A9">
        <w:rPr>
          <w:rFonts w:ascii="Verdana" w:hAnsi="Verdana"/>
          <w:sz w:val="18"/>
          <w:szCs w:val="18"/>
        </w:rPr>
        <w:t xml:space="preserve"> aan de eisen in </w:t>
      </w:r>
      <w:r w:rsidR="00C95C02">
        <w:rPr>
          <w:rFonts w:ascii="Verdana" w:hAnsi="Verdana"/>
          <w:sz w:val="18"/>
          <w:szCs w:val="18"/>
        </w:rPr>
        <w:t>het</w:t>
      </w:r>
      <w:r w:rsidRPr="00F71DC5" w:rsidR="009E77A9">
        <w:rPr>
          <w:rFonts w:ascii="Verdana" w:hAnsi="Verdana"/>
          <w:sz w:val="18"/>
          <w:szCs w:val="18"/>
        </w:rPr>
        <w:t xml:space="preserve"> </w:t>
      </w:r>
      <w:r w:rsidR="00C95C02">
        <w:rPr>
          <w:rFonts w:ascii="Verdana" w:hAnsi="Verdana"/>
          <w:sz w:val="18"/>
          <w:szCs w:val="18"/>
        </w:rPr>
        <w:t>OCCAR-Beveiligings</w:t>
      </w:r>
      <w:r w:rsidRPr="00F71DC5" w:rsidR="009E77A9">
        <w:rPr>
          <w:rFonts w:ascii="Verdana" w:hAnsi="Verdana"/>
          <w:sz w:val="18"/>
          <w:szCs w:val="18"/>
        </w:rPr>
        <w:t xml:space="preserve">verdrag. </w:t>
      </w:r>
    </w:p>
    <w:p w:rsidRPr="00B0531B" w:rsidR="00B0531B" w:rsidP="00B0531B" w:rsidRDefault="004163DC" w14:paraId="0FC964C9" w14:textId="50DFAEAD">
      <w:pPr>
        <w:pStyle w:val="ListParagraph"/>
        <w:numPr>
          <w:ilvl w:val="2"/>
          <w:numId w:val="13"/>
        </w:numPr>
        <w:jc w:val="both"/>
        <w:rPr>
          <w:rFonts w:ascii="Verdana" w:hAnsi="Verdana"/>
          <w:bCs/>
          <w:sz w:val="18"/>
          <w:szCs w:val="18"/>
        </w:rPr>
      </w:pPr>
      <w:r w:rsidRPr="00B0531B">
        <w:rPr>
          <w:rFonts w:ascii="Verdana" w:hAnsi="Verdana"/>
          <w:bCs/>
          <w:sz w:val="18"/>
          <w:szCs w:val="18"/>
        </w:rPr>
        <w:t>A</w:t>
      </w:r>
      <w:r w:rsidRPr="00B0531B" w:rsidR="009E77A9">
        <w:rPr>
          <w:rFonts w:ascii="Verdana" w:hAnsi="Verdana"/>
          <w:bCs/>
          <w:sz w:val="18"/>
          <w:szCs w:val="18"/>
        </w:rPr>
        <w:t>nder</w:t>
      </w:r>
      <w:r w:rsidRPr="00B0531B">
        <w:rPr>
          <w:rFonts w:ascii="Verdana" w:hAnsi="Verdana"/>
          <w:bCs/>
          <w:sz w:val="18"/>
          <w:szCs w:val="18"/>
        </w:rPr>
        <w:t>e</w:t>
      </w:r>
      <w:r w:rsidRPr="00B0531B" w:rsidR="009E77A9">
        <w:rPr>
          <w:rFonts w:ascii="Verdana" w:hAnsi="Verdana"/>
          <w:bCs/>
          <w:sz w:val="18"/>
          <w:szCs w:val="18"/>
        </w:rPr>
        <w:t xml:space="preserve"> beveiligingsverdragen</w:t>
      </w:r>
    </w:p>
    <w:p w:rsidRPr="00F71DC5" w:rsidR="009E77A9" w:rsidP="003B7EFC" w:rsidRDefault="00C95C02" w14:paraId="31CB3975" w14:textId="4638F89A">
      <w:pPr>
        <w:jc w:val="both"/>
        <w:rPr>
          <w:rFonts w:ascii="Verdana" w:hAnsi="Verdana"/>
          <w:sz w:val="18"/>
          <w:szCs w:val="18"/>
        </w:rPr>
      </w:pPr>
      <w:r>
        <w:rPr>
          <w:rFonts w:ascii="Verdana" w:hAnsi="Verdana"/>
          <w:sz w:val="18"/>
          <w:szCs w:val="18"/>
        </w:rPr>
        <w:t>Het OCCAR-Beveiligings</w:t>
      </w:r>
      <w:r w:rsidRPr="00F71DC5" w:rsidR="009E77A9">
        <w:rPr>
          <w:rFonts w:ascii="Verdana" w:hAnsi="Verdana"/>
          <w:sz w:val="18"/>
          <w:szCs w:val="18"/>
        </w:rPr>
        <w:t xml:space="preserve">verdrag regelt alleen de uitwisseling </w:t>
      </w:r>
      <w:r w:rsidR="00FE1658">
        <w:rPr>
          <w:rFonts w:ascii="Verdana" w:hAnsi="Verdana"/>
          <w:sz w:val="18"/>
          <w:szCs w:val="18"/>
        </w:rPr>
        <w:t xml:space="preserve">en wederzijdse beveiliging </w:t>
      </w:r>
      <w:r w:rsidRPr="00F71DC5" w:rsidR="009E77A9">
        <w:rPr>
          <w:rFonts w:ascii="Verdana" w:hAnsi="Verdana"/>
          <w:sz w:val="18"/>
          <w:szCs w:val="18"/>
        </w:rPr>
        <w:t>van gerubriceerde gegevens in het kad</w:t>
      </w:r>
      <w:r w:rsidR="004163DC">
        <w:rPr>
          <w:rFonts w:ascii="Verdana" w:hAnsi="Verdana"/>
          <w:sz w:val="18"/>
          <w:szCs w:val="18"/>
        </w:rPr>
        <w:t>er van OCCAR</w:t>
      </w:r>
      <w:r w:rsidRPr="00F71DC5" w:rsidR="009E77A9">
        <w:rPr>
          <w:rFonts w:ascii="Verdana" w:hAnsi="Verdana"/>
          <w:sz w:val="18"/>
          <w:szCs w:val="18"/>
        </w:rPr>
        <w:t xml:space="preserve">-projecten en samenwerking met OCCAR. Dit volgt uit de aard van de verplichtingen vastgelegd in artikel 2. </w:t>
      </w:r>
    </w:p>
    <w:p w:rsidR="009E77A9" w:rsidP="003B7EFC" w:rsidRDefault="005D7737" w14:paraId="5C680FB3" w14:textId="1A4B0501">
      <w:pPr>
        <w:jc w:val="both"/>
        <w:rPr>
          <w:rFonts w:ascii="Verdana" w:hAnsi="Verdana"/>
          <w:sz w:val="18"/>
          <w:szCs w:val="18"/>
        </w:rPr>
      </w:pPr>
      <w:r>
        <w:rPr>
          <w:rFonts w:ascii="Verdana" w:hAnsi="Verdana"/>
          <w:sz w:val="18"/>
          <w:szCs w:val="18"/>
        </w:rPr>
        <w:t>Artikel 8 stelt vast</w:t>
      </w:r>
      <w:r w:rsidRPr="00F71DC5" w:rsidR="009E77A9">
        <w:rPr>
          <w:rFonts w:ascii="Verdana" w:hAnsi="Verdana"/>
          <w:sz w:val="18"/>
          <w:szCs w:val="18"/>
        </w:rPr>
        <w:t xml:space="preserve"> dat het de lidstaten vrij staat om met derden of elkaar afspraken te maken over de uitwisseling van gerubriceerde gegevens in een andere context</w:t>
      </w:r>
      <w:r>
        <w:rPr>
          <w:rFonts w:ascii="Verdana" w:hAnsi="Verdana"/>
          <w:sz w:val="18"/>
          <w:szCs w:val="18"/>
        </w:rPr>
        <w:t>,</w:t>
      </w:r>
      <w:r w:rsidRPr="00F71DC5" w:rsidR="009E77A9">
        <w:rPr>
          <w:rFonts w:ascii="Verdana" w:hAnsi="Verdana"/>
          <w:sz w:val="18"/>
          <w:szCs w:val="18"/>
        </w:rPr>
        <w:t xml:space="preserve"> zolang die afspraken het OCCAR-</w:t>
      </w:r>
      <w:r w:rsidR="002C5732">
        <w:rPr>
          <w:rFonts w:ascii="Verdana" w:hAnsi="Verdana"/>
          <w:sz w:val="18"/>
          <w:szCs w:val="18"/>
        </w:rPr>
        <w:t>B</w:t>
      </w:r>
      <w:r w:rsidRPr="00F71DC5" w:rsidR="009E77A9">
        <w:rPr>
          <w:rFonts w:ascii="Verdana" w:hAnsi="Verdana"/>
          <w:sz w:val="18"/>
          <w:szCs w:val="18"/>
        </w:rPr>
        <w:t xml:space="preserve">eveiligingsverdrag niet doorkruisen. </w:t>
      </w:r>
    </w:p>
    <w:p w:rsidRPr="00F71DC5" w:rsidR="000F226F" w:rsidP="003B7EFC" w:rsidRDefault="000F226F" w14:paraId="4B0BA452" w14:textId="44A2B1E2">
      <w:pPr>
        <w:jc w:val="both"/>
        <w:rPr>
          <w:rFonts w:ascii="Verdana" w:hAnsi="Verdana"/>
          <w:sz w:val="18"/>
          <w:szCs w:val="18"/>
        </w:rPr>
      </w:pPr>
      <w:r w:rsidRPr="00F71DC5">
        <w:rPr>
          <w:rFonts w:ascii="Verdana" w:hAnsi="Verdana"/>
          <w:sz w:val="18"/>
          <w:szCs w:val="18"/>
        </w:rPr>
        <w:t xml:space="preserve">Met niet-leden sluit OCCAR </w:t>
      </w:r>
      <w:r>
        <w:rPr>
          <w:rFonts w:ascii="Verdana" w:hAnsi="Verdana"/>
          <w:sz w:val="18"/>
          <w:szCs w:val="18"/>
        </w:rPr>
        <w:t xml:space="preserve">overigens </w:t>
      </w:r>
      <w:r w:rsidRPr="00F71DC5">
        <w:rPr>
          <w:rFonts w:ascii="Verdana" w:hAnsi="Verdana"/>
          <w:sz w:val="18"/>
          <w:szCs w:val="18"/>
        </w:rPr>
        <w:t xml:space="preserve">zelf </w:t>
      </w:r>
      <w:r>
        <w:rPr>
          <w:rFonts w:ascii="Verdana" w:hAnsi="Verdana"/>
          <w:sz w:val="18"/>
          <w:szCs w:val="18"/>
        </w:rPr>
        <w:t xml:space="preserve">ook </w:t>
      </w:r>
      <w:r w:rsidRPr="00F71DC5">
        <w:rPr>
          <w:rFonts w:ascii="Verdana" w:hAnsi="Verdana"/>
          <w:sz w:val="18"/>
          <w:szCs w:val="18"/>
        </w:rPr>
        <w:t>beveiligingsverdragen voor de uitwisseling van gerubriceerde gegevens.</w:t>
      </w:r>
      <w:r w:rsidRPr="00F71DC5">
        <w:rPr>
          <w:rStyle w:val="FootnoteReference"/>
          <w:rFonts w:ascii="Verdana" w:hAnsi="Verdana"/>
          <w:sz w:val="18"/>
          <w:szCs w:val="18"/>
        </w:rPr>
        <w:footnoteReference w:id="27"/>
      </w:r>
      <w:r w:rsidRPr="00F71DC5">
        <w:rPr>
          <w:rFonts w:ascii="Verdana" w:hAnsi="Verdana"/>
          <w:sz w:val="18"/>
          <w:szCs w:val="18"/>
        </w:rPr>
        <w:t xml:space="preserve"> De bepalingen van </w:t>
      </w:r>
      <w:r>
        <w:rPr>
          <w:rFonts w:ascii="Verdana" w:hAnsi="Verdana"/>
          <w:sz w:val="18"/>
          <w:szCs w:val="18"/>
        </w:rPr>
        <w:t>het voorliggende OCCAR-Beveiligings</w:t>
      </w:r>
      <w:r w:rsidRPr="00F71DC5">
        <w:rPr>
          <w:rFonts w:ascii="Verdana" w:hAnsi="Verdana"/>
          <w:sz w:val="18"/>
          <w:szCs w:val="18"/>
        </w:rPr>
        <w:t>verdrag regelen uitsluitend de verplichtingen</w:t>
      </w:r>
      <w:r>
        <w:rPr>
          <w:rFonts w:ascii="Verdana" w:hAnsi="Verdana"/>
          <w:sz w:val="18"/>
          <w:szCs w:val="18"/>
        </w:rPr>
        <w:t xml:space="preserve"> van</w:t>
      </w:r>
      <w:r w:rsidRPr="00F71DC5">
        <w:rPr>
          <w:rFonts w:ascii="Verdana" w:hAnsi="Verdana"/>
          <w:sz w:val="18"/>
          <w:szCs w:val="18"/>
        </w:rPr>
        <w:t xml:space="preserve"> </w:t>
      </w:r>
      <w:r>
        <w:rPr>
          <w:rFonts w:ascii="Verdana" w:hAnsi="Verdana"/>
          <w:sz w:val="18"/>
          <w:szCs w:val="18"/>
        </w:rPr>
        <w:t>OCCAR-</w:t>
      </w:r>
      <w:r w:rsidRPr="00F71DC5">
        <w:rPr>
          <w:rFonts w:ascii="Verdana" w:hAnsi="Verdana"/>
          <w:sz w:val="18"/>
          <w:szCs w:val="18"/>
        </w:rPr>
        <w:t>lidstaten</w:t>
      </w:r>
      <w:r>
        <w:rPr>
          <w:rFonts w:ascii="Verdana" w:hAnsi="Verdana"/>
          <w:sz w:val="18"/>
          <w:szCs w:val="18"/>
        </w:rPr>
        <w:t xml:space="preserve"> onderling</w:t>
      </w:r>
      <w:r w:rsidRPr="00F71DC5">
        <w:rPr>
          <w:rFonts w:ascii="Verdana" w:hAnsi="Verdana"/>
          <w:sz w:val="18"/>
          <w:szCs w:val="18"/>
        </w:rPr>
        <w:t xml:space="preserve">. </w:t>
      </w:r>
    </w:p>
    <w:p w:rsidRPr="00EA7078" w:rsidR="009E77A9" w:rsidP="00EA7078" w:rsidRDefault="004163DC" w14:paraId="1F2F29D6" w14:textId="3A675014">
      <w:pPr>
        <w:pStyle w:val="ListParagraph"/>
        <w:numPr>
          <w:ilvl w:val="2"/>
          <w:numId w:val="13"/>
        </w:numPr>
        <w:jc w:val="both"/>
        <w:rPr>
          <w:rFonts w:ascii="Verdana" w:hAnsi="Verdana"/>
          <w:bCs/>
          <w:sz w:val="18"/>
          <w:szCs w:val="18"/>
        </w:rPr>
      </w:pPr>
      <w:r w:rsidRPr="00EA7078">
        <w:rPr>
          <w:rFonts w:ascii="Verdana" w:hAnsi="Verdana"/>
          <w:bCs/>
          <w:sz w:val="18"/>
          <w:szCs w:val="18"/>
        </w:rPr>
        <w:t>G</w:t>
      </w:r>
      <w:r w:rsidRPr="00EA7078" w:rsidR="009E77A9">
        <w:rPr>
          <w:rFonts w:ascii="Verdana" w:hAnsi="Verdana"/>
          <w:bCs/>
          <w:sz w:val="18"/>
          <w:szCs w:val="18"/>
        </w:rPr>
        <w:t>eschil</w:t>
      </w:r>
      <w:r w:rsidR="00231A87">
        <w:rPr>
          <w:rFonts w:ascii="Verdana" w:hAnsi="Verdana"/>
          <w:bCs/>
          <w:sz w:val="18"/>
          <w:szCs w:val="18"/>
        </w:rPr>
        <w:t>len</w:t>
      </w:r>
      <w:r w:rsidRPr="00EA7078" w:rsidR="009E77A9">
        <w:rPr>
          <w:rFonts w:ascii="Verdana" w:hAnsi="Verdana"/>
          <w:bCs/>
          <w:sz w:val="18"/>
          <w:szCs w:val="18"/>
        </w:rPr>
        <w:t>beslechting</w:t>
      </w:r>
    </w:p>
    <w:p w:rsidRPr="00F71DC5" w:rsidR="00F64907" w:rsidP="003B7EFC" w:rsidRDefault="00ED5ADD" w14:paraId="7E9A63E6" w14:textId="2F55785B">
      <w:pPr>
        <w:jc w:val="both"/>
        <w:rPr>
          <w:rFonts w:ascii="Verdana" w:hAnsi="Verdana"/>
          <w:sz w:val="18"/>
          <w:szCs w:val="18"/>
        </w:rPr>
      </w:pPr>
      <w:r>
        <w:rPr>
          <w:rFonts w:ascii="Verdana" w:hAnsi="Verdana"/>
          <w:sz w:val="18"/>
          <w:szCs w:val="18"/>
        </w:rPr>
        <w:t xml:space="preserve">In </w:t>
      </w:r>
      <w:r w:rsidR="00A90C1B">
        <w:rPr>
          <w:rFonts w:ascii="Verdana" w:hAnsi="Verdana"/>
          <w:sz w:val="18"/>
          <w:szCs w:val="18"/>
        </w:rPr>
        <w:t xml:space="preserve">het eerste </w:t>
      </w:r>
      <w:r>
        <w:rPr>
          <w:rFonts w:ascii="Verdana" w:hAnsi="Verdana"/>
          <w:sz w:val="18"/>
          <w:szCs w:val="18"/>
        </w:rPr>
        <w:t xml:space="preserve">lid van artikel 10 OCCAR-Beveiligingsverdrag is opgenomen dat geschillen over de uitleg of toepassing van het </w:t>
      </w:r>
      <w:r w:rsidR="00662B16">
        <w:rPr>
          <w:rFonts w:ascii="Verdana" w:hAnsi="Verdana"/>
          <w:sz w:val="18"/>
          <w:szCs w:val="18"/>
        </w:rPr>
        <w:t>OCCAR-Beveiligingsverdrag</w:t>
      </w:r>
      <w:r>
        <w:rPr>
          <w:rFonts w:ascii="Verdana" w:hAnsi="Verdana"/>
          <w:sz w:val="18"/>
          <w:szCs w:val="18"/>
        </w:rPr>
        <w:t xml:space="preserve"> op basis van consultatie tussen partijen </w:t>
      </w:r>
      <w:r>
        <w:rPr>
          <w:rFonts w:ascii="Verdana" w:hAnsi="Verdana"/>
          <w:sz w:val="18"/>
          <w:szCs w:val="18"/>
        </w:rPr>
        <w:lastRenderedPageBreak/>
        <w:t xml:space="preserve">moeten worden beslecht. </w:t>
      </w:r>
      <w:r w:rsidRPr="00F71DC5" w:rsidR="009E77A9">
        <w:rPr>
          <w:rFonts w:ascii="Verdana" w:hAnsi="Verdana"/>
          <w:sz w:val="18"/>
          <w:szCs w:val="18"/>
        </w:rPr>
        <w:t xml:space="preserve">Het is gebruikelijk om in beveiligingsverdragen op te nemen dat eventuele geschillen niet worden voorgelegd aan een rechter, maar uitsluitend in onderling overleg kunnen worden beslecht. </w:t>
      </w:r>
      <w:r>
        <w:rPr>
          <w:rFonts w:ascii="Verdana" w:hAnsi="Verdana"/>
          <w:sz w:val="18"/>
          <w:szCs w:val="18"/>
        </w:rPr>
        <w:t xml:space="preserve">In </w:t>
      </w:r>
      <w:r w:rsidR="00A90C1B">
        <w:rPr>
          <w:rFonts w:ascii="Verdana" w:hAnsi="Verdana"/>
          <w:sz w:val="18"/>
          <w:szCs w:val="18"/>
        </w:rPr>
        <w:t xml:space="preserve">het tweede </w:t>
      </w:r>
      <w:r>
        <w:rPr>
          <w:rFonts w:ascii="Verdana" w:hAnsi="Verdana"/>
          <w:sz w:val="18"/>
          <w:szCs w:val="18"/>
        </w:rPr>
        <w:t>lid van artikel 10 is daarnaast nog opgenomen dat e</w:t>
      </w:r>
      <w:r w:rsidRPr="00F71DC5" w:rsidR="009E77A9">
        <w:rPr>
          <w:rFonts w:ascii="Verdana" w:hAnsi="Verdana"/>
          <w:sz w:val="18"/>
          <w:szCs w:val="18"/>
        </w:rPr>
        <w:t xml:space="preserve">en geschil geen beletsel </w:t>
      </w:r>
      <w:r>
        <w:rPr>
          <w:rFonts w:ascii="Verdana" w:hAnsi="Verdana"/>
          <w:sz w:val="18"/>
          <w:szCs w:val="18"/>
        </w:rPr>
        <w:t xml:space="preserve">kan </w:t>
      </w:r>
      <w:r w:rsidRPr="00F71DC5" w:rsidR="009E77A9">
        <w:rPr>
          <w:rFonts w:ascii="Verdana" w:hAnsi="Verdana"/>
          <w:sz w:val="18"/>
          <w:szCs w:val="18"/>
        </w:rPr>
        <w:t xml:space="preserve">vormen voor </w:t>
      </w:r>
      <w:r>
        <w:rPr>
          <w:rFonts w:ascii="Verdana" w:hAnsi="Verdana"/>
          <w:sz w:val="18"/>
          <w:szCs w:val="18"/>
        </w:rPr>
        <w:t>de</w:t>
      </w:r>
      <w:r w:rsidRPr="00F71DC5">
        <w:rPr>
          <w:rFonts w:ascii="Verdana" w:hAnsi="Verdana"/>
          <w:sz w:val="18"/>
          <w:szCs w:val="18"/>
        </w:rPr>
        <w:t xml:space="preserve"> </w:t>
      </w:r>
      <w:r w:rsidRPr="00F71DC5" w:rsidR="009E77A9">
        <w:rPr>
          <w:rFonts w:ascii="Verdana" w:hAnsi="Verdana"/>
          <w:sz w:val="18"/>
          <w:szCs w:val="18"/>
        </w:rPr>
        <w:t>nalev</w:t>
      </w:r>
      <w:r>
        <w:rPr>
          <w:rFonts w:ascii="Verdana" w:hAnsi="Verdana"/>
          <w:sz w:val="18"/>
          <w:szCs w:val="18"/>
        </w:rPr>
        <w:t>ing</w:t>
      </w:r>
      <w:r w:rsidRPr="00F71DC5" w:rsidR="009E77A9">
        <w:rPr>
          <w:rFonts w:ascii="Verdana" w:hAnsi="Verdana"/>
          <w:sz w:val="18"/>
          <w:szCs w:val="18"/>
        </w:rPr>
        <w:t xml:space="preserve"> van de verplichtingen uit hoofde van dit verdrag. Dat wil zeggen dat lidstaten de naleving niet kunnen opschorten vanwege (vermeende) niet-naleving van het verdrag door een andere lidstaat. </w:t>
      </w:r>
    </w:p>
    <w:p w:rsidRPr="006C7284" w:rsidR="003650F0" w:rsidP="00A662BC" w:rsidRDefault="007A7A15" w14:paraId="7944AFE9" w14:textId="038F344E">
      <w:pPr>
        <w:pStyle w:val="ListParagraph"/>
        <w:numPr>
          <w:ilvl w:val="2"/>
          <w:numId w:val="13"/>
        </w:numPr>
        <w:jc w:val="both"/>
        <w:rPr>
          <w:rFonts w:ascii="Verdana" w:hAnsi="Verdana"/>
          <w:bCs/>
          <w:sz w:val="18"/>
          <w:szCs w:val="18"/>
        </w:rPr>
      </w:pPr>
      <w:r w:rsidRPr="006C7284">
        <w:rPr>
          <w:rFonts w:ascii="Verdana" w:hAnsi="Verdana"/>
          <w:bCs/>
          <w:sz w:val="18"/>
          <w:szCs w:val="18"/>
        </w:rPr>
        <w:t>In</w:t>
      </w:r>
      <w:r w:rsidRPr="006C7284" w:rsidR="006C7284">
        <w:rPr>
          <w:rFonts w:ascii="Verdana" w:hAnsi="Verdana"/>
          <w:bCs/>
          <w:sz w:val="18"/>
          <w:szCs w:val="18"/>
        </w:rPr>
        <w:t>werkingtreding, t</w:t>
      </w:r>
      <w:r w:rsidRPr="006C7284" w:rsidR="009E77A9">
        <w:rPr>
          <w:rFonts w:ascii="Verdana" w:hAnsi="Verdana"/>
          <w:bCs/>
          <w:sz w:val="18"/>
          <w:szCs w:val="18"/>
        </w:rPr>
        <w:t>oe</w:t>
      </w:r>
      <w:r w:rsidRPr="006C7284" w:rsidR="006C7284">
        <w:rPr>
          <w:rFonts w:ascii="Verdana" w:hAnsi="Verdana"/>
          <w:bCs/>
          <w:sz w:val="18"/>
          <w:szCs w:val="18"/>
        </w:rPr>
        <w:t>- en uit</w:t>
      </w:r>
      <w:r w:rsidRPr="006C7284" w:rsidR="00231A87">
        <w:rPr>
          <w:rFonts w:ascii="Verdana" w:hAnsi="Verdana"/>
          <w:bCs/>
          <w:sz w:val="18"/>
          <w:szCs w:val="18"/>
        </w:rPr>
        <w:t>treding</w:t>
      </w:r>
      <w:r w:rsidR="00AA205E">
        <w:rPr>
          <w:rFonts w:ascii="Verdana" w:hAnsi="Verdana"/>
          <w:bCs/>
          <w:sz w:val="18"/>
          <w:szCs w:val="18"/>
        </w:rPr>
        <w:t>, en wijziging</w:t>
      </w:r>
      <w:r w:rsidRPr="006C7284" w:rsidR="00231A87">
        <w:rPr>
          <w:rFonts w:ascii="Verdana" w:hAnsi="Verdana"/>
          <w:bCs/>
          <w:sz w:val="18"/>
          <w:szCs w:val="18"/>
        </w:rPr>
        <w:t xml:space="preserve"> van het</w:t>
      </w:r>
      <w:r w:rsidRPr="006C7284" w:rsidR="009E77A9">
        <w:rPr>
          <w:rFonts w:ascii="Verdana" w:hAnsi="Verdana"/>
          <w:bCs/>
          <w:sz w:val="18"/>
          <w:szCs w:val="18"/>
        </w:rPr>
        <w:t xml:space="preserve"> OCCAR</w:t>
      </w:r>
      <w:r w:rsidRPr="006C7284" w:rsidR="00231A87">
        <w:rPr>
          <w:rFonts w:ascii="Verdana" w:hAnsi="Verdana"/>
          <w:bCs/>
          <w:sz w:val="18"/>
          <w:szCs w:val="18"/>
        </w:rPr>
        <w:t>-</w:t>
      </w:r>
      <w:r w:rsidR="00F64907">
        <w:rPr>
          <w:rFonts w:ascii="Verdana" w:hAnsi="Verdana"/>
          <w:bCs/>
          <w:sz w:val="18"/>
          <w:szCs w:val="18"/>
        </w:rPr>
        <w:t>Beveiligingsverdrag</w:t>
      </w:r>
    </w:p>
    <w:p w:rsidRPr="00F71DC5" w:rsidR="009E77A9" w:rsidP="003B7EFC" w:rsidRDefault="009E77A9" w14:paraId="259DF60E" w14:textId="26AA2DB4">
      <w:pPr>
        <w:jc w:val="both"/>
        <w:rPr>
          <w:rFonts w:ascii="Verdana" w:hAnsi="Verdana"/>
          <w:sz w:val="18"/>
          <w:szCs w:val="18"/>
        </w:rPr>
      </w:pPr>
      <w:r w:rsidRPr="00F71DC5">
        <w:rPr>
          <w:rFonts w:ascii="Verdana" w:hAnsi="Verdana"/>
          <w:sz w:val="18"/>
          <w:szCs w:val="18"/>
        </w:rPr>
        <w:t>Artikel 9 regelt de inwerkingtreding</w:t>
      </w:r>
      <w:r w:rsidR="00935C03">
        <w:rPr>
          <w:rFonts w:ascii="Verdana" w:hAnsi="Verdana"/>
          <w:sz w:val="18"/>
          <w:szCs w:val="18"/>
        </w:rPr>
        <w:t>,</w:t>
      </w:r>
      <w:r w:rsidR="00F64907">
        <w:rPr>
          <w:rFonts w:ascii="Verdana" w:hAnsi="Verdana"/>
          <w:sz w:val="18"/>
          <w:szCs w:val="18"/>
        </w:rPr>
        <w:t xml:space="preserve"> </w:t>
      </w:r>
      <w:r w:rsidRPr="00935C03" w:rsidR="00935C03">
        <w:rPr>
          <w:rFonts w:ascii="Verdana" w:hAnsi="Verdana"/>
          <w:sz w:val="18"/>
          <w:szCs w:val="18"/>
        </w:rPr>
        <w:t xml:space="preserve">toetreding en het proces tot wijziging </w:t>
      </w:r>
      <w:r w:rsidRPr="00F71DC5">
        <w:rPr>
          <w:rFonts w:ascii="Verdana" w:hAnsi="Verdana"/>
          <w:sz w:val="18"/>
          <w:szCs w:val="18"/>
        </w:rPr>
        <w:t>van het OCCAR-</w:t>
      </w:r>
      <w:r w:rsidR="00A60031">
        <w:rPr>
          <w:rFonts w:ascii="Verdana" w:hAnsi="Verdana"/>
          <w:sz w:val="18"/>
          <w:szCs w:val="18"/>
        </w:rPr>
        <w:t>B</w:t>
      </w:r>
      <w:r w:rsidRPr="00F71DC5" w:rsidR="00A60031">
        <w:rPr>
          <w:rFonts w:ascii="Verdana" w:hAnsi="Verdana"/>
          <w:sz w:val="18"/>
          <w:szCs w:val="18"/>
        </w:rPr>
        <w:t>eveiligings</w:t>
      </w:r>
      <w:r w:rsidR="000E4138">
        <w:rPr>
          <w:rFonts w:ascii="Verdana" w:hAnsi="Verdana"/>
          <w:sz w:val="18"/>
          <w:szCs w:val="18"/>
        </w:rPr>
        <w:t>verdrag</w:t>
      </w:r>
      <w:r w:rsidRPr="00F71DC5">
        <w:rPr>
          <w:rFonts w:ascii="Verdana" w:hAnsi="Verdana"/>
          <w:sz w:val="18"/>
          <w:szCs w:val="18"/>
        </w:rPr>
        <w:t xml:space="preserve">. </w:t>
      </w:r>
      <w:r w:rsidR="001B17BC">
        <w:rPr>
          <w:rFonts w:ascii="Verdana" w:hAnsi="Verdana"/>
          <w:sz w:val="18"/>
          <w:szCs w:val="18"/>
        </w:rPr>
        <w:t xml:space="preserve">De Regering van de </w:t>
      </w:r>
      <w:r w:rsidR="00C04C32">
        <w:rPr>
          <w:rFonts w:ascii="Verdana" w:hAnsi="Verdana"/>
          <w:sz w:val="18"/>
          <w:szCs w:val="18"/>
        </w:rPr>
        <w:t>Fran</w:t>
      </w:r>
      <w:r w:rsidR="001B17BC">
        <w:rPr>
          <w:rFonts w:ascii="Verdana" w:hAnsi="Verdana"/>
          <w:sz w:val="18"/>
          <w:szCs w:val="18"/>
        </w:rPr>
        <w:t xml:space="preserve">se Republiek </w:t>
      </w:r>
      <w:r w:rsidR="00C04C32">
        <w:rPr>
          <w:rFonts w:ascii="Verdana" w:hAnsi="Verdana"/>
          <w:sz w:val="18"/>
          <w:szCs w:val="18"/>
        </w:rPr>
        <w:t xml:space="preserve">is </w:t>
      </w:r>
      <w:r w:rsidR="00935C03">
        <w:rPr>
          <w:rFonts w:ascii="Verdana" w:hAnsi="Verdana"/>
          <w:sz w:val="18"/>
          <w:szCs w:val="18"/>
        </w:rPr>
        <w:t xml:space="preserve">aangewezen als </w:t>
      </w:r>
      <w:r w:rsidR="00C04C32">
        <w:rPr>
          <w:rFonts w:ascii="Verdana" w:hAnsi="Verdana"/>
          <w:sz w:val="18"/>
          <w:szCs w:val="18"/>
        </w:rPr>
        <w:t>de</w:t>
      </w:r>
      <w:r w:rsidRPr="006C7284" w:rsidR="006C7284">
        <w:rPr>
          <w:rFonts w:ascii="Verdana" w:hAnsi="Verdana"/>
          <w:sz w:val="18"/>
          <w:szCs w:val="18"/>
        </w:rPr>
        <w:t xml:space="preserve"> depositaris</w:t>
      </w:r>
      <w:r w:rsidR="00935C03">
        <w:rPr>
          <w:rFonts w:ascii="Verdana" w:hAnsi="Verdana"/>
          <w:sz w:val="18"/>
          <w:szCs w:val="18"/>
        </w:rPr>
        <w:t xml:space="preserve"> van het OCCAR-Beveiligingsverdrag</w:t>
      </w:r>
      <w:r w:rsidR="00A90C1B">
        <w:rPr>
          <w:rFonts w:ascii="Verdana" w:hAnsi="Verdana"/>
          <w:sz w:val="18"/>
          <w:szCs w:val="18"/>
        </w:rPr>
        <w:t>.</w:t>
      </w:r>
      <w:r w:rsidR="00183739">
        <w:rPr>
          <w:rFonts w:ascii="Verdana" w:hAnsi="Verdana"/>
          <w:sz w:val="18"/>
          <w:szCs w:val="18"/>
        </w:rPr>
        <w:t xml:space="preserve"> De bepalingen van het OCCAR-Beveiligingsverdrag zijn op grond van dit artikel op 17 juni 2006 in werking getreden. </w:t>
      </w:r>
    </w:p>
    <w:p w:rsidRPr="00F71DC5" w:rsidR="009E77A9" w:rsidP="003B7EFC" w:rsidRDefault="009E77A9" w14:paraId="37F548C2" w14:textId="1D500F8F">
      <w:pPr>
        <w:jc w:val="both"/>
        <w:rPr>
          <w:rFonts w:ascii="Verdana" w:hAnsi="Verdana"/>
          <w:sz w:val="18"/>
          <w:szCs w:val="18"/>
        </w:rPr>
      </w:pPr>
      <w:r w:rsidRPr="00F71DC5">
        <w:rPr>
          <w:rFonts w:ascii="Verdana" w:hAnsi="Verdana"/>
          <w:sz w:val="18"/>
          <w:szCs w:val="18"/>
        </w:rPr>
        <w:t>Uit de artikelen 11 en 12 blijkt de verbondenheid tussen het OCCAR-</w:t>
      </w:r>
      <w:r w:rsidR="00A60031">
        <w:rPr>
          <w:rFonts w:ascii="Verdana" w:hAnsi="Verdana"/>
          <w:sz w:val="18"/>
          <w:szCs w:val="18"/>
        </w:rPr>
        <w:t>B</w:t>
      </w:r>
      <w:r w:rsidRPr="00F71DC5" w:rsidR="00A60031">
        <w:rPr>
          <w:rFonts w:ascii="Verdana" w:hAnsi="Verdana"/>
          <w:sz w:val="18"/>
          <w:szCs w:val="18"/>
        </w:rPr>
        <w:t>eveiligings</w:t>
      </w:r>
      <w:r w:rsidR="000E4138">
        <w:rPr>
          <w:rFonts w:ascii="Verdana" w:hAnsi="Verdana"/>
          <w:sz w:val="18"/>
          <w:szCs w:val="18"/>
        </w:rPr>
        <w:t>verdrag</w:t>
      </w:r>
      <w:r w:rsidRPr="00F71DC5" w:rsidR="00A60031">
        <w:rPr>
          <w:rFonts w:ascii="Verdana" w:hAnsi="Verdana"/>
          <w:sz w:val="18"/>
          <w:szCs w:val="18"/>
        </w:rPr>
        <w:t xml:space="preserve"> </w:t>
      </w:r>
      <w:r w:rsidRPr="00F71DC5">
        <w:rPr>
          <w:rFonts w:ascii="Verdana" w:hAnsi="Verdana"/>
          <w:sz w:val="18"/>
          <w:szCs w:val="18"/>
        </w:rPr>
        <w:t>en het OCCAR-</w:t>
      </w:r>
      <w:r w:rsidR="00093492">
        <w:rPr>
          <w:rFonts w:ascii="Verdana" w:hAnsi="Verdana"/>
          <w:sz w:val="18"/>
          <w:szCs w:val="18"/>
        </w:rPr>
        <w:t>V</w:t>
      </w:r>
      <w:r w:rsidRPr="00F71DC5">
        <w:rPr>
          <w:rFonts w:ascii="Verdana" w:hAnsi="Verdana"/>
          <w:sz w:val="18"/>
          <w:szCs w:val="18"/>
        </w:rPr>
        <w:t>erdrag. Het is op grond van artikel 11 niet mogelijk om toe te treden tot het OCCAR-</w:t>
      </w:r>
      <w:r w:rsidR="00E13256">
        <w:rPr>
          <w:rFonts w:ascii="Verdana" w:hAnsi="Verdana"/>
          <w:sz w:val="18"/>
          <w:szCs w:val="18"/>
        </w:rPr>
        <w:t>V</w:t>
      </w:r>
      <w:r w:rsidRPr="00F71DC5">
        <w:rPr>
          <w:rFonts w:ascii="Verdana" w:hAnsi="Verdana"/>
          <w:sz w:val="18"/>
          <w:szCs w:val="18"/>
        </w:rPr>
        <w:t xml:space="preserve">erdrag zonder tegelijkertijd toe te treden tot </w:t>
      </w:r>
      <w:r w:rsidR="00231A87">
        <w:rPr>
          <w:rFonts w:ascii="Verdana" w:hAnsi="Verdana"/>
          <w:sz w:val="18"/>
          <w:szCs w:val="18"/>
        </w:rPr>
        <w:t>het</w:t>
      </w:r>
      <w:r w:rsidRPr="00F71DC5">
        <w:rPr>
          <w:rFonts w:ascii="Verdana" w:hAnsi="Verdana"/>
          <w:sz w:val="18"/>
          <w:szCs w:val="18"/>
        </w:rPr>
        <w:t xml:space="preserve"> OCCAR-</w:t>
      </w:r>
      <w:r w:rsidR="00A60031">
        <w:rPr>
          <w:rFonts w:ascii="Verdana" w:hAnsi="Verdana"/>
          <w:sz w:val="18"/>
          <w:szCs w:val="18"/>
        </w:rPr>
        <w:t>B</w:t>
      </w:r>
      <w:r w:rsidRPr="00F71DC5" w:rsidR="00A60031">
        <w:rPr>
          <w:rFonts w:ascii="Verdana" w:hAnsi="Verdana"/>
          <w:sz w:val="18"/>
          <w:szCs w:val="18"/>
        </w:rPr>
        <w:t>eveiligings</w:t>
      </w:r>
      <w:r w:rsidR="000E4138">
        <w:rPr>
          <w:rFonts w:ascii="Verdana" w:hAnsi="Verdana"/>
          <w:sz w:val="18"/>
          <w:szCs w:val="18"/>
        </w:rPr>
        <w:t>verdrag</w:t>
      </w:r>
      <w:r w:rsidRPr="00F71DC5">
        <w:rPr>
          <w:rFonts w:ascii="Verdana" w:hAnsi="Verdana"/>
          <w:sz w:val="18"/>
          <w:szCs w:val="18"/>
        </w:rPr>
        <w:t xml:space="preserve">. Op dezelfde manier is het op grond van artikel 12 niet mogelijk </w:t>
      </w:r>
      <w:r w:rsidR="00231A87">
        <w:rPr>
          <w:rFonts w:ascii="Verdana" w:hAnsi="Verdana"/>
          <w:sz w:val="18"/>
          <w:szCs w:val="18"/>
        </w:rPr>
        <w:t>het</w:t>
      </w:r>
      <w:r w:rsidRPr="00F71DC5">
        <w:rPr>
          <w:rFonts w:ascii="Verdana" w:hAnsi="Verdana"/>
          <w:sz w:val="18"/>
          <w:szCs w:val="18"/>
        </w:rPr>
        <w:t xml:space="preserve"> </w:t>
      </w:r>
      <w:r w:rsidR="00231A87">
        <w:rPr>
          <w:rFonts w:ascii="Verdana" w:hAnsi="Verdana"/>
          <w:sz w:val="18"/>
          <w:szCs w:val="18"/>
        </w:rPr>
        <w:t>OCCAR-Beveiligings</w:t>
      </w:r>
      <w:r w:rsidRPr="00F71DC5">
        <w:rPr>
          <w:rFonts w:ascii="Verdana" w:hAnsi="Verdana"/>
          <w:sz w:val="18"/>
          <w:szCs w:val="18"/>
        </w:rPr>
        <w:t>verdrag</w:t>
      </w:r>
      <w:r w:rsidR="00231A87">
        <w:rPr>
          <w:rFonts w:ascii="Verdana" w:hAnsi="Verdana"/>
          <w:sz w:val="18"/>
          <w:szCs w:val="18"/>
        </w:rPr>
        <w:t xml:space="preserve"> op</w:t>
      </w:r>
      <w:r w:rsidRPr="00F71DC5">
        <w:rPr>
          <w:rFonts w:ascii="Verdana" w:hAnsi="Verdana"/>
          <w:sz w:val="18"/>
          <w:szCs w:val="18"/>
        </w:rPr>
        <w:t xml:space="preserve"> te </w:t>
      </w:r>
      <w:r w:rsidR="00231A87">
        <w:rPr>
          <w:rFonts w:ascii="Verdana" w:hAnsi="Verdana"/>
          <w:sz w:val="18"/>
          <w:szCs w:val="18"/>
        </w:rPr>
        <w:t>zeggen</w:t>
      </w:r>
      <w:r w:rsidRPr="00F71DC5">
        <w:rPr>
          <w:rFonts w:ascii="Verdana" w:hAnsi="Verdana"/>
          <w:sz w:val="18"/>
          <w:szCs w:val="18"/>
        </w:rPr>
        <w:t xml:space="preserve"> zonder ook het </w:t>
      </w:r>
      <w:r w:rsidR="0088119B">
        <w:rPr>
          <w:rFonts w:ascii="Verdana" w:hAnsi="Verdana"/>
          <w:sz w:val="18"/>
          <w:szCs w:val="18"/>
        </w:rPr>
        <w:t xml:space="preserve">OCCAR-Verdrag en daarmee het </w:t>
      </w:r>
      <w:r w:rsidRPr="00F71DC5">
        <w:rPr>
          <w:rFonts w:ascii="Verdana" w:hAnsi="Verdana"/>
          <w:sz w:val="18"/>
          <w:szCs w:val="18"/>
        </w:rPr>
        <w:t xml:space="preserve">lidmaatschap van OCCAR op te zeggen en </w:t>
      </w:r>
      <w:proofErr w:type="spellStart"/>
      <w:r w:rsidRPr="00EB10C4">
        <w:rPr>
          <w:rFonts w:ascii="Verdana" w:hAnsi="Verdana"/>
          <w:sz w:val="18"/>
          <w:szCs w:val="18"/>
        </w:rPr>
        <w:t>vice</w:t>
      </w:r>
      <w:proofErr w:type="spellEnd"/>
      <w:r w:rsidRPr="00EB10C4">
        <w:rPr>
          <w:rFonts w:ascii="Verdana" w:hAnsi="Verdana"/>
          <w:sz w:val="18"/>
          <w:szCs w:val="18"/>
        </w:rPr>
        <w:t xml:space="preserve"> versa</w:t>
      </w:r>
      <w:r w:rsidRPr="00F71DC5">
        <w:rPr>
          <w:rFonts w:ascii="Verdana" w:hAnsi="Verdana"/>
          <w:sz w:val="18"/>
          <w:szCs w:val="18"/>
        </w:rPr>
        <w:t xml:space="preserve">. Alleen zo kan de goede werking van OCCAR, waar in de regel in de meeste projecten gerubriceerde informatie wordt uitgewisseld, worden gegarandeerd. </w:t>
      </w:r>
      <w:r w:rsidR="00183739">
        <w:rPr>
          <w:rFonts w:ascii="Verdana" w:hAnsi="Verdana"/>
          <w:sz w:val="18"/>
          <w:szCs w:val="18"/>
        </w:rPr>
        <w:t xml:space="preserve">Op grond van artikel 11, tweede lid, treedt het OCCAR-Beveiligingsverdrag voor nieuwe lidstaten </w:t>
      </w:r>
      <w:r w:rsidR="00482907">
        <w:rPr>
          <w:rFonts w:ascii="Verdana" w:hAnsi="Verdana"/>
          <w:sz w:val="18"/>
          <w:szCs w:val="18"/>
        </w:rPr>
        <w:t xml:space="preserve">in werking </w:t>
      </w:r>
      <w:r w:rsidR="00183739">
        <w:rPr>
          <w:rFonts w:ascii="Verdana" w:hAnsi="Verdana"/>
          <w:sz w:val="18"/>
          <w:szCs w:val="18"/>
        </w:rPr>
        <w:t xml:space="preserve">op de dag dat het OCCAR-Verdrag voor </w:t>
      </w:r>
      <w:r w:rsidR="00482907">
        <w:rPr>
          <w:rFonts w:ascii="Verdana" w:hAnsi="Verdana"/>
          <w:sz w:val="18"/>
          <w:szCs w:val="18"/>
        </w:rPr>
        <w:t>de</w:t>
      </w:r>
      <w:r w:rsidR="00183739">
        <w:rPr>
          <w:rFonts w:ascii="Verdana" w:hAnsi="Verdana"/>
          <w:sz w:val="18"/>
          <w:szCs w:val="18"/>
        </w:rPr>
        <w:t xml:space="preserve"> nieuwe lid</w:t>
      </w:r>
      <w:r w:rsidR="00482907">
        <w:rPr>
          <w:rFonts w:ascii="Verdana" w:hAnsi="Verdana"/>
          <w:sz w:val="18"/>
          <w:szCs w:val="18"/>
        </w:rPr>
        <w:t xml:space="preserve">staat </w:t>
      </w:r>
      <w:r w:rsidR="00183739">
        <w:rPr>
          <w:rFonts w:ascii="Verdana" w:hAnsi="Verdana"/>
          <w:sz w:val="18"/>
          <w:szCs w:val="18"/>
        </w:rPr>
        <w:t>in werking treedt.</w:t>
      </w:r>
    </w:p>
    <w:p w:rsidRPr="006B1DC3" w:rsidR="006C7284" w:rsidP="00DD4A74" w:rsidRDefault="009E77A9" w14:paraId="52F97A86" w14:textId="5A2618CB">
      <w:pPr>
        <w:pStyle w:val="ListParagraph"/>
        <w:ind w:left="0"/>
        <w:jc w:val="both"/>
        <w:rPr>
          <w:rFonts w:ascii="Verdana" w:hAnsi="Verdana"/>
          <w:sz w:val="18"/>
          <w:szCs w:val="18"/>
        </w:rPr>
      </w:pPr>
      <w:r w:rsidRPr="00F71DC5">
        <w:rPr>
          <w:rFonts w:ascii="Verdana" w:hAnsi="Verdana"/>
          <w:sz w:val="18"/>
          <w:szCs w:val="18"/>
        </w:rPr>
        <w:t xml:space="preserve">Ook </w:t>
      </w:r>
      <w:r w:rsidR="00F64907">
        <w:rPr>
          <w:rFonts w:ascii="Verdana" w:hAnsi="Verdana"/>
          <w:sz w:val="18"/>
          <w:szCs w:val="18"/>
        </w:rPr>
        <w:t xml:space="preserve">wanneer een lidstaat geen lid meer is van </w:t>
      </w:r>
      <w:r w:rsidRPr="00F71DC5">
        <w:rPr>
          <w:rFonts w:ascii="Verdana" w:hAnsi="Verdana"/>
          <w:sz w:val="18"/>
          <w:szCs w:val="18"/>
        </w:rPr>
        <w:t xml:space="preserve">OCCAR </w:t>
      </w:r>
      <w:r w:rsidR="006B1DC3">
        <w:rPr>
          <w:rFonts w:ascii="Verdana" w:hAnsi="Verdana"/>
          <w:sz w:val="18"/>
          <w:szCs w:val="18"/>
        </w:rPr>
        <w:t xml:space="preserve">moet de voormalige lidstaat de </w:t>
      </w:r>
      <w:r w:rsidRPr="006B1DC3">
        <w:rPr>
          <w:rFonts w:ascii="Verdana" w:hAnsi="Verdana"/>
          <w:sz w:val="18"/>
          <w:szCs w:val="18"/>
        </w:rPr>
        <w:t xml:space="preserve">verplichtingen uit dit verdrag blijven naleven, bijvoorbeeld ten aanzien van gegevens die het land nog onder zich heeft. Ook op die manier wordt ervoor gezorgd dat de </w:t>
      </w:r>
      <w:r w:rsidRPr="006B1DC3" w:rsidR="003465B8">
        <w:rPr>
          <w:rFonts w:ascii="Verdana" w:hAnsi="Verdana"/>
          <w:sz w:val="18"/>
          <w:szCs w:val="18"/>
        </w:rPr>
        <w:t xml:space="preserve">adequate beveiliging </w:t>
      </w:r>
      <w:r w:rsidRPr="006B1DC3" w:rsidR="00F64907">
        <w:rPr>
          <w:rFonts w:ascii="Verdana" w:hAnsi="Verdana"/>
          <w:sz w:val="18"/>
          <w:szCs w:val="18"/>
        </w:rPr>
        <w:t xml:space="preserve">van informatie </w:t>
      </w:r>
      <w:r w:rsidRPr="006B1DC3">
        <w:rPr>
          <w:rFonts w:ascii="Verdana" w:hAnsi="Verdana"/>
          <w:sz w:val="18"/>
          <w:szCs w:val="18"/>
        </w:rPr>
        <w:t xml:space="preserve">bij </w:t>
      </w:r>
      <w:r w:rsidR="0088119B">
        <w:rPr>
          <w:rFonts w:ascii="Verdana" w:hAnsi="Verdana"/>
          <w:sz w:val="18"/>
          <w:szCs w:val="18"/>
        </w:rPr>
        <w:t>opzegging</w:t>
      </w:r>
      <w:r w:rsidRPr="006B1DC3" w:rsidR="003465B8">
        <w:rPr>
          <w:rFonts w:ascii="Verdana" w:hAnsi="Verdana"/>
          <w:sz w:val="18"/>
          <w:szCs w:val="18"/>
        </w:rPr>
        <w:t xml:space="preserve"> </w:t>
      </w:r>
      <w:r w:rsidRPr="006B1DC3">
        <w:rPr>
          <w:rFonts w:ascii="Verdana" w:hAnsi="Verdana"/>
          <w:sz w:val="18"/>
          <w:szCs w:val="18"/>
        </w:rPr>
        <w:t xml:space="preserve">niet in gevaar </w:t>
      </w:r>
      <w:r w:rsidR="005D7737">
        <w:rPr>
          <w:rFonts w:ascii="Verdana" w:hAnsi="Verdana"/>
          <w:sz w:val="18"/>
          <w:szCs w:val="18"/>
        </w:rPr>
        <w:t>komt</w:t>
      </w:r>
      <w:r w:rsidRPr="006B1DC3">
        <w:rPr>
          <w:rFonts w:ascii="Verdana" w:hAnsi="Verdana"/>
          <w:sz w:val="18"/>
          <w:szCs w:val="18"/>
        </w:rPr>
        <w:t xml:space="preserve">. </w:t>
      </w:r>
    </w:p>
    <w:p w:rsidRPr="006C7284" w:rsidR="006C7284" w:rsidP="006C7284" w:rsidRDefault="00D4780B" w14:paraId="47DE556C" w14:textId="49B9F68E">
      <w:pPr>
        <w:jc w:val="both"/>
        <w:rPr>
          <w:rFonts w:ascii="Verdana" w:hAnsi="Verdana"/>
          <w:sz w:val="18"/>
          <w:szCs w:val="18"/>
        </w:rPr>
      </w:pPr>
      <w:r>
        <w:rPr>
          <w:rFonts w:ascii="Verdana" w:hAnsi="Verdana"/>
          <w:sz w:val="18"/>
          <w:szCs w:val="18"/>
        </w:rPr>
        <w:t>Artikel 9, derde lid,</w:t>
      </w:r>
      <w:r w:rsidRPr="006C7284" w:rsidR="006C7284">
        <w:rPr>
          <w:rFonts w:ascii="Verdana" w:hAnsi="Verdana"/>
          <w:sz w:val="18"/>
          <w:szCs w:val="18"/>
        </w:rPr>
        <w:t xml:space="preserve"> regelt tot slot de </w:t>
      </w:r>
      <w:r w:rsidR="00B5067E">
        <w:rPr>
          <w:rFonts w:ascii="Verdana" w:hAnsi="Verdana"/>
          <w:sz w:val="18"/>
          <w:szCs w:val="18"/>
        </w:rPr>
        <w:t xml:space="preserve">procedure tot </w:t>
      </w:r>
      <w:r w:rsidRPr="006C7284" w:rsidR="006C7284">
        <w:rPr>
          <w:rFonts w:ascii="Verdana" w:hAnsi="Verdana"/>
          <w:sz w:val="18"/>
          <w:szCs w:val="18"/>
        </w:rPr>
        <w:t>wijziging van het OCCAR-</w:t>
      </w:r>
      <w:r w:rsidR="00A60031">
        <w:rPr>
          <w:rFonts w:ascii="Verdana" w:hAnsi="Verdana"/>
          <w:sz w:val="18"/>
          <w:szCs w:val="18"/>
        </w:rPr>
        <w:t>B</w:t>
      </w:r>
      <w:r w:rsidRPr="006C7284" w:rsidR="006C7284">
        <w:rPr>
          <w:rFonts w:ascii="Verdana" w:hAnsi="Verdana"/>
          <w:sz w:val="18"/>
          <w:szCs w:val="18"/>
        </w:rPr>
        <w:t xml:space="preserve">eveiligingsverdrag. </w:t>
      </w:r>
      <w:r w:rsidR="00B5067E">
        <w:rPr>
          <w:rFonts w:ascii="Verdana" w:hAnsi="Verdana"/>
          <w:sz w:val="18"/>
          <w:szCs w:val="18"/>
        </w:rPr>
        <w:t xml:space="preserve">Wijziging is </w:t>
      </w:r>
      <w:r w:rsidRPr="006C7284" w:rsidR="006C7284">
        <w:rPr>
          <w:rFonts w:ascii="Verdana" w:hAnsi="Verdana"/>
          <w:sz w:val="18"/>
          <w:szCs w:val="18"/>
        </w:rPr>
        <w:t>bijvoorbeeld</w:t>
      </w:r>
      <w:r w:rsidR="00B5067E">
        <w:rPr>
          <w:rFonts w:ascii="Verdana" w:hAnsi="Verdana"/>
          <w:sz w:val="18"/>
          <w:szCs w:val="18"/>
        </w:rPr>
        <w:t xml:space="preserve"> nodig</w:t>
      </w:r>
      <w:r w:rsidRPr="006C7284" w:rsidR="006C7284">
        <w:rPr>
          <w:rFonts w:ascii="Verdana" w:hAnsi="Verdana"/>
          <w:sz w:val="18"/>
          <w:szCs w:val="18"/>
        </w:rPr>
        <w:t xml:space="preserve"> indien de nationale rubricering</w:t>
      </w:r>
      <w:r w:rsidR="002D5098">
        <w:rPr>
          <w:rFonts w:ascii="Verdana" w:hAnsi="Verdana"/>
          <w:sz w:val="18"/>
          <w:szCs w:val="18"/>
        </w:rPr>
        <w:t>niveaus</w:t>
      </w:r>
      <w:r w:rsidRPr="006C7284" w:rsidR="006C7284">
        <w:rPr>
          <w:rFonts w:ascii="Verdana" w:hAnsi="Verdana"/>
          <w:sz w:val="18"/>
          <w:szCs w:val="18"/>
        </w:rPr>
        <w:t xml:space="preserve"> van verdragspartijen zijn aangepast waardoor de equivalentietabel</w:t>
      </w:r>
      <w:r w:rsidR="004F7C46">
        <w:rPr>
          <w:rFonts w:ascii="Verdana" w:hAnsi="Verdana"/>
          <w:sz w:val="18"/>
          <w:szCs w:val="18"/>
        </w:rPr>
        <w:t xml:space="preserve"> </w:t>
      </w:r>
      <w:r w:rsidRPr="006C7284" w:rsidR="006C7284">
        <w:rPr>
          <w:rFonts w:ascii="Verdana" w:hAnsi="Verdana"/>
          <w:sz w:val="18"/>
          <w:szCs w:val="18"/>
        </w:rPr>
        <w:t xml:space="preserve">niet meer aansluit bij de praktijk. </w:t>
      </w:r>
      <w:r w:rsidR="00B5067E">
        <w:rPr>
          <w:rFonts w:ascii="Verdana" w:hAnsi="Verdana"/>
          <w:sz w:val="18"/>
          <w:szCs w:val="18"/>
        </w:rPr>
        <w:t xml:space="preserve">Een wijzigingsverdrag dient op grond van artikel 9, derde lid, te worden bekrachtigd, aanvaard of goedgekeurd door alle verdragspartijen en treedt in werking </w:t>
      </w:r>
      <w:r w:rsidR="009900A3">
        <w:rPr>
          <w:rFonts w:ascii="Verdana" w:hAnsi="Verdana"/>
          <w:sz w:val="18"/>
          <w:szCs w:val="18"/>
        </w:rPr>
        <w:t>dertig</w:t>
      </w:r>
      <w:r w:rsidR="00B5067E">
        <w:rPr>
          <w:rFonts w:ascii="Verdana" w:hAnsi="Verdana"/>
          <w:sz w:val="18"/>
          <w:szCs w:val="18"/>
        </w:rPr>
        <w:t xml:space="preserve"> dagen nadat de depositaris de akten van bekrachtiging, aanvaarding of goedkeuring heeft ontvangen.</w:t>
      </w:r>
      <w:r w:rsidRPr="006C7284" w:rsidR="006C7284">
        <w:rPr>
          <w:rFonts w:ascii="Verdana" w:hAnsi="Verdana"/>
          <w:sz w:val="18"/>
          <w:szCs w:val="18"/>
        </w:rPr>
        <w:t xml:space="preserve"> </w:t>
      </w:r>
      <w:r w:rsidR="00B5067E">
        <w:rPr>
          <w:rFonts w:ascii="Verdana" w:hAnsi="Verdana"/>
          <w:sz w:val="18"/>
          <w:szCs w:val="18"/>
        </w:rPr>
        <w:t xml:space="preserve">Nieuwe partijen bij het OCCAR-Beveiligingsverdrag worden automatisch gebonden door de wijziging, zodra de wijziging van kracht is geworden. </w:t>
      </w:r>
    </w:p>
    <w:p w:rsidR="00B5067E" w:rsidP="006C7284" w:rsidRDefault="00B5067E" w14:paraId="583E0914" w14:textId="64DE03AD">
      <w:pPr>
        <w:jc w:val="both"/>
        <w:rPr>
          <w:rFonts w:ascii="Verdana" w:hAnsi="Verdana"/>
          <w:sz w:val="18"/>
          <w:szCs w:val="18"/>
        </w:rPr>
      </w:pPr>
      <w:r>
        <w:rPr>
          <w:rFonts w:ascii="Verdana" w:hAnsi="Verdana"/>
          <w:sz w:val="18"/>
          <w:szCs w:val="18"/>
        </w:rPr>
        <w:t xml:space="preserve">4.2.11 </w:t>
      </w:r>
      <w:r w:rsidR="0061352D">
        <w:rPr>
          <w:rFonts w:ascii="Verdana" w:hAnsi="Verdana"/>
          <w:sz w:val="18"/>
          <w:szCs w:val="18"/>
        </w:rPr>
        <w:t>W</w:t>
      </w:r>
      <w:r w:rsidR="00502F2C">
        <w:rPr>
          <w:rFonts w:ascii="Verdana" w:hAnsi="Verdana"/>
          <w:sz w:val="18"/>
          <w:szCs w:val="18"/>
        </w:rPr>
        <w:t>ijzigingsverdrag</w:t>
      </w:r>
    </w:p>
    <w:p w:rsidRPr="006C7284" w:rsidR="006C7284" w:rsidP="006C7284" w:rsidRDefault="00A34459" w14:paraId="377FFBE8" w14:textId="6231CADA">
      <w:pPr>
        <w:jc w:val="both"/>
        <w:rPr>
          <w:rFonts w:ascii="Verdana" w:hAnsi="Verdana"/>
          <w:sz w:val="18"/>
          <w:szCs w:val="18"/>
        </w:rPr>
      </w:pPr>
      <w:r>
        <w:rPr>
          <w:rFonts w:ascii="Verdana" w:hAnsi="Verdana"/>
          <w:sz w:val="18"/>
          <w:szCs w:val="18"/>
        </w:rPr>
        <w:t xml:space="preserve">Op 13 november 2025 is te Parijs een verdrag tot wijziging van het OCCAR-Beveiligingsverdrag tot stand gekomen. </w:t>
      </w:r>
    </w:p>
    <w:p w:rsidR="006C7284" w:rsidP="006C7284" w:rsidRDefault="0026582F" w14:paraId="45665756" w14:textId="20791299">
      <w:pPr>
        <w:jc w:val="both"/>
        <w:rPr>
          <w:rFonts w:ascii="Verdana" w:hAnsi="Verdana"/>
          <w:sz w:val="18"/>
          <w:szCs w:val="18"/>
        </w:rPr>
      </w:pPr>
      <w:r>
        <w:rPr>
          <w:rFonts w:ascii="Verdana" w:hAnsi="Verdana"/>
          <w:sz w:val="18"/>
          <w:szCs w:val="18"/>
        </w:rPr>
        <w:t xml:space="preserve">De </w:t>
      </w:r>
      <w:r w:rsidRPr="006C7284" w:rsidR="006C7284">
        <w:rPr>
          <w:rFonts w:ascii="Verdana" w:hAnsi="Verdana"/>
          <w:sz w:val="18"/>
          <w:szCs w:val="18"/>
        </w:rPr>
        <w:t>wijziging</w:t>
      </w:r>
      <w:r>
        <w:rPr>
          <w:rFonts w:ascii="Verdana" w:hAnsi="Verdana"/>
          <w:sz w:val="18"/>
          <w:szCs w:val="18"/>
        </w:rPr>
        <w:t xml:space="preserve"> van het</w:t>
      </w:r>
      <w:r w:rsidRPr="006C7284" w:rsidR="006C7284">
        <w:rPr>
          <w:rFonts w:ascii="Verdana" w:hAnsi="Verdana"/>
          <w:sz w:val="18"/>
          <w:szCs w:val="18"/>
        </w:rPr>
        <w:t xml:space="preserve"> OCCAR-</w:t>
      </w:r>
      <w:r w:rsidR="00B339CC">
        <w:rPr>
          <w:rFonts w:ascii="Verdana" w:hAnsi="Verdana"/>
          <w:sz w:val="18"/>
          <w:szCs w:val="18"/>
        </w:rPr>
        <w:t>B</w:t>
      </w:r>
      <w:r w:rsidRPr="006C7284" w:rsidR="006C7284">
        <w:rPr>
          <w:rFonts w:ascii="Verdana" w:hAnsi="Verdana"/>
          <w:sz w:val="18"/>
          <w:szCs w:val="18"/>
        </w:rPr>
        <w:t xml:space="preserve">eveiligingsverdrag </w:t>
      </w:r>
      <w:r w:rsidR="00A60031">
        <w:rPr>
          <w:rFonts w:ascii="Verdana" w:hAnsi="Verdana"/>
          <w:sz w:val="18"/>
          <w:szCs w:val="18"/>
        </w:rPr>
        <w:t xml:space="preserve">ziet </w:t>
      </w:r>
      <w:r w:rsidRPr="006C7284" w:rsidR="006C7284">
        <w:rPr>
          <w:rFonts w:ascii="Verdana" w:hAnsi="Verdana"/>
          <w:sz w:val="18"/>
          <w:szCs w:val="18"/>
        </w:rPr>
        <w:t xml:space="preserve">allereerst </w:t>
      </w:r>
      <w:r w:rsidR="00A60031">
        <w:rPr>
          <w:rFonts w:ascii="Verdana" w:hAnsi="Verdana"/>
          <w:sz w:val="18"/>
          <w:szCs w:val="18"/>
        </w:rPr>
        <w:t xml:space="preserve">op </w:t>
      </w:r>
      <w:r w:rsidRPr="006C7284" w:rsidR="006C7284">
        <w:rPr>
          <w:rFonts w:ascii="Verdana" w:hAnsi="Verdana"/>
          <w:sz w:val="18"/>
          <w:szCs w:val="18"/>
        </w:rPr>
        <w:t>de equivalentietabel</w:t>
      </w:r>
      <w:r w:rsidR="00270D81">
        <w:rPr>
          <w:rFonts w:ascii="Verdana" w:hAnsi="Verdana"/>
          <w:sz w:val="18"/>
          <w:szCs w:val="18"/>
        </w:rPr>
        <w:t xml:space="preserve"> in </w:t>
      </w:r>
      <w:r w:rsidR="00502F2C">
        <w:rPr>
          <w:rFonts w:ascii="Verdana" w:hAnsi="Verdana"/>
          <w:sz w:val="18"/>
          <w:szCs w:val="18"/>
        </w:rPr>
        <w:t xml:space="preserve">artikel 4, </w:t>
      </w:r>
      <w:r w:rsidR="00270D81">
        <w:rPr>
          <w:rFonts w:ascii="Verdana" w:hAnsi="Verdana"/>
          <w:sz w:val="18"/>
          <w:szCs w:val="18"/>
        </w:rPr>
        <w:t>eerste lid</w:t>
      </w:r>
      <w:r w:rsidR="00502F2C">
        <w:rPr>
          <w:rFonts w:ascii="Verdana" w:hAnsi="Verdana"/>
          <w:sz w:val="18"/>
          <w:szCs w:val="18"/>
        </w:rPr>
        <w:t>.</w:t>
      </w:r>
      <w:r w:rsidRPr="006C7284" w:rsidR="006C7284">
        <w:rPr>
          <w:rFonts w:ascii="Verdana" w:hAnsi="Verdana"/>
          <w:sz w:val="18"/>
          <w:szCs w:val="18"/>
        </w:rPr>
        <w:t xml:space="preserve"> </w:t>
      </w:r>
      <w:r w:rsidR="00546B20">
        <w:rPr>
          <w:rFonts w:ascii="Verdana" w:hAnsi="Verdana"/>
          <w:sz w:val="18"/>
          <w:szCs w:val="18"/>
        </w:rPr>
        <w:t>Daaraan worden de</w:t>
      </w:r>
      <w:r w:rsidRPr="006C7284" w:rsidR="006C7284">
        <w:rPr>
          <w:rFonts w:ascii="Verdana" w:hAnsi="Verdana"/>
          <w:sz w:val="18"/>
          <w:szCs w:val="18"/>
        </w:rPr>
        <w:t xml:space="preserve"> rubriceringsniveaus van Spanje </w:t>
      </w:r>
      <w:r w:rsidR="00546B20">
        <w:rPr>
          <w:rFonts w:ascii="Verdana" w:hAnsi="Verdana"/>
          <w:sz w:val="18"/>
          <w:szCs w:val="18"/>
        </w:rPr>
        <w:t>toegevoegd</w:t>
      </w:r>
      <w:r w:rsidR="00270D81">
        <w:rPr>
          <w:rFonts w:ascii="Verdana" w:hAnsi="Verdana"/>
          <w:sz w:val="18"/>
          <w:szCs w:val="18"/>
        </w:rPr>
        <w:t xml:space="preserve"> en </w:t>
      </w:r>
      <w:r w:rsidR="0072364C">
        <w:rPr>
          <w:rFonts w:ascii="Verdana" w:hAnsi="Verdana"/>
          <w:sz w:val="18"/>
          <w:szCs w:val="18"/>
        </w:rPr>
        <w:t xml:space="preserve">enkele </w:t>
      </w:r>
      <w:r w:rsidR="00270D81">
        <w:rPr>
          <w:rFonts w:ascii="Verdana" w:hAnsi="Verdana"/>
          <w:sz w:val="18"/>
          <w:szCs w:val="18"/>
        </w:rPr>
        <w:t xml:space="preserve">wijzigingen </w:t>
      </w:r>
      <w:r w:rsidR="007008F3">
        <w:rPr>
          <w:rFonts w:ascii="Verdana" w:hAnsi="Verdana"/>
          <w:sz w:val="18"/>
          <w:szCs w:val="18"/>
        </w:rPr>
        <w:t xml:space="preserve">doorgevoerd </w:t>
      </w:r>
      <w:r w:rsidR="00270D81">
        <w:rPr>
          <w:rFonts w:ascii="Verdana" w:hAnsi="Verdana"/>
          <w:sz w:val="18"/>
          <w:szCs w:val="18"/>
        </w:rPr>
        <w:t xml:space="preserve">met betrekking tot de rubriceringsniveaus </w:t>
      </w:r>
      <w:r w:rsidR="0072364C">
        <w:rPr>
          <w:rFonts w:ascii="Verdana" w:hAnsi="Verdana"/>
          <w:sz w:val="18"/>
          <w:szCs w:val="18"/>
        </w:rPr>
        <w:t>van Frankrijk, het Verenigd Koninkrijk en België</w:t>
      </w:r>
      <w:r w:rsidR="00C53CDC">
        <w:rPr>
          <w:rFonts w:ascii="Verdana" w:hAnsi="Verdana"/>
          <w:sz w:val="18"/>
          <w:szCs w:val="18"/>
        </w:rPr>
        <w:t xml:space="preserve">. </w:t>
      </w:r>
      <w:r w:rsidR="00270D81">
        <w:rPr>
          <w:rFonts w:ascii="Verdana" w:hAnsi="Verdana"/>
          <w:sz w:val="18"/>
          <w:szCs w:val="18"/>
        </w:rPr>
        <w:t xml:space="preserve">Voor deze laatstgenoemde drie lidstaten </w:t>
      </w:r>
      <w:r w:rsidR="00B4268C">
        <w:rPr>
          <w:rFonts w:ascii="Verdana" w:hAnsi="Verdana"/>
          <w:sz w:val="18"/>
          <w:szCs w:val="18"/>
        </w:rPr>
        <w:t>is</w:t>
      </w:r>
      <w:r w:rsidRPr="006C7284" w:rsidR="006C7284">
        <w:rPr>
          <w:rFonts w:ascii="Verdana" w:hAnsi="Verdana"/>
          <w:sz w:val="18"/>
          <w:szCs w:val="18"/>
        </w:rPr>
        <w:t xml:space="preserve"> </w:t>
      </w:r>
      <w:r w:rsidR="00270D81">
        <w:rPr>
          <w:rFonts w:ascii="Verdana" w:hAnsi="Verdana"/>
          <w:sz w:val="18"/>
          <w:szCs w:val="18"/>
        </w:rPr>
        <w:t>ook</w:t>
      </w:r>
      <w:r w:rsidRPr="006C7284" w:rsidR="006C7284">
        <w:rPr>
          <w:rFonts w:ascii="Verdana" w:hAnsi="Verdana"/>
          <w:sz w:val="18"/>
          <w:szCs w:val="18"/>
        </w:rPr>
        <w:t xml:space="preserve"> een aantal </w:t>
      </w:r>
      <w:r w:rsidR="00576D6E">
        <w:rPr>
          <w:rFonts w:ascii="Verdana" w:hAnsi="Verdana"/>
          <w:sz w:val="18"/>
          <w:szCs w:val="18"/>
        </w:rPr>
        <w:t>onderdelen</w:t>
      </w:r>
      <w:r w:rsidRPr="006C7284" w:rsidR="006C7284">
        <w:rPr>
          <w:rFonts w:ascii="Verdana" w:hAnsi="Verdana"/>
          <w:sz w:val="18"/>
          <w:szCs w:val="18"/>
        </w:rPr>
        <w:t xml:space="preserve"> opgenomen onder de </w:t>
      </w:r>
      <w:r w:rsidR="0072364C">
        <w:rPr>
          <w:rFonts w:ascii="Verdana" w:hAnsi="Verdana"/>
          <w:sz w:val="18"/>
          <w:szCs w:val="18"/>
        </w:rPr>
        <w:t>equivalentie</w:t>
      </w:r>
      <w:r w:rsidRPr="006C7284" w:rsidR="006C7284">
        <w:rPr>
          <w:rFonts w:ascii="Verdana" w:hAnsi="Verdana"/>
          <w:sz w:val="18"/>
          <w:szCs w:val="18"/>
        </w:rPr>
        <w:t xml:space="preserve">tabel. Daarin staan aanvullende regels om de nationale systemen van die lidstaten te laten </w:t>
      </w:r>
      <w:r w:rsidR="005D7737">
        <w:rPr>
          <w:rFonts w:ascii="Verdana" w:hAnsi="Verdana"/>
          <w:sz w:val="18"/>
          <w:szCs w:val="18"/>
        </w:rPr>
        <w:t>aan</w:t>
      </w:r>
      <w:r w:rsidRPr="006C7284" w:rsidR="006C7284">
        <w:rPr>
          <w:rFonts w:ascii="Verdana" w:hAnsi="Verdana"/>
          <w:sz w:val="18"/>
          <w:szCs w:val="18"/>
        </w:rPr>
        <w:t xml:space="preserve">sluiten bij het door OCCAR gehanteerde rubriceringssysteem. Sinds de </w:t>
      </w:r>
      <w:r w:rsidR="003D71C8">
        <w:rPr>
          <w:rFonts w:ascii="Verdana" w:hAnsi="Verdana"/>
          <w:sz w:val="18"/>
          <w:szCs w:val="18"/>
        </w:rPr>
        <w:t>totstandkoming</w:t>
      </w:r>
      <w:r w:rsidRPr="006C7284" w:rsidR="006C7284">
        <w:rPr>
          <w:rFonts w:ascii="Verdana" w:hAnsi="Verdana"/>
          <w:sz w:val="18"/>
          <w:szCs w:val="18"/>
        </w:rPr>
        <w:t xml:space="preserve"> van het </w:t>
      </w:r>
      <w:r w:rsidR="003D71C8">
        <w:rPr>
          <w:rFonts w:ascii="Verdana" w:hAnsi="Verdana"/>
          <w:sz w:val="18"/>
          <w:szCs w:val="18"/>
        </w:rPr>
        <w:t>OCCAR-Beveiligingsverdrag</w:t>
      </w:r>
      <w:r w:rsidRPr="006C7284" w:rsidR="006C7284">
        <w:rPr>
          <w:rFonts w:ascii="Verdana" w:hAnsi="Verdana"/>
          <w:sz w:val="18"/>
          <w:szCs w:val="18"/>
        </w:rPr>
        <w:t xml:space="preserve"> hebben </w:t>
      </w:r>
      <w:r w:rsidR="00576D6E">
        <w:rPr>
          <w:rFonts w:ascii="Verdana" w:hAnsi="Verdana"/>
          <w:sz w:val="18"/>
          <w:szCs w:val="18"/>
        </w:rPr>
        <w:t>Frankrijk en het Verenigd Koninkrijk</w:t>
      </w:r>
      <w:r w:rsidRPr="006C7284" w:rsidR="006C7284">
        <w:rPr>
          <w:rFonts w:ascii="Verdana" w:hAnsi="Verdana"/>
          <w:sz w:val="18"/>
          <w:szCs w:val="18"/>
        </w:rPr>
        <w:t xml:space="preserve"> hun nationale systemen herzien, waardoor deze niet meer op dezelfde wijze aansluiten bij de door OCCAR gehanteerde niveaus</w:t>
      </w:r>
      <w:r w:rsidR="00D14701">
        <w:rPr>
          <w:rFonts w:ascii="Verdana" w:hAnsi="Verdana"/>
          <w:sz w:val="18"/>
          <w:szCs w:val="18"/>
        </w:rPr>
        <w:t>.</w:t>
      </w:r>
      <w:r w:rsidRPr="006C7284" w:rsidR="006C7284">
        <w:rPr>
          <w:rFonts w:ascii="Verdana" w:hAnsi="Verdana"/>
          <w:sz w:val="18"/>
          <w:szCs w:val="18"/>
        </w:rPr>
        <w:t xml:space="preserve"> </w:t>
      </w:r>
      <w:r w:rsidR="00EC342C">
        <w:rPr>
          <w:rFonts w:ascii="Verdana" w:hAnsi="Verdana"/>
          <w:sz w:val="18"/>
          <w:szCs w:val="18"/>
        </w:rPr>
        <w:t>Het is van belang dat de</w:t>
      </w:r>
      <w:r w:rsidR="00576D6E">
        <w:rPr>
          <w:rFonts w:ascii="Verdana" w:hAnsi="Verdana"/>
          <w:sz w:val="18"/>
          <w:szCs w:val="18"/>
        </w:rPr>
        <w:t xml:space="preserve"> in de</w:t>
      </w:r>
      <w:r w:rsidR="00EC342C">
        <w:rPr>
          <w:rFonts w:ascii="Verdana" w:hAnsi="Verdana"/>
          <w:sz w:val="18"/>
          <w:szCs w:val="18"/>
        </w:rPr>
        <w:t xml:space="preserve">ze </w:t>
      </w:r>
      <w:r w:rsidR="00576D6E">
        <w:rPr>
          <w:rFonts w:ascii="Verdana" w:hAnsi="Verdana"/>
          <w:sz w:val="18"/>
          <w:szCs w:val="18"/>
        </w:rPr>
        <w:t xml:space="preserve">paragraaf genoemde </w:t>
      </w:r>
      <w:r w:rsidR="00EC342C">
        <w:rPr>
          <w:rFonts w:ascii="Verdana" w:hAnsi="Verdana"/>
          <w:sz w:val="18"/>
          <w:szCs w:val="18"/>
        </w:rPr>
        <w:t>wijziging</w:t>
      </w:r>
      <w:r w:rsidR="00576D6E">
        <w:rPr>
          <w:rFonts w:ascii="Verdana" w:hAnsi="Verdana"/>
          <w:sz w:val="18"/>
          <w:szCs w:val="18"/>
        </w:rPr>
        <w:t>en</w:t>
      </w:r>
      <w:r w:rsidR="00EC342C">
        <w:rPr>
          <w:rFonts w:ascii="Verdana" w:hAnsi="Verdana"/>
          <w:sz w:val="18"/>
          <w:szCs w:val="18"/>
        </w:rPr>
        <w:t xml:space="preserve"> word</w:t>
      </w:r>
      <w:r w:rsidR="00576D6E">
        <w:rPr>
          <w:rFonts w:ascii="Verdana" w:hAnsi="Verdana"/>
          <w:sz w:val="18"/>
          <w:szCs w:val="18"/>
        </w:rPr>
        <w:t>en</w:t>
      </w:r>
      <w:r w:rsidR="00EC342C">
        <w:rPr>
          <w:rFonts w:ascii="Verdana" w:hAnsi="Verdana"/>
          <w:sz w:val="18"/>
          <w:szCs w:val="18"/>
        </w:rPr>
        <w:t xml:space="preserve"> doorgevoerd</w:t>
      </w:r>
      <w:r w:rsidR="00A34459">
        <w:rPr>
          <w:rFonts w:ascii="Verdana" w:hAnsi="Verdana"/>
          <w:sz w:val="18"/>
          <w:szCs w:val="18"/>
        </w:rPr>
        <w:t>,</w:t>
      </w:r>
      <w:r w:rsidR="00EC342C">
        <w:rPr>
          <w:rFonts w:ascii="Verdana" w:hAnsi="Verdana"/>
          <w:sz w:val="18"/>
          <w:szCs w:val="18"/>
        </w:rPr>
        <w:t xml:space="preserve"> zodat de nationale rubriceringen weer goed aansluiten bij die van OCCAR. </w:t>
      </w:r>
    </w:p>
    <w:p w:rsidRPr="006C7284" w:rsidR="006C7284" w:rsidP="006C7284" w:rsidRDefault="0072364C" w14:paraId="6866A03A" w14:textId="550B5FC3">
      <w:pPr>
        <w:jc w:val="both"/>
        <w:rPr>
          <w:rFonts w:ascii="Verdana" w:hAnsi="Verdana"/>
          <w:sz w:val="18"/>
          <w:szCs w:val="18"/>
        </w:rPr>
      </w:pPr>
      <w:r>
        <w:rPr>
          <w:rFonts w:ascii="Verdana" w:hAnsi="Verdana"/>
          <w:sz w:val="18"/>
          <w:szCs w:val="18"/>
        </w:rPr>
        <w:t xml:space="preserve">De tweede wijziging ziet op </w:t>
      </w:r>
      <w:r w:rsidR="00B24FDD">
        <w:rPr>
          <w:rFonts w:ascii="Verdana" w:hAnsi="Verdana"/>
          <w:sz w:val="18"/>
          <w:szCs w:val="18"/>
        </w:rPr>
        <w:t>artikel 4</w:t>
      </w:r>
      <w:r w:rsidR="00D4780B">
        <w:rPr>
          <w:rFonts w:ascii="Verdana" w:hAnsi="Verdana"/>
          <w:sz w:val="18"/>
          <w:szCs w:val="18"/>
        </w:rPr>
        <w:t>, derde lid,</w:t>
      </w:r>
      <w:r w:rsidR="00B24FDD">
        <w:rPr>
          <w:rFonts w:ascii="Verdana" w:hAnsi="Verdana"/>
          <w:sz w:val="18"/>
          <w:szCs w:val="18"/>
        </w:rPr>
        <w:t xml:space="preserve"> en een nieuw </w:t>
      </w:r>
      <w:r>
        <w:rPr>
          <w:rFonts w:ascii="Verdana" w:hAnsi="Verdana"/>
          <w:sz w:val="18"/>
          <w:szCs w:val="18"/>
        </w:rPr>
        <w:t xml:space="preserve">eerste lid van artikel 11. </w:t>
      </w:r>
      <w:r w:rsidRPr="006C7284" w:rsidR="006C7284">
        <w:rPr>
          <w:rFonts w:ascii="Verdana" w:hAnsi="Verdana"/>
          <w:sz w:val="18"/>
          <w:szCs w:val="18"/>
        </w:rPr>
        <w:t>In artikel 4</w:t>
      </w:r>
      <w:r w:rsidR="00D4780B">
        <w:rPr>
          <w:rFonts w:ascii="Verdana" w:hAnsi="Verdana"/>
          <w:sz w:val="18"/>
          <w:szCs w:val="18"/>
        </w:rPr>
        <w:t>, derde lid,</w:t>
      </w:r>
      <w:r w:rsidRPr="006C7284" w:rsidR="006C7284">
        <w:rPr>
          <w:rFonts w:ascii="Verdana" w:hAnsi="Verdana"/>
          <w:sz w:val="18"/>
          <w:szCs w:val="18"/>
        </w:rPr>
        <w:t xml:space="preserve"> </w:t>
      </w:r>
      <w:r w:rsidR="00D4780B">
        <w:rPr>
          <w:rFonts w:ascii="Verdana" w:hAnsi="Verdana"/>
          <w:sz w:val="18"/>
          <w:szCs w:val="18"/>
        </w:rPr>
        <w:t xml:space="preserve">staat </w:t>
      </w:r>
      <w:r w:rsidRPr="006C7284" w:rsidR="006C7284">
        <w:rPr>
          <w:rFonts w:ascii="Verdana" w:hAnsi="Verdana"/>
          <w:sz w:val="18"/>
          <w:szCs w:val="18"/>
        </w:rPr>
        <w:t>de verplichting om in de uitnodigingsbrief voor nieuwe lidstaten de equivalentie</w:t>
      </w:r>
      <w:r w:rsidR="005C02FD">
        <w:rPr>
          <w:rFonts w:ascii="Verdana" w:hAnsi="Verdana"/>
          <w:sz w:val="18"/>
          <w:szCs w:val="18"/>
        </w:rPr>
        <w:t>tabel</w:t>
      </w:r>
      <w:r w:rsidRPr="006C7284" w:rsidR="006C7284">
        <w:rPr>
          <w:rFonts w:ascii="Verdana" w:hAnsi="Verdana"/>
          <w:sz w:val="18"/>
          <w:szCs w:val="18"/>
        </w:rPr>
        <w:t xml:space="preserve"> van hun nationale rubriceringsniveaus op te nemen. Dit is in de uitnodiging </w:t>
      </w:r>
      <w:r w:rsidR="005C02FD">
        <w:rPr>
          <w:rFonts w:ascii="Verdana" w:hAnsi="Verdana"/>
          <w:sz w:val="18"/>
          <w:szCs w:val="18"/>
        </w:rPr>
        <w:t xml:space="preserve">aan </w:t>
      </w:r>
      <w:r w:rsidRPr="006C7284" w:rsidR="006C7284">
        <w:rPr>
          <w:rFonts w:ascii="Verdana" w:hAnsi="Verdana"/>
          <w:sz w:val="18"/>
          <w:szCs w:val="18"/>
        </w:rPr>
        <w:t xml:space="preserve">het Koninkrijk der Nederlanden ook gebeurd (zie </w:t>
      </w:r>
      <w:r w:rsidR="003E2803">
        <w:rPr>
          <w:rFonts w:ascii="Verdana" w:hAnsi="Verdana"/>
          <w:sz w:val="18"/>
          <w:szCs w:val="18"/>
        </w:rPr>
        <w:t>par</w:t>
      </w:r>
      <w:r w:rsidR="001070FF">
        <w:rPr>
          <w:rFonts w:ascii="Verdana" w:hAnsi="Verdana"/>
          <w:sz w:val="18"/>
          <w:szCs w:val="18"/>
        </w:rPr>
        <w:t>agraaf</w:t>
      </w:r>
      <w:r w:rsidR="003E2803">
        <w:rPr>
          <w:rFonts w:ascii="Verdana" w:hAnsi="Verdana"/>
          <w:sz w:val="18"/>
          <w:szCs w:val="18"/>
        </w:rPr>
        <w:t xml:space="preserve"> 4.2.4</w:t>
      </w:r>
      <w:r w:rsidRPr="006C7284" w:rsidR="006C7284">
        <w:rPr>
          <w:rFonts w:ascii="Verdana" w:hAnsi="Verdana"/>
          <w:sz w:val="18"/>
          <w:szCs w:val="18"/>
        </w:rPr>
        <w:t xml:space="preserve">). Na doorvoering van </w:t>
      </w:r>
      <w:r w:rsidR="000E4138">
        <w:rPr>
          <w:rFonts w:ascii="Verdana" w:hAnsi="Verdana"/>
          <w:sz w:val="18"/>
          <w:szCs w:val="18"/>
        </w:rPr>
        <w:t xml:space="preserve">de </w:t>
      </w:r>
      <w:r w:rsidRPr="006C7284" w:rsidR="006C7284">
        <w:rPr>
          <w:rFonts w:ascii="Verdana" w:hAnsi="Verdana"/>
          <w:sz w:val="18"/>
          <w:szCs w:val="18"/>
        </w:rPr>
        <w:t xml:space="preserve">wijziging </w:t>
      </w:r>
      <w:r w:rsidR="000E4138">
        <w:rPr>
          <w:rFonts w:ascii="Verdana" w:hAnsi="Verdana"/>
          <w:sz w:val="18"/>
          <w:szCs w:val="18"/>
        </w:rPr>
        <w:t xml:space="preserve">in het </w:t>
      </w:r>
      <w:r w:rsidRPr="006C7284" w:rsidR="006C7284">
        <w:rPr>
          <w:rFonts w:ascii="Verdana" w:hAnsi="Verdana"/>
          <w:sz w:val="18"/>
          <w:szCs w:val="18"/>
        </w:rPr>
        <w:t>OCCAR-</w:t>
      </w:r>
      <w:r w:rsidR="00A60031">
        <w:rPr>
          <w:rFonts w:ascii="Verdana" w:hAnsi="Verdana"/>
          <w:sz w:val="18"/>
          <w:szCs w:val="18"/>
        </w:rPr>
        <w:t>B</w:t>
      </w:r>
      <w:r w:rsidRPr="006C7284" w:rsidR="00A60031">
        <w:rPr>
          <w:rFonts w:ascii="Verdana" w:hAnsi="Verdana"/>
          <w:sz w:val="18"/>
          <w:szCs w:val="18"/>
        </w:rPr>
        <w:t>eveiligingsverdrag</w:t>
      </w:r>
      <w:r w:rsidR="009777FA">
        <w:rPr>
          <w:rFonts w:ascii="Verdana" w:hAnsi="Verdana"/>
          <w:sz w:val="18"/>
          <w:szCs w:val="18"/>
        </w:rPr>
        <w:t xml:space="preserve"> </w:t>
      </w:r>
      <w:r w:rsidRPr="006C7284" w:rsidR="006C7284">
        <w:rPr>
          <w:rFonts w:ascii="Verdana" w:hAnsi="Verdana"/>
          <w:sz w:val="18"/>
          <w:szCs w:val="18"/>
        </w:rPr>
        <w:t xml:space="preserve">zal deze verplichting worden vervangen voor een nieuwe regeling, beschreven in </w:t>
      </w:r>
      <w:r w:rsidR="009777FA">
        <w:rPr>
          <w:rFonts w:ascii="Verdana" w:hAnsi="Verdana"/>
          <w:sz w:val="18"/>
          <w:szCs w:val="18"/>
        </w:rPr>
        <w:t xml:space="preserve">het </w:t>
      </w:r>
      <w:r w:rsidR="00546B20">
        <w:rPr>
          <w:rFonts w:ascii="Verdana" w:hAnsi="Verdana"/>
          <w:sz w:val="18"/>
          <w:szCs w:val="18"/>
        </w:rPr>
        <w:t xml:space="preserve">nieuwe </w:t>
      </w:r>
      <w:r w:rsidR="009777FA">
        <w:rPr>
          <w:rFonts w:ascii="Verdana" w:hAnsi="Verdana"/>
          <w:sz w:val="18"/>
          <w:szCs w:val="18"/>
        </w:rPr>
        <w:t xml:space="preserve">eerste lid van </w:t>
      </w:r>
      <w:r w:rsidRPr="006C7284" w:rsidR="006C7284">
        <w:rPr>
          <w:rFonts w:ascii="Verdana" w:hAnsi="Verdana"/>
          <w:sz w:val="18"/>
          <w:szCs w:val="18"/>
        </w:rPr>
        <w:t xml:space="preserve">artikel 11. Uit dat lid volgt dat voor toetreding van een nieuwe lidstaat een amendement door het </w:t>
      </w:r>
      <w:r w:rsidR="000848F0">
        <w:rPr>
          <w:rFonts w:ascii="Verdana" w:hAnsi="Verdana"/>
          <w:sz w:val="18"/>
          <w:szCs w:val="18"/>
        </w:rPr>
        <w:t>Beveiligingscomité</w:t>
      </w:r>
      <w:r w:rsidRPr="006C7284" w:rsidR="006C7284">
        <w:rPr>
          <w:rFonts w:ascii="Verdana" w:hAnsi="Verdana"/>
          <w:sz w:val="18"/>
          <w:szCs w:val="18"/>
        </w:rPr>
        <w:t xml:space="preserve"> moet worden voorgesteld in overleg met de aspirant-lidstaat. In dit amendement moet de voorgestelde wijziging van de equivalentietabel in artikel 4 worden beschreven ten behoeve van de nieuwe lidstaat en dit amendement moet worden bijgevoegd </w:t>
      </w:r>
      <w:r w:rsidRPr="006C7284" w:rsidR="006C7284">
        <w:rPr>
          <w:rFonts w:ascii="Verdana" w:hAnsi="Verdana"/>
          <w:sz w:val="18"/>
          <w:szCs w:val="18"/>
        </w:rPr>
        <w:lastRenderedPageBreak/>
        <w:t xml:space="preserve">bij de officiële uitnodigingsbrief. Dit is een iets uitgebreidere regeling van hetgeen nu in artikel 4 </w:t>
      </w:r>
      <w:r w:rsidR="002E5149">
        <w:rPr>
          <w:rFonts w:ascii="Verdana" w:hAnsi="Verdana"/>
          <w:sz w:val="18"/>
          <w:szCs w:val="18"/>
        </w:rPr>
        <w:t xml:space="preserve">staat </w:t>
      </w:r>
      <w:r w:rsidRPr="006C7284" w:rsidR="006C7284">
        <w:rPr>
          <w:rFonts w:ascii="Verdana" w:hAnsi="Verdana"/>
          <w:sz w:val="18"/>
          <w:szCs w:val="18"/>
        </w:rPr>
        <w:t xml:space="preserve">en </w:t>
      </w:r>
      <w:r w:rsidR="009777FA">
        <w:rPr>
          <w:rFonts w:ascii="Verdana" w:hAnsi="Verdana"/>
          <w:sz w:val="18"/>
          <w:szCs w:val="18"/>
        </w:rPr>
        <w:t xml:space="preserve">op </w:t>
      </w:r>
      <w:r w:rsidR="000A1C73">
        <w:rPr>
          <w:rFonts w:ascii="Verdana" w:hAnsi="Verdana"/>
          <w:sz w:val="18"/>
          <w:szCs w:val="18"/>
        </w:rPr>
        <w:t xml:space="preserve">het Koninkrijk der </w:t>
      </w:r>
      <w:r w:rsidRPr="006C7284" w:rsidR="006C7284">
        <w:rPr>
          <w:rFonts w:ascii="Verdana" w:hAnsi="Verdana"/>
          <w:sz w:val="18"/>
          <w:szCs w:val="18"/>
        </w:rPr>
        <w:t>Nederland</w:t>
      </w:r>
      <w:r w:rsidR="000A1C73">
        <w:rPr>
          <w:rFonts w:ascii="Verdana" w:hAnsi="Verdana"/>
          <w:sz w:val="18"/>
          <w:szCs w:val="18"/>
        </w:rPr>
        <w:t>en</w:t>
      </w:r>
      <w:r w:rsidRPr="006C7284" w:rsidR="006C7284">
        <w:rPr>
          <w:rFonts w:ascii="Verdana" w:hAnsi="Verdana"/>
          <w:sz w:val="18"/>
          <w:szCs w:val="18"/>
        </w:rPr>
        <w:t xml:space="preserve"> is toegepast. Voortaan zal bij toetreding van een nieuw</w:t>
      </w:r>
      <w:r w:rsidR="00481490">
        <w:rPr>
          <w:rFonts w:ascii="Verdana" w:hAnsi="Verdana"/>
          <w:sz w:val="18"/>
          <w:szCs w:val="18"/>
        </w:rPr>
        <w:t>e</w:t>
      </w:r>
      <w:r w:rsidRPr="006C7284" w:rsidR="006C7284">
        <w:rPr>
          <w:rFonts w:ascii="Verdana" w:hAnsi="Verdana"/>
          <w:sz w:val="18"/>
          <w:szCs w:val="18"/>
        </w:rPr>
        <w:t xml:space="preserve"> lid</w:t>
      </w:r>
      <w:r w:rsidR="004E4611">
        <w:rPr>
          <w:rFonts w:ascii="Verdana" w:hAnsi="Verdana"/>
          <w:sz w:val="18"/>
          <w:szCs w:val="18"/>
        </w:rPr>
        <w:t xml:space="preserve">staat tot </w:t>
      </w:r>
      <w:r w:rsidRPr="006C7284" w:rsidR="006C7284">
        <w:rPr>
          <w:rFonts w:ascii="Verdana" w:hAnsi="Verdana"/>
          <w:sz w:val="18"/>
          <w:szCs w:val="18"/>
        </w:rPr>
        <w:t>het OCCAR-</w:t>
      </w:r>
      <w:r w:rsidR="00A60031">
        <w:rPr>
          <w:rFonts w:ascii="Verdana" w:hAnsi="Verdana"/>
          <w:sz w:val="18"/>
          <w:szCs w:val="18"/>
        </w:rPr>
        <w:t>B</w:t>
      </w:r>
      <w:r w:rsidRPr="006C7284" w:rsidR="00A60031">
        <w:rPr>
          <w:rFonts w:ascii="Verdana" w:hAnsi="Verdana"/>
          <w:sz w:val="18"/>
          <w:szCs w:val="18"/>
        </w:rPr>
        <w:t>eveiligingsverdrag</w:t>
      </w:r>
      <w:r w:rsidR="009777FA">
        <w:rPr>
          <w:rFonts w:ascii="Verdana" w:hAnsi="Verdana"/>
          <w:sz w:val="18"/>
          <w:szCs w:val="18"/>
        </w:rPr>
        <w:t xml:space="preserve"> </w:t>
      </w:r>
      <w:r w:rsidRPr="006C7284" w:rsidR="006C7284">
        <w:rPr>
          <w:rFonts w:ascii="Verdana" w:hAnsi="Verdana"/>
          <w:sz w:val="18"/>
          <w:szCs w:val="18"/>
        </w:rPr>
        <w:t xml:space="preserve">dus </w:t>
      </w:r>
      <w:r w:rsidR="002E5149">
        <w:rPr>
          <w:rFonts w:ascii="Verdana" w:hAnsi="Verdana"/>
          <w:sz w:val="18"/>
          <w:szCs w:val="18"/>
        </w:rPr>
        <w:t xml:space="preserve">moeten </w:t>
      </w:r>
      <w:r w:rsidRPr="006C7284" w:rsidR="006C7284">
        <w:rPr>
          <w:rFonts w:ascii="Verdana" w:hAnsi="Verdana"/>
          <w:sz w:val="18"/>
          <w:szCs w:val="18"/>
        </w:rPr>
        <w:t xml:space="preserve">worden gewijzigd. </w:t>
      </w:r>
    </w:p>
    <w:p w:rsidR="006C7284" w:rsidP="006C7284" w:rsidRDefault="006C7284" w14:paraId="441DBD6B" w14:textId="3065A245">
      <w:pPr>
        <w:jc w:val="both"/>
        <w:rPr>
          <w:rFonts w:ascii="Verdana" w:hAnsi="Verdana"/>
          <w:sz w:val="18"/>
          <w:szCs w:val="18"/>
        </w:rPr>
      </w:pPr>
      <w:r w:rsidRPr="006C7284">
        <w:rPr>
          <w:rFonts w:ascii="Verdana" w:hAnsi="Verdana"/>
          <w:sz w:val="18"/>
          <w:szCs w:val="18"/>
        </w:rPr>
        <w:t xml:space="preserve">Tot slot bevat </w:t>
      </w:r>
      <w:r w:rsidR="002E5149">
        <w:rPr>
          <w:rFonts w:ascii="Verdana" w:hAnsi="Verdana"/>
          <w:sz w:val="18"/>
          <w:szCs w:val="18"/>
        </w:rPr>
        <w:t xml:space="preserve">de wijziging </w:t>
      </w:r>
      <w:r w:rsidRPr="006C7284">
        <w:rPr>
          <w:rFonts w:ascii="Verdana" w:hAnsi="Verdana"/>
          <w:sz w:val="18"/>
          <w:szCs w:val="18"/>
        </w:rPr>
        <w:t xml:space="preserve">een tekstuele </w:t>
      </w:r>
      <w:r w:rsidR="002E5149">
        <w:rPr>
          <w:rFonts w:ascii="Verdana" w:hAnsi="Verdana"/>
          <w:sz w:val="18"/>
          <w:szCs w:val="18"/>
        </w:rPr>
        <w:t xml:space="preserve">aanpassing </w:t>
      </w:r>
      <w:r w:rsidRPr="006C7284">
        <w:rPr>
          <w:rFonts w:ascii="Verdana" w:hAnsi="Verdana"/>
          <w:sz w:val="18"/>
          <w:szCs w:val="18"/>
        </w:rPr>
        <w:t>van artikel 7</w:t>
      </w:r>
      <w:r w:rsidR="00D4780B">
        <w:rPr>
          <w:rFonts w:ascii="Verdana" w:hAnsi="Verdana"/>
          <w:sz w:val="18"/>
          <w:szCs w:val="18"/>
        </w:rPr>
        <w:t>, tweede lid</w:t>
      </w:r>
      <w:r w:rsidRPr="006C7284">
        <w:rPr>
          <w:rFonts w:ascii="Verdana" w:hAnsi="Verdana"/>
          <w:sz w:val="18"/>
          <w:szCs w:val="18"/>
        </w:rPr>
        <w:t>. Daar</w:t>
      </w:r>
      <w:r w:rsidR="002E5149">
        <w:rPr>
          <w:rFonts w:ascii="Verdana" w:hAnsi="Verdana"/>
          <w:sz w:val="18"/>
          <w:szCs w:val="18"/>
        </w:rPr>
        <w:t xml:space="preserve">in </w:t>
      </w:r>
      <w:r w:rsidRPr="006C7284">
        <w:rPr>
          <w:rFonts w:ascii="Verdana" w:hAnsi="Verdana"/>
          <w:sz w:val="18"/>
          <w:szCs w:val="18"/>
        </w:rPr>
        <w:t xml:space="preserve">wordt vastgelegd dat het </w:t>
      </w:r>
      <w:r w:rsidR="000848F0">
        <w:rPr>
          <w:rFonts w:ascii="Verdana" w:hAnsi="Verdana"/>
          <w:sz w:val="18"/>
          <w:szCs w:val="18"/>
        </w:rPr>
        <w:t>Beveiligingscomité</w:t>
      </w:r>
      <w:r w:rsidRPr="006C7284" w:rsidR="00B4268C">
        <w:rPr>
          <w:rFonts w:ascii="Verdana" w:hAnsi="Verdana"/>
          <w:sz w:val="18"/>
          <w:szCs w:val="18"/>
        </w:rPr>
        <w:t xml:space="preserve"> </w:t>
      </w:r>
      <w:r w:rsidRPr="006C7284">
        <w:rPr>
          <w:rFonts w:ascii="Verdana" w:hAnsi="Verdana"/>
          <w:sz w:val="18"/>
          <w:szCs w:val="18"/>
        </w:rPr>
        <w:t>zich bezighoudt met de beveiliging van gerubriceerde gegevens en niet met beveiliging in het algemeen, zoals het ongewijzigde OCCAR-Beveiligingsverdrag suggereer</w:t>
      </w:r>
      <w:r w:rsidR="002E5149">
        <w:rPr>
          <w:rFonts w:ascii="Verdana" w:hAnsi="Verdana"/>
          <w:sz w:val="18"/>
          <w:szCs w:val="18"/>
        </w:rPr>
        <w:t>t</w:t>
      </w:r>
      <w:r w:rsidRPr="006C7284">
        <w:rPr>
          <w:rFonts w:ascii="Verdana" w:hAnsi="Verdana"/>
          <w:sz w:val="18"/>
          <w:szCs w:val="18"/>
        </w:rPr>
        <w:t xml:space="preserve">. </w:t>
      </w:r>
    </w:p>
    <w:p w:rsidRPr="006C7284" w:rsidR="00D4780B" w:rsidP="006C7284" w:rsidRDefault="00D4780B" w14:paraId="68573AF9" w14:textId="1A7E6FC1">
      <w:pPr>
        <w:jc w:val="both"/>
        <w:rPr>
          <w:rFonts w:ascii="Verdana" w:hAnsi="Verdana"/>
          <w:sz w:val="18"/>
          <w:szCs w:val="18"/>
        </w:rPr>
      </w:pPr>
      <w:r>
        <w:rPr>
          <w:rFonts w:ascii="Verdana" w:hAnsi="Verdana"/>
          <w:sz w:val="18"/>
          <w:szCs w:val="18"/>
        </w:rPr>
        <w:t xml:space="preserve">Op grond van artikel 4 zal het wijzigingsverdrag in overeenstemming met artikel 9, derde lid, van het OCCAR-Beveiligingsverdrag in werking treden 30 dagen nadat de depositaris de akten van bekrachtiging, aanvaarding of goedkeuring heeft ontvangen van alle verdragspartijen. </w:t>
      </w:r>
      <w:r w:rsidR="00A55391">
        <w:rPr>
          <w:rFonts w:ascii="Verdana" w:hAnsi="Verdana"/>
          <w:sz w:val="18"/>
          <w:szCs w:val="18"/>
        </w:rPr>
        <w:t xml:space="preserve">Indien het Koninkrijk der Nederlanden voor deze datum is toegetreden tot het OCCAR-Verdrag en OCCAR-Beveiligingsverdrag, zal het Koninkrijk automatisch worden gebonden door de wijziging, zodra de wijziging van kracht is geworden. </w:t>
      </w:r>
    </w:p>
    <w:bookmarkEnd w:id="2"/>
    <w:p w:rsidRPr="0032410F" w:rsidR="00F02BAA" w:rsidP="006D7BF1" w:rsidRDefault="00F02BAA" w14:paraId="0998A751" w14:textId="41E67577">
      <w:pPr>
        <w:rPr>
          <w:rFonts w:ascii="Verdana" w:hAnsi="Verdana"/>
          <w:b/>
          <w:bCs/>
          <w:sz w:val="18"/>
          <w:szCs w:val="18"/>
        </w:rPr>
      </w:pPr>
    </w:p>
    <w:p w:rsidRPr="00F71DC5" w:rsidR="00DC63E9" w:rsidP="003B7EFC" w:rsidRDefault="00DC63E9" w14:paraId="09903B60" w14:textId="77777777">
      <w:pPr>
        <w:jc w:val="both"/>
        <w:rPr>
          <w:rFonts w:ascii="Verdana" w:hAnsi="Verdana"/>
          <w:sz w:val="18"/>
          <w:szCs w:val="18"/>
        </w:rPr>
      </w:pPr>
    </w:p>
    <w:p w:rsidR="0038602C" w:rsidP="003B7EFC" w:rsidRDefault="0038602C" w14:paraId="4B64F1C2" w14:textId="02E4360F">
      <w:pPr>
        <w:jc w:val="both"/>
        <w:rPr>
          <w:rFonts w:ascii="Verdana" w:hAnsi="Verdana"/>
          <w:sz w:val="18"/>
          <w:szCs w:val="18"/>
        </w:rPr>
      </w:pPr>
      <w:r w:rsidRPr="00F71DC5">
        <w:rPr>
          <w:rFonts w:ascii="Verdana" w:hAnsi="Verdana"/>
          <w:sz w:val="18"/>
          <w:szCs w:val="18"/>
        </w:rPr>
        <w:t>De Minister van Defensie</w:t>
      </w:r>
      <w:r w:rsidR="00887BC8">
        <w:rPr>
          <w:rFonts w:ascii="Verdana" w:hAnsi="Verdana"/>
          <w:sz w:val="18"/>
          <w:szCs w:val="18"/>
        </w:rPr>
        <w:t>,</w:t>
      </w:r>
    </w:p>
    <w:p w:rsidR="00ED09B0" w:rsidP="003B7EFC" w:rsidRDefault="00ED09B0" w14:paraId="6D3EC201" w14:textId="77777777">
      <w:pPr>
        <w:jc w:val="both"/>
        <w:rPr>
          <w:rFonts w:ascii="Verdana" w:hAnsi="Verdana"/>
          <w:sz w:val="18"/>
          <w:szCs w:val="18"/>
        </w:rPr>
      </w:pPr>
    </w:p>
    <w:p w:rsidR="00887BC8" w:rsidP="003B7EFC" w:rsidRDefault="00887BC8" w14:paraId="3B1C50EB" w14:textId="77777777">
      <w:pPr>
        <w:jc w:val="both"/>
        <w:rPr>
          <w:rFonts w:ascii="Verdana" w:hAnsi="Verdana"/>
          <w:sz w:val="18"/>
          <w:szCs w:val="18"/>
        </w:rPr>
      </w:pPr>
    </w:p>
    <w:p w:rsidR="00887BC8" w:rsidP="003B7EFC" w:rsidRDefault="00887BC8" w14:paraId="3FCEB821" w14:textId="77777777">
      <w:pPr>
        <w:jc w:val="both"/>
        <w:rPr>
          <w:rFonts w:ascii="Verdana" w:hAnsi="Verdana"/>
          <w:sz w:val="18"/>
          <w:szCs w:val="18"/>
        </w:rPr>
      </w:pPr>
    </w:p>
    <w:p w:rsidRPr="00F71DC5" w:rsidR="00094623" w:rsidP="003B7EFC" w:rsidRDefault="00094623" w14:paraId="74454D34" w14:textId="77777777">
      <w:pPr>
        <w:jc w:val="both"/>
        <w:rPr>
          <w:rFonts w:ascii="Verdana" w:hAnsi="Verdana"/>
          <w:sz w:val="18"/>
          <w:szCs w:val="18"/>
        </w:rPr>
      </w:pPr>
    </w:p>
    <w:p w:rsidRPr="00F71DC5" w:rsidR="00880848" w:rsidP="003B7EFC" w:rsidRDefault="00880848" w14:paraId="781508AD" w14:textId="2A7661A8">
      <w:pPr>
        <w:jc w:val="both"/>
        <w:rPr>
          <w:rFonts w:ascii="Verdana" w:hAnsi="Verdana"/>
          <w:sz w:val="18"/>
          <w:szCs w:val="18"/>
        </w:rPr>
      </w:pPr>
      <w:r w:rsidRPr="00F71DC5">
        <w:rPr>
          <w:rFonts w:ascii="Verdana" w:hAnsi="Verdana"/>
          <w:sz w:val="18"/>
          <w:szCs w:val="18"/>
        </w:rPr>
        <w:t>De Minister van Buitenlandse Zaken</w:t>
      </w:r>
      <w:r w:rsidR="00887BC8">
        <w:rPr>
          <w:rFonts w:ascii="Verdana" w:hAnsi="Verdana"/>
          <w:sz w:val="18"/>
          <w:szCs w:val="18"/>
        </w:rPr>
        <w:t>,</w:t>
      </w:r>
    </w:p>
    <w:p w:rsidRPr="00F71DC5" w:rsidR="00094623" w:rsidP="003B7EFC" w:rsidRDefault="00094623" w14:paraId="2881231D" w14:textId="41E2BF10">
      <w:pPr>
        <w:jc w:val="both"/>
        <w:rPr>
          <w:rFonts w:ascii="Verdana" w:hAnsi="Verdana"/>
          <w:sz w:val="18"/>
          <w:szCs w:val="18"/>
        </w:rPr>
      </w:pPr>
    </w:p>
    <w:sectPr w:rsidRPr="00F71DC5" w:rsidR="0009462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7D95B" w14:textId="77777777" w:rsidR="0077331E" w:rsidRDefault="0077331E" w:rsidP="009E77A9">
      <w:pPr>
        <w:spacing w:after="0" w:line="240" w:lineRule="auto"/>
      </w:pPr>
      <w:r>
        <w:separator/>
      </w:r>
    </w:p>
  </w:endnote>
  <w:endnote w:type="continuationSeparator" w:id="0">
    <w:p w14:paraId="583A5F43" w14:textId="77777777" w:rsidR="0077331E" w:rsidRDefault="0077331E" w:rsidP="009E77A9">
      <w:pPr>
        <w:spacing w:after="0" w:line="240" w:lineRule="auto"/>
      </w:pPr>
      <w:r>
        <w:continuationSeparator/>
      </w:r>
    </w:p>
  </w:endnote>
  <w:endnote w:type="continuationNotice" w:id="1">
    <w:p w14:paraId="191FAB45" w14:textId="77777777" w:rsidR="0077331E" w:rsidRDefault="00773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00AC3" w14:textId="77777777" w:rsidR="0077331E" w:rsidRDefault="0077331E" w:rsidP="009E77A9">
      <w:pPr>
        <w:spacing w:after="0" w:line="240" w:lineRule="auto"/>
      </w:pPr>
      <w:r>
        <w:separator/>
      </w:r>
    </w:p>
  </w:footnote>
  <w:footnote w:type="continuationSeparator" w:id="0">
    <w:p w14:paraId="105B8502" w14:textId="77777777" w:rsidR="0077331E" w:rsidRDefault="0077331E" w:rsidP="009E77A9">
      <w:pPr>
        <w:spacing w:after="0" w:line="240" w:lineRule="auto"/>
      </w:pPr>
      <w:r>
        <w:continuationSeparator/>
      </w:r>
    </w:p>
  </w:footnote>
  <w:footnote w:type="continuationNotice" w:id="1">
    <w:p w14:paraId="7F811914" w14:textId="77777777" w:rsidR="0077331E" w:rsidRDefault="0077331E">
      <w:pPr>
        <w:spacing w:after="0" w:line="240" w:lineRule="auto"/>
      </w:pPr>
    </w:p>
  </w:footnote>
  <w:footnote w:id="2">
    <w:p w14:paraId="447998FD" w14:textId="22087E86" w:rsidR="0077331E" w:rsidRPr="007C25DE" w:rsidRDefault="0077331E" w:rsidP="00BD3008">
      <w:pPr>
        <w:pStyle w:val="FootnoteText"/>
        <w:rPr>
          <w:rFonts w:ascii="Verdana" w:hAnsi="Verdana"/>
          <w:sz w:val="16"/>
          <w:szCs w:val="16"/>
        </w:rPr>
      </w:pPr>
      <w:r w:rsidRPr="007C25DE">
        <w:rPr>
          <w:rStyle w:val="FootnoteReference"/>
          <w:rFonts w:ascii="Verdana" w:hAnsi="Verdana"/>
          <w:sz w:val="16"/>
          <w:szCs w:val="16"/>
        </w:rPr>
        <w:footnoteRef/>
      </w:r>
      <w:r w:rsidRPr="007C25DE">
        <w:rPr>
          <w:rFonts w:ascii="Verdana" w:hAnsi="Verdana"/>
          <w:sz w:val="16"/>
          <w:szCs w:val="16"/>
        </w:rPr>
        <w:t xml:space="preserve"> Gezamenlijke Organisatie voor Samenwerking op Defensie-materieelgebied</w:t>
      </w:r>
    </w:p>
  </w:footnote>
  <w:footnote w:id="3">
    <w:p w14:paraId="257B1309" w14:textId="50F75117" w:rsidR="0077331E" w:rsidRPr="007C25DE" w:rsidRDefault="0077331E">
      <w:pPr>
        <w:pStyle w:val="FootnoteText"/>
        <w:rPr>
          <w:rFonts w:ascii="Verdana" w:hAnsi="Verdana"/>
          <w:sz w:val="16"/>
          <w:szCs w:val="16"/>
        </w:rPr>
      </w:pPr>
      <w:r w:rsidRPr="007C25DE">
        <w:rPr>
          <w:rStyle w:val="FootnoteReference"/>
          <w:rFonts w:ascii="Verdana" w:hAnsi="Verdana"/>
          <w:sz w:val="16"/>
          <w:szCs w:val="16"/>
        </w:rPr>
        <w:footnoteRef/>
      </w:r>
      <w:r w:rsidRPr="007C25DE">
        <w:rPr>
          <w:rFonts w:ascii="Verdana" w:hAnsi="Verdana"/>
          <w:sz w:val="16"/>
          <w:szCs w:val="16"/>
        </w:rPr>
        <w:t xml:space="preserve"> Kamerstukken II 2002-2003, 27653, nr. 8</w:t>
      </w:r>
    </w:p>
  </w:footnote>
  <w:footnote w:id="4">
    <w:p w14:paraId="36C29685" w14:textId="2004C2B3" w:rsidR="00320AC1" w:rsidRPr="00320AC1" w:rsidRDefault="00320AC1">
      <w:pPr>
        <w:pStyle w:val="FootnoteText"/>
      </w:pPr>
      <w:r>
        <w:rPr>
          <w:rStyle w:val="FootnoteReference"/>
        </w:rPr>
        <w:footnoteRef/>
      </w:r>
      <w:r>
        <w:t xml:space="preserve"> </w:t>
      </w:r>
      <w:r w:rsidRPr="00320AC1">
        <w:rPr>
          <w:rFonts w:ascii="Verdana" w:hAnsi="Verdana"/>
          <w:sz w:val="16"/>
          <w:szCs w:val="16"/>
        </w:rPr>
        <w:t>Kamerstukken II 2025-2026, 36848, nr. 31</w:t>
      </w:r>
    </w:p>
  </w:footnote>
  <w:footnote w:id="5">
    <w:p w14:paraId="3CB1771E" w14:textId="4D57AFDE" w:rsidR="0077331E" w:rsidRPr="007C25DE" w:rsidRDefault="0077331E">
      <w:pPr>
        <w:pStyle w:val="FootnoteText"/>
        <w:rPr>
          <w:rFonts w:ascii="Verdana" w:hAnsi="Verdana"/>
          <w:sz w:val="16"/>
          <w:szCs w:val="16"/>
        </w:rPr>
      </w:pPr>
      <w:r w:rsidRPr="007C25DE">
        <w:rPr>
          <w:rStyle w:val="FootnoteReference"/>
          <w:rFonts w:ascii="Verdana" w:hAnsi="Verdana"/>
          <w:sz w:val="16"/>
          <w:szCs w:val="16"/>
        </w:rPr>
        <w:footnoteRef/>
      </w:r>
      <w:r w:rsidRPr="007C25DE">
        <w:rPr>
          <w:rFonts w:ascii="Verdana" w:hAnsi="Verdana"/>
          <w:sz w:val="16"/>
          <w:szCs w:val="16"/>
        </w:rPr>
        <w:t xml:space="preserve"> Zie voor een actueel overzicht van de verdragsgegevens: https://verdragenbank.overheid.nl/nl/Verdrag/Details/009273</w:t>
      </w:r>
    </w:p>
  </w:footnote>
  <w:footnote w:id="6">
    <w:p w14:paraId="712F2FE6" w14:textId="2D65AFD3" w:rsidR="0077331E" w:rsidRPr="007C25DE" w:rsidRDefault="0077331E">
      <w:pPr>
        <w:pStyle w:val="FootnoteText"/>
        <w:rPr>
          <w:rFonts w:ascii="Verdana" w:hAnsi="Verdana"/>
          <w:sz w:val="16"/>
          <w:szCs w:val="16"/>
        </w:rPr>
      </w:pPr>
      <w:r w:rsidRPr="007C25DE">
        <w:rPr>
          <w:rStyle w:val="FootnoteReference"/>
          <w:rFonts w:ascii="Verdana" w:hAnsi="Verdana"/>
          <w:sz w:val="16"/>
          <w:szCs w:val="16"/>
        </w:rPr>
        <w:footnoteRef/>
      </w:r>
      <w:r w:rsidRPr="007C25DE">
        <w:rPr>
          <w:rFonts w:ascii="Verdana" w:hAnsi="Verdana"/>
          <w:sz w:val="16"/>
          <w:szCs w:val="16"/>
        </w:rPr>
        <w:t xml:space="preserve"> Zie voor een actueel overzicht van de verdragsgegevens: https://verdragenbank.overheid.nl/nl/Verdrag/Details/014060</w:t>
      </w:r>
    </w:p>
  </w:footnote>
  <w:footnote w:id="7">
    <w:p w14:paraId="3ABF10C5" w14:textId="77777777" w:rsidR="0077331E" w:rsidRPr="007C25DE" w:rsidRDefault="0077331E" w:rsidP="00BD3008">
      <w:pPr>
        <w:pStyle w:val="NormalWeb"/>
        <w:spacing w:before="0" w:beforeAutospacing="0" w:after="0" w:afterAutospacing="0" w:line="259" w:lineRule="auto"/>
        <w:jc w:val="both"/>
        <w:rPr>
          <w:rFonts w:ascii="Verdana" w:hAnsi="Verdana"/>
          <w:sz w:val="16"/>
          <w:szCs w:val="16"/>
        </w:rPr>
      </w:pPr>
      <w:r w:rsidRPr="007C25DE">
        <w:rPr>
          <w:rStyle w:val="FootnoteReference"/>
          <w:rFonts w:ascii="Verdana" w:hAnsi="Verdana"/>
          <w:sz w:val="16"/>
          <w:szCs w:val="16"/>
        </w:rPr>
        <w:footnoteRef/>
      </w:r>
      <w:r w:rsidRPr="007C25DE">
        <w:rPr>
          <w:rFonts w:ascii="Verdana" w:hAnsi="Verdana"/>
          <w:sz w:val="16"/>
          <w:szCs w:val="16"/>
        </w:rPr>
        <w:t xml:space="preserve"> Enkele jaren geleden heeft OCCAR dit project overgedragen aan het </w:t>
      </w:r>
      <w:r w:rsidRPr="007C25DE">
        <w:rPr>
          <w:rFonts w:ascii="Verdana" w:hAnsi="Verdana"/>
          <w:i/>
          <w:sz w:val="16"/>
          <w:szCs w:val="16"/>
        </w:rPr>
        <w:t xml:space="preserve">NATO Support </w:t>
      </w:r>
      <w:proofErr w:type="spellStart"/>
      <w:r w:rsidRPr="007C25DE">
        <w:rPr>
          <w:rFonts w:ascii="Verdana" w:hAnsi="Verdana"/>
          <w:i/>
          <w:sz w:val="16"/>
          <w:szCs w:val="16"/>
        </w:rPr>
        <w:t>and</w:t>
      </w:r>
      <w:proofErr w:type="spellEnd"/>
      <w:r w:rsidRPr="007C25DE">
        <w:rPr>
          <w:rFonts w:ascii="Verdana" w:hAnsi="Verdana"/>
          <w:i/>
          <w:sz w:val="16"/>
          <w:szCs w:val="16"/>
        </w:rPr>
        <w:t xml:space="preserve"> </w:t>
      </w:r>
      <w:proofErr w:type="spellStart"/>
      <w:r w:rsidRPr="007C25DE">
        <w:rPr>
          <w:rFonts w:ascii="Verdana" w:hAnsi="Verdana"/>
          <w:i/>
          <w:sz w:val="16"/>
          <w:szCs w:val="16"/>
        </w:rPr>
        <w:t>Procurement</w:t>
      </w:r>
      <w:proofErr w:type="spellEnd"/>
      <w:r w:rsidRPr="007C25DE">
        <w:rPr>
          <w:rFonts w:ascii="Verdana" w:hAnsi="Verdana"/>
          <w:i/>
          <w:sz w:val="16"/>
          <w:szCs w:val="16"/>
        </w:rPr>
        <w:t xml:space="preserve"> Agency</w:t>
      </w:r>
      <w:r w:rsidRPr="007C25DE">
        <w:rPr>
          <w:rFonts w:ascii="Verdana" w:hAnsi="Verdana"/>
          <w:sz w:val="16"/>
          <w:szCs w:val="16"/>
        </w:rPr>
        <w:t xml:space="preserve"> (NSPA) dat het beheer van de aangeschafte MRTT-toestellen uitvoert. </w:t>
      </w:r>
    </w:p>
  </w:footnote>
  <w:footnote w:id="8">
    <w:p w14:paraId="606631DC" w14:textId="7FFB5D97" w:rsidR="0077331E" w:rsidRPr="007C25DE" w:rsidRDefault="0077331E" w:rsidP="00BD3008">
      <w:pPr>
        <w:pStyle w:val="FootnoteText"/>
        <w:rPr>
          <w:rFonts w:ascii="Verdana" w:hAnsi="Verdana"/>
          <w:sz w:val="16"/>
          <w:szCs w:val="16"/>
        </w:rPr>
      </w:pPr>
      <w:r w:rsidRPr="007C25DE">
        <w:rPr>
          <w:rStyle w:val="FootnoteReference"/>
          <w:rFonts w:ascii="Verdana" w:hAnsi="Verdana"/>
          <w:sz w:val="16"/>
          <w:szCs w:val="16"/>
        </w:rPr>
        <w:footnoteRef/>
      </w:r>
      <w:r w:rsidRPr="007C25DE">
        <w:rPr>
          <w:rFonts w:ascii="Verdana" w:hAnsi="Verdana"/>
          <w:sz w:val="16"/>
          <w:szCs w:val="16"/>
        </w:rPr>
        <w:t xml:space="preserve"> Kamerstukken II 2024/2025, 28676, nr. 550 </w:t>
      </w:r>
    </w:p>
  </w:footnote>
  <w:footnote w:id="9">
    <w:p w14:paraId="4B93AF52" w14:textId="456A413B" w:rsidR="0077331E" w:rsidRPr="007C25DE" w:rsidRDefault="0077331E" w:rsidP="00BD3008">
      <w:pPr>
        <w:pStyle w:val="FootnoteText"/>
        <w:rPr>
          <w:rFonts w:ascii="Verdana" w:hAnsi="Verdana"/>
          <w:sz w:val="16"/>
          <w:szCs w:val="16"/>
        </w:rPr>
      </w:pPr>
      <w:r w:rsidRPr="007C25DE">
        <w:rPr>
          <w:rStyle w:val="FootnoteReference"/>
          <w:rFonts w:ascii="Verdana" w:hAnsi="Verdana"/>
          <w:sz w:val="16"/>
          <w:szCs w:val="16"/>
        </w:rPr>
        <w:footnoteRef/>
      </w:r>
      <w:r w:rsidRPr="007C25DE">
        <w:rPr>
          <w:rFonts w:ascii="Verdana" w:hAnsi="Verdana"/>
          <w:sz w:val="16"/>
          <w:szCs w:val="16"/>
        </w:rPr>
        <w:t xml:space="preserve"> Kamerstukken II 2024/2025, 22112, nr. 4027</w:t>
      </w:r>
    </w:p>
  </w:footnote>
  <w:footnote w:id="10">
    <w:p w14:paraId="2568C7B1" w14:textId="61703AAD" w:rsidR="0077331E" w:rsidRPr="007C25DE" w:rsidRDefault="0077331E">
      <w:pPr>
        <w:pStyle w:val="FootnoteText"/>
        <w:rPr>
          <w:rFonts w:ascii="Verdana" w:hAnsi="Verdana"/>
          <w:sz w:val="16"/>
          <w:szCs w:val="16"/>
        </w:rPr>
      </w:pPr>
      <w:r w:rsidRPr="007C25DE">
        <w:rPr>
          <w:rStyle w:val="FootnoteReference"/>
          <w:rFonts w:ascii="Verdana" w:hAnsi="Verdana"/>
          <w:sz w:val="16"/>
          <w:szCs w:val="16"/>
        </w:rPr>
        <w:footnoteRef/>
      </w:r>
      <w:r w:rsidRPr="007C25DE">
        <w:rPr>
          <w:rFonts w:ascii="Verdana" w:hAnsi="Verdana"/>
          <w:sz w:val="16"/>
          <w:szCs w:val="16"/>
        </w:rPr>
        <w:t xml:space="preserve"> </w:t>
      </w:r>
      <w:hyperlink r:id="rId1" w:history="1">
        <w:r w:rsidRPr="007C25DE">
          <w:rPr>
            <w:rStyle w:val="Hyperlink"/>
            <w:rFonts w:ascii="Verdana" w:hAnsi="Verdana"/>
            <w:sz w:val="16"/>
            <w:szCs w:val="16"/>
          </w:rPr>
          <w:t>https://eur-lex.europa.eu/eli/reg/2025/1106/oj</w:t>
        </w:r>
      </w:hyperlink>
    </w:p>
  </w:footnote>
  <w:footnote w:id="11">
    <w:p w14:paraId="7BB9B3ED" w14:textId="075EAFB5" w:rsidR="0077331E" w:rsidRPr="007C25DE" w:rsidRDefault="0077331E" w:rsidP="00BD3008">
      <w:pPr>
        <w:pStyle w:val="FootnoteText"/>
        <w:rPr>
          <w:rFonts w:ascii="Verdana" w:hAnsi="Verdana"/>
          <w:sz w:val="16"/>
          <w:szCs w:val="16"/>
        </w:rPr>
      </w:pPr>
      <w:r w:rsidRPr="007C25DE">
        <w:rPr>
          <w:rStyle w:val="FootnoteReference"/>
          <w:rFonts w:ascii="Verdana" w:hAnsi="Verdana"/>
          <w:sz w:val="16"/>
          <w:szCs w:val="16"/>
        </w:rPr>
        <w:footnoteRef/>
      </w:r>
      <w:r w:rsidRPr="007C25DE">
        <w:rPr>
          <w:rFonts w:ascii="Verdana" w:hAnsi="Verdana"/>
          <w:sz w:val="16"/>
          <w:szCs w:val="16"/>
        </w:rPr>
        <w:t xml:space="preserve"> Kamerstukken II 2024/2025, 22112, nr. 4066 </w:t>
      </w:r>
    </w:p>
  </w:footnote>
  <w:footnote w:id="12">
    <w:p w14:paraId="1E3894D1" w14:textId="486ECFF7" w:rsidR="0077331E" w:rsidRPr="007C25DE" w:rsidRDefault="0077331E" w:rsidP="00BD3008">
      <w:pPr>
        <w:pStyle w:val="FootnoteText"/>
        <w:rPr>
          <w:rFonts w:ascii="Verdana" w:hAnsi="Verdana"/>
          <w:sz w:val="16"/>
          <w:szCs w:val="16"/>
        </w:rPr>
      </w:pPr>
      <w:r w:rsidRPr="007C25DE">
        <w:rPr>
          <w:rStyle w:val="FootnoteReference"/>
          <w:rFonts w:ascii="Verdana" w:hAnsi="Verdana"/>
          <w:sz w:val="16"/>
          <w:szCs w:val="16"/>
        </w:rPr>
        <w:footnoteRef/>
      </w:r>
      <w:r w:rsidRPr="007C25DE">
        <w:rPr>
          <w:rFonts w:ascii="Verdana" w:hAnsi="Verdana"/>
          <w:sz w:val="16"/>
          <w:szCs w:val="16"/>
        </w:rPr>
        <w:t xml:space="preserve"> Kamerstukken II 2024/2025, 36600-X, nr. 84</w:t>
      </w:r>
    </w:p>
  </w:footnote>
  <w:footnote w:id="13">
    <w:p w14:paraId="7BB1EA5E" w14:textId="611ED988" w:rsidR="0077331E" w:rsidRPr="007C25DE" w:rsidRDefault="0077331E" w:rsidP="00BD3008">
      <w:pPr>
        <w:pStyle w:val="FootnoteText"/>
        <w:rPr>
          <w:rFonts w:ascii="Verdana" w:hAnsi="Verdana"/>
          <w:sz w:val="16"/>
          <w:szCs w:val="16"/>
        </w:rPr>
      </w:pPr>
      <w:r w:rsidRPr="007C25DE">
        <w:rPr>
          <w:rStyle w:val="FootnoteReference"/>
          <w:rFonts w:ascii="Verdana" w:hAnsi="Verdana"/>
          <w:sz w:val="16"/>
          <w:szCs w:val="16"/>
        </w:rPr>
        <w:footnoteRef/>
      </w:r>
      <w:r w:rsidRPr="007C25DE">
        <w:rPr>
          <w:rFonts w:ascii="Verdana" w:hAnsi="Verdana"/>
          <w:sz w:val="16"/>
          <w:szCs w:val="16"/>
        </w:rPr>
        <w:t xml:space="preserve"> Defensienota 2024: Sterk, slim en samen; Kamerstukken II 2024/2025, 36592, nr. 1</w:t>
      </w:r>
    </w:p>
  </w:footnote>
  <w:footnote w:id="14">
    <w:p w14:paraId="73790D2F" w14:textId="00A550F1" w:rsidR="0077331E" w:rsidRPr="007C25DE" w:rsidRDefault="0077331E" w:rsidP="00BD3008">
      <w:pPr>
        <w:pStyle w:val="FootnoteText"/>
        <w:rPr>
          <w:rFonts w:ascii="Verdana" w:hAnsi="Verdana"/>
          <w:sz w:val="16"/>
          <w:szCs w:val="16"/>
        </w:rPr>
      </w:pPr>
      <w:r w:rsidRPr="007C25DE">
        <w:rPr>
          <w:rStyle w:val="FootnoteReference"/>
          <w:rFonts w:ascii="Verdana" w:hAnsi="Verdana"/>
          <w:sz w:val="16"/>
          <w:szCs w:val="16"/>
        </w:rPr>
        <w:footnoteRef/>
      </w:r>
      <w:r w:rsidRPr="007C25DE">
        <w:rPr>
          <w:rFonts w:ascii="Verdana" w:hAnsi="Verdana"/>
          <w:sz w:val="16"/>
          <w:szCs w:val="16"/>
        </w:rPr>
        <w:t xml:space="preserve"> Kamerstukken II 2024/2025, 31125, nr. 134</w:t>
      </w:r>
    </w:p>
  </w:footnote>
  <w:footnote w:id="15">
    <w:p w14:paraId="103075E0" w14:textId="77777777" w:rsidR="0077331E" w:rsidRPr="007C25DE" w:rsidRDefault="0077331E" w:rsidP="00680930">
      <w:pPr>
        <w:pStyle w:val="FootnoteText"/>
        <w:rPr>
          <w:rFonts w:ascii="Verdana" w:hAnsi="Verdana"/>
          <w:sz w:val="16"/>
          <w:szCs w:val="16"/>
        </w:rPr>
      </w:pPr>
      <w:r w:rsidRPr="007C25DE">
        <w:rPr>
          <w:rStyle w:val="FootnoteReference"/>
          <w:rFonts w:ascii="Verdana" w:hAnsi="Verdana"/>
          <w:sz w:val="16"/>
          <w:szCs w:val="16"/>
        </w:rPr>
        <w:footnoteRef/>
      </w:r>
      <w:r w:rsidRPr="007C25DE">
        <w:rPr>
          <w:rFonts w:ascii="Verdana" w:hAnsi="Verdana"/>
          <w:sz w:val="16"/>
          <w:szCs w:val="16"/>
        </w:rPr>
        <w:t xml:space="preserve"> Het Ministerie van Economische Zaken rapporteert tweejaarlijks over de resultaten van het Industriële Participatiebeleid, zie Kamerstukken II 2023/2024, 26231, nr. 36.</w:t>
      </w:r>
    </w:p>
  </w:footnote>
  <w:footnote w:id="16">
    <w:p w14:paraId="05FBB9CA" w14:textId="7B48DF3E" w:rsidR="0077331E" w:rsidRPr="007C25DE" w:rsidRDefault="0077331E" w:rsidP="00BD3008">
      <w:pPr>
        <w:pStyle w:val="FootnoteText"/>
        <w:rPr>
          <w:rFonts w:ascii="Verdana" w:hAnsi="Verdana"/>
          <w:sz w:val="16"/>
          <w:szCs w:val="16"/>
        </w:rPr>
      </w:pPr>
      <w:r w:rsidRPr="007C25DE">
        <w:rPr>
          <w:rStyle w:val="FootnoteReference"/>
          <w:rFonts w:ascii="Verdana" w:hAnsi="Verdana"/>
          <w:sz w:val="16"/>
          <w:szCs w:val="16"/>
        </w:rPr>
        <w:footnoteRef/>
      </w:r>
      <w:r w:rsidRPr="007C25DE">
        <w:rPr>
          <w:rFonts w:ascii="Verdana" w:hAnsi="Verdana"/>
          <w:sz w:val="16"/>
          <w:szCs w:val="16"/>
        </w:rPr>
        <w:t xml:space="preserve"> Kamerstukken II 2024/2025, 27830, nr. 445</w:t>
      </w:r>
    </w:p>
  </w:footnote>
  <w:footnote w:id="17">
    <w:p w14:paraId="25133BA6" w14:textId="6AC6AE98" w:rsidR="0077331E" w:rsidRPr="007C25DE" w:rsidRDefault="0077331E" w:rsidP="00BD3008">
      <w:pPr>
        <w:pStyle w:val="FootnoteText"/>
        <w:rPr>
          <w:rFonts w:ascii="Verdana" w:hAnsi="Verdana"/>
          <w:sz w:val="16"/>
          <w:szCs w:val="16"/>
        </w:rPr>
      </w:pPr>
      <w:r w:rsidRPr="007C25DE">
        <w:rPr>
          <w:rStyle w:val="FootnoteReference"/>
          <w:rFonts w:ascii="Verdana" w:hAnsi="Verdana"/>
          <w:sz w:val="16"/>
          <w:szCs w:val="16"/>
        </w:rPr>
        <w:footnoteRef/>
      </w:r>
      <w:r w:rsidRPr="007C25DE">
        <w:rPr>
          <w:rFonts w:ascii="Verdana" w:hAnsi="Verdana"/>
          <w:sz w:val="16"/>
          <w:szCs w:val="16"/>
        </w:rPr>
        <w:t xml:space="preserve"> A-brief project ‘Integratie Commandovoorzieningen Vlootverbanden’, Kamerstukken II 2024/2025, 27830, nr. 455</w:t>
      </w:r>
    </w:p>
  </w:footnote>
  <w:footnote w:id="18">
    <w:p w14:paraId="6DE40ACC" w14:textId="71285163" w:rsidR="0077331E" w:rsidRPr="007C25DE" w:rsidRDefault="0077331E" w:rsidP="00BD3008">
      <w:pPr>
        <w:pStyle w:val="FootnoteText"/>
        <w:rPr>
          <w:rFonts w:ascii="Verdana" w:hAnsi="Verdana"/>
          <w:sz w:val="16"/>
          <w:szCs w:val="16"/>
        </w:rPr>
      </w:pPr>
      <w:r w:rsidRPr="007C25DE">
        <w:rPr>
          <w:rStyle w:val="FootnoteReference"/>
          <w:rFonts w:ascii="Verdana" w:hAnsi="Verdana"/>
          <w:sz w:val="16"/>
          <w:szCs w:val="16"/>
        </w:rPr>
        <w:footnoteRef/>
      </w:r>
      <w:r w:rsidRPr="007C25DE">
        <w:rPr>
          <w:rFonts w:ascii="Verdana" w:hAnsi="Verdana"/>
          <w:sz w:val="16"/>
          <w:szCs w:val="16"/>
        </w:rPr>
        <w:t xml:space="preserve"> Beantwoording feitelijke vragen over de A-brief projecten ‘Vervanging LC-fregatten’ en ‘Bewapening maritieme lucht- en raketverdediging’, Kamerstukken II 2024/2025, 27830, nr. 432 </w:t>
      </w:r>
    </w:p>
  </w:footnote>
  <w:footnote w:id="19">
    <w:p w14:paraId="607F167D" w14:textId="114DE30A" w:rsidR="0077331E" w:rsidRPr="007C25DE" w:rsidRDefault="0077331E" w:rsidP="00BD3008">
      <w:pPr>
        <w:pStyle w:val="FootnoteText"/>
        <w:rPr>
          <w:rFonts w:ascii="Verdana" w:hAnsi="Verdana"/>
          <w:sz w:val="16"/>
          <w:szCs w:val="16"/>
        </w:rPr>
      </w:pPr>
      <w:r w:rsidRPr="007C25DE">
        <w:rPr>
          <w:rStyle w:val="FootnoteReference"/>
          <w:rFonts w:ascii="Verdana" w:hAnsi="Verdana"/>
          <w:sz w:val="16"/>
          <w:szCs w:val="16"/>
        </w:rPr>
        <w:footnoteRef/>
      </w:r>
      <w:r w:rsidRPr="007C25DE">
        <w:rPr>
          <w:rFonts w:ascii="Verdana" w:hAnsi="Verdana"/>
          <w:sz w:val="16"/>
          <w:szCs w:val="16"/>
        </w:rPr>
        <w:t xml:space="preserve"> Kamerstukken II 1996/1997, 25000-X, nr. 73</w:t>
      </w:r>
    </w:p>
  </w:footnote>
  <w:footnote w:id="20">
    <w:p w14:paraId="068EA649" w14:textId="7E5FC452" w:rsidR="0077331E" w:rsidRPr="007C25DE" w:rsidRDefault="0077331E" w:rsidP="00BD3008">
      <w:pPr>
        <w:pStyle w:val="FootnoteText"/>
        <w:rPr>
          <w:rFonts w:ascii="Verdana" w:hAnsi="Verdana"/>
          <w:sz w:val="16"/>
          <w:szCs w:val="16"/>
        </w:rPr>
      </w:pPr>
      <w:r w:rsidRPr="007C25DE">
        <w:rPr>
          <w:rStyle w:val="FootnoteReference"/>
          <w:rFonts w:ascii="Verdana" w:hAnsi="Verdana"/>
          <w:sz w:val="16"/>
          <w:szCs w:val="16"/>
        </w:rPr>
        <w:footnoteRef/>
      </w:r>
      <w:r w:rsidRPr="007C25DE">
        <w:rPr>
          <w:rFonts w:ascii="Verdana" w:hAnsi="Verdana"/>
          <w:sz w:val="16"/>
          <w:szCs w:val="16"/>
        </w:rPr>
        <w:t xml:space="preserve"> Kamerstukken II 2001/2002, 27653, nr. 1 </w:t>
      </w:r>
    </w:p>
  </w:footnote>
  <w:footnote w:id="21">
    <w:p w14:paraId="298DEF13" w14:textId="7FD736D7" w:rsidR="0077331E" w:rsidRPr="007C25DE" w:rsidRDefault="0077331E" w:rsidP="00BD3008">
      <w:pPr>
        <w:pStyle w:val="FootnoteText"/>
        <w:rPr>
          <w:rFonts w:ascii="Verdana" w:hAnsi="Verdana"/>
          <w:sz w:val="16"/>
          <w:szCs w:val="16"/>
        </w:rPr>
      </w:pPr>
      <w:r w:rsidRPr="007C25DE">
        <w:rPr>
          <w:rStyle w:val="FootnoteReference"/>
          <w:rFonts w:ascii="Verdana" w:hAnsi="Verdana"/>
          <w:sz w:val="16"/>
          <w:szCs w:val="16"/>
        </w:rPr>
        <w:footnoteRef/>
      </w:r>
      <w:r w:rsidRPr="007C25DE">
        <w:rPr>
          <w:rFonts w:ascii="Verdana" w:hAnsi="Verdana"/>
          <w:sz w:val="16"/>
          <w:szCs w:val="16"/>
        </w:rPr>
        <w:t xml:space="preserve"> Kamerstukken II 2002/2003, 27653, nr. 8 </w:t>
      </w:r>
    </w:p>
  </w:footnote>
  <w:footnote w:id="22">
    <w:p w14:paraId="45197A5A" w14:textId="740BB2CC" w:rsidR="0077331E" w:rsidRPr="007C25DE" w:rsidRDefault="0077331E" w:rsidP="00BD3008">
      <w:pPr>
        <w:pStyle w:val="FootnoteText"/>
        <w:rPr>
          <w:rFonts w:ascii="Verdana" w:hAnsi="Verdana"/>
          <w:sz w:val="16"/>
          <w:szCs w:val="16"/>
        </w:rPr>
      </w:pPr>
      <w:r w:rsidRPr="007C25DE">
        <w:rPr>
          <w:rStyle w:val="FootnoteReference"/>
          <w:rFonts w:ascii="Verdana" w:hAnsi="Verdana"/>
          <w:sz w:val="16"/>
          <w:szCs w:val="16"/>
        </w:rPr>
        <w:footnoteRef/>
      </w:r>
      <w:r w:rsidRPr="007C25DE">
        <w:rPr>
          <w:rFonts w:ascii="Verdana" w:hAnsi="Verdana"/>
          <w:sz w:val="16"/>
          <w:szCs w:val="16"/>
        </w:rPr>
        <w:t xml:space="preserve"> Kamerstukken II 2001/2002, 27653, nr. 7 </w:t>
      </w:r>
    </w:p>
  </w:footnote>
  <w:footnote w:id="23">
    <w:p w14:paraId="735AEF0A" w14:textId="3AFB857C" w:rsidR="0077331E" w:rsidRPr="006A113C" w:rsidRDefault="0077331E">
      <w:pPr>
        <w:pStyle w:val="FootnoteText"/>
        <w:rPr>
          <w:rFonts w:ascii="Verdana" w:hAnsi="Verdana"/>
          <w:sz w:val="16"/>
          <w:szCs w:val="16"/>
        </w:rPr>
      </w:pPr>
      <w:r w:rsidRPr="007C25DE">
        <w:rPr>
          <w:rStyle w:val="FootnoteReference"/>
          <w:rFonts w:ascii="Verdana" w:hAnsi="Verdana"/>
          <w:sz w:val="16"/>
          <w:szCs w:val="16"/>
        </w:rPr>
        <w:footnoteRef/>
      </w:r>
      <w:r w:rsidRPr="006A113C">
        <w:rPr>
          <w:rFonts w:ascii="Verdana" w:hAnsi="Verdana"/>
          <w:sz w:val="16"/>
          <w:szCs w:val="16"/>
        </w:rPr>
        <w:t xml:space="preserve"> Kamerstukken II 2023/2024, 27830, nr. 420 </w:t>
      </w:r>
    </w:p>
  </w:footnote>
  <w:footnote w:id="24">
    <w:p w14:paraId="4E73A991" w14:textId="2037CE2B" w:rsidR="0077331E" w:rsidRPr="007C25DE" w:rsidRDefault="0077331E" w:rsidP="00BD3008">
      <w:pPr>
        <w:pStyle w:val="FootnoteText"/>
        <w:rPr>
          <w:rFonts w:ascii="Verdana" w:hAnsi="Verdana"/>
          <w:sz w:val="16"/>
          <w:szCs w:val="16"/>
        </w:rPr>
      </w:pPr>
      <w:r w:rsidRPr="007C25DE">
        <w:rPr>
          <w:rStyle w:val="FootnoteReference"/>
          <w:rFonts w:ascii="Verdana" w:hAnsi="Verdana"/>
          <w:sz w:val="16"/>
          <w:szCs w:val="16"/>
        </w:rPr>
        <w:footnoteRef/>
      </w:r>
      <w:r w:rsidRPr="007C25DE">
        <w:rPr>
          <w:rFonts w:ascii="Verdana" w:hAnsi="Verdana"/>
          <w:sz w:val="16"/>
          <w:szCs w:val="16"/>
        </w:rPr>
        <w:t xml:space="preserve"> Kamerstukken II 2023/2024, 27830, nr. 431 </w:t>
      </w:r>
    </w:p>
  </w:footnote>
  <w:footnote w:id="25">
    <w:p w14:paraId="399C6051" w14:textId="2F3232E9" w:rsidR="0077331E" w:rsidRPr="00C81BD3" w:rsidRDefault="0077331E">
      <w:pPr>
        <w:pStyle w:val="FootnoteText"/>
      </w:pPr>
      <w:r>
        <w:rPr>
          <w:rStyle w:val="FootnoteReference"/>
        </w:rPr>
        <w:footnoteRef/>
      </w:r>
      <w:r>
        <w:t xml:space="preserve"> </w:t>
      </w:r>
      <w:r w:rsidRPr="00C81BD3">
        <w:t>Richtlijn 2009/81/EG van het Europees Parlement en de Raad van 13 juli 2009 betreffende de coördinatie van de procedures voor het plaatsen door aanbestedende diensten van bepaalde opdrachten voor werken, leveringen en diensten op defensie- en veiligheidsgebied, en tot wijziging van Richtlijnen 2004/17/EG en 2004/18/EG</w:t>
      </w:r>
      <w:r>
        <w:t xml:space="preserve"> (PB EU 2009 L 216)</w:t>
      </w:r>
    </w:p>
  </w:footnote>
  <w:footnote w:id="26">
    <w:p w14:paraId="2D744F8F" w14:textId="1DF1D189" w:rsidR="0077331E" w:rsidRPr="007C25DE" w:rsidRDefault="0077331E" w:rsidP="009E77A9">
      <w:pPr>
        <w:pStyle w:val="FootnoteText"/>
        <w:rPr>
          <w:rFonts w:ascii="Verdana" w:hAnsi="Verdana"/>
          <w:sz w:val="16"/>
          <w:szCs w:val="16"/>
        </w:rPr>
      </w:pPr>
      <w:r w:rsidRPr="007C25DE">
        <w:rPr>
          <w:rStyle w:val="FootnoteReference"/>
          <w:rFonts w:ascii="Verdana" w:hAnsi="Verdana"/>
          <w:sz w:val="16"/>
          <w:szCs w:val="16"/>
        </w:rPr>
        <w:footnoteRef/>
      </w:r>
      <w:r w:rsidRPr="007C25DE">
        <w:rPr>
          <w:rFonts w:ascii="Verdana" w:hAnsi="Verdana"/>
          <w:sz w:val="16"/>
          <w:szCs w:val="16"/>
        </w:rPr>
        <w:t xml:space="preserve"> Zie bijvoorbeeld het op 7 november 2023 te Oslo tot stand gekomen Beveiligingsverdrag tussen het Koninkrijk der Nederlanden en het Koninkrijk Noorwegen inzake de uitwisseling en wederzijdse beveiliging van gerubriceerde gegevens (</w:t>
      </w:r>
      <w:proofErr w:type="spellStart"/>
      <w:r w:rsidRPr="007C25DE">
        <w:rPr>
          <w:rFonts w:ascii="Verdana" w:hAnsi="Verdana"/>
          <w:i/>
          <w:sz w:val="16"/>
          <w:szCs w:val="16"/>
        </w:rPr>
        <w:t>Trb</w:t>
      </w:r>
      <w:proofErr w:type="spellEnd"/>
      <w:r w:rsidRPr="007C25DE">
        <w:rPr>
          <w:rFonts w:ascii="Verdana" w:hAnsi="Verdana"/>
          <w:sz w:val="16"/>
          <w:szCs w:val="16"/>
        </w:rPr>
        <w:t>. 2023,132)</w:t>
      </w:r>
    </w:p>
  </w:footnote>
  <w:footnote w:id="27">
    <w:p w14:paraId="68EE0A51" w14:textId="77777777" w:rsidR="0077331E" w:rsidRPr="007C25DE" w:rsidRDefault="0077331E" w:rsidP="000F226F">
      <w:pPr>
        <w:pStyle w:val="FootnoteText"/>
        <w:rPr>
          <w:rFonts w:ascii="Verdana" w:hAnsi="Verdana"/>
          <w:sz w:val="16"/>
          <w:szCs w:val="16"/>
        </w:rPr>
      </w:pPr>
      <w:r w:rsidRPr="007C25DE">
        <w:rPr>
          <w:rStyle w:val="FootnoteReference"/>
          <w:rFonts w:ascii="Verdana" w:hAnsi="Verdana"/>
          <w:sz w:val="16"/>
          <w:szCs w:val="16"/>
        </w:rPr>
        <w:footnoteRef/>
      </w:r>
      <w:r w:rsidRPr="007C25DE">
        <w:rPr>
          <w:rFonts w:ascii="Verdana" w:hAnsi="Verdana"/>
          <w:sz w:val="16"/>
          <w:szCs w:val="16"/>
        </w:rPr>
        <w:t xml:space="preserve"> Zie de voorbeelden op: </w:t>
      </w:r>
      <w:hyperlink r:id="rId2" w:history="1">
        <w:r w:rsidRPr="007C25DE">
          <w:rPr>
            <w:rStyle w:val="Hyperlink"/>
            <w:rFonts w:ascii="Verdana" w:hAnsi="Verdana"/>
            <w:sz w:val="16"/>
            <w:szCs w:val="16"/>
          </w:rPr>
          <w:t>https://www.occar.int/our-work/general-security-agreements</w:t>
        </w:r>
      </w:hyperlink>
      <w:r w:rsidRPr="007C25DE">
        <w:rPr>
          <w:rFonts w:ascii="Verdana" w:hAnsi="Verdana"/>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790B"/>
    <w:multiLevelType w:val="multilevel"/>
    <w:tmpl w:val="5CA830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5F33559"/>
    <w:multiLevelType w:val="hybridMultilevel"/>
    <w:tmpl w:val="35E633DA"/>
    <w:lvl w:ilvl="0" w:tplc="31D408A0">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322B35"/>
    <w:multiLevelType w:val="hybridMultilevel"/>
    <w:tmpl w:val="DD5A3FA6"/>
    <w:lvl w:ilvl="0" w:tplc="98383C62">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1063B5"/>
    <w:multiLevelType w:val="multilevel"/>
    <w:tmpl w:val="2D0EBD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B71219"/>
    <w:multiLevelType w:val="hybridMultilevel"/>
    <w:tmpl w:val="FC62FE1C"/>
    <w:lvl w:ilvl="0" w:tplc="1C7E775C">
      <w:start w:val="1"/>
      <w:numFmt w:val="decimal"/>
      <w:lvlText w:val="%1."/>
      <w:lvlJc w:val="left"/>
      <w:pPr>
        <w:ind w:left="360" w:hanging="360"/>
      </w:pPr>
      <w:rPr>
        <w:rFonts w:ascii="Verdana" w:hAnsi="Verdana" w:hint="default"/>
        <w:b/>
        <w:sz w:val="18"/>
        <w:szCs w:val="18"/>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4F46512"/>
    <w:multiLevelType w:val="hybridMultilevel"/>
    <w:tmpl w:val="57106A2C"/>
    <w:lvl w:ilvl="0" w:tplc="8F0673EE">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FE7224"/>
    <w:multiLevelType w:val="multilevel"/>
    <w:tmpl w:val="5CA83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E2E2924"/>
    <w:multiLevelType w:val="multilevel"/>
    <w:tmpl w:val="0C5EF8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4D67AD9"/>
    <w:multiLevelType w:val="hybridMultilevel"/>
    <w:tmpl w:val="3EBC17C2"/>
    <w:lvl w:ilvl="0" w:tplc="D3E6D246">
      <w:start w:val="3"/>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76F39EF"/>
    <w:multiLevelType w:val="multilevel"/>
    <w:tmpl w:val="B0309E9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19F6B8F"/>
    <w:multiLevelType w:val="multilevel"/>
    <w:tmpl w:val="B1E07E9A"/>
    <w:lvl w:ilvl="0">
      <w:start w:val="1"/>
      <w:numFmt w:val="decimal"/>
      <w:lvlText w:val="%1."/>
      <w:lvlJc w:val="left"/>
      <w:pPr>
        <w:ind w:left="720" w:hanging="360"/>
      </w:pPr>
      <w:rPr>
        <w:rFonts w:hint="default"/>
      </w:rPr>
    </w:lvl>
    <w:lvl w:ilvl="1">
      <w:start w:val="3"/>
      <w:numFmt w:val="decimal"/>
      <w:isLgl/>
      <w:lvlText w:val="%1.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EFB752D"/>
    <w:multiLevelType w:val="hybridMultilevel"/>
    <w:tmpl w:val="3EBE681A"/>
    <w:lvl w:ilvl="0" w:tplc="4252BB84">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E846071"/>
    <w:multiLevelType w:val="hybridMultilevel"/>
    <w:tmpl w:val="A02C5694"/>
    <w:lvl w:ilvl="0" w:tplc="F5FECE9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88073895">
    <w:abstractNumId w:val="10"/>
  </w:num>
  <w:num w:numId="2" w16cid:durableId="683558709">
    <w:abstractNumId w:val="11"/>
  </w:num>
  <w:num w:numId="3" w16cid:durableId="415565390">
    <w:abstractNumId w:val="12"/>
  </w:num>
  <w:num w:numId="4" w16cid:durableId="122238646">
    <w:abstractNumId w:val="8"/>
  </w:num>
  <w:num w:numId="5" w16cid:durableId="150341003">
    <w:abstractNumId w:val="12"/>
  </w:num>
  <w:num w:numId="6" w16cid:durableId="1274749841">
    <w:abstractNumId w:val="2"/>
  </w:num>
  <w:num w:numId="7" w16cid:durableId="542714215">
    <w:abstractNumId w:val="1"/>
  </w:num>
  <w:num w:numId="8" w16cid:durableId="164978812">
    <w:abstractNumId w:val="3"/>
  </w:num>
  <w:num w:numId="9" w16cid:durableId="29653247">
    <w:abstractNumId w:val="6"/>
  </w:num>
  <w:num w:numId="10" w16cid:durableId="1739282941">
    <w:abstractNumId w:val="4"/>
  </w:num>
  <w:num w:numId="11" w16cid:durableId="1761176884">
    <w:abstractNumId w:val="0"/>
  </w:num>
  <w:num w:numId="12" w16cid:durableId="1091007700">
    <w:abstractNumId w:val="9"/>
  </w:num>
  <w:num w:numId="13" w16cid:durableId="79450957">
    <w:abstractNumId w:val="7"/>
  </w:num>
  <w:num w:numId="14" w16cid:durableId="709114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BAA"/>
    <w:rsid w:val="00000484"/>
    <w:rsid w:val="000011C2"/>
    <w:rsid w:val="00001863"/>
    <w:rsid w:val="00001DD3"/>
    <w:rsid w:val="000025B9"/>
    <w:rsid w:val="00002B91"/>
    <w:rsid w:val="000055E1"/>
    <w:rsid w:val="0001069B"/>
    <w:rsid w:val="00010F21"/>
    <w:rsid w:val="000134F1"/>
    <w:rsid w:val="00016BC8"/>
    <w:rsid w:val="00016FB2"/>
    <w:rsid w:val="00021392"/>
    <w:rsid w:val="00024A77"/>
    <w:rsid w:val="0002575F"/>
    <w:rsid w:val="00031DA8"/>
    <w:rsid w:val="00034F22"/>
    <w:rsid w:val="000360B5"/>
    <w:rsid w:val="00036F3D"/>
    <w:rsid w:val="00041659"/>
    <w:rsid w:val="0004207E"/>
    <w:rsid w:val="00045875"/>
    <w:rsid w:val="00046459"/>
    <w:rsid w:val="00046D9C"/>
    <w:rsid w:val="00050A72"/>
    <w:rsid w:val="000630A8"/>
    <w:rsid w:val="00063825"/>
    <w:rsid w:val="00064E8F"/>
    <w:rsid w:val="000659A7"/>
    <w:rsid w:val="00077192"/>
    <w:rsid w:val="000845B2"/>
    <w:rsid w:val="000848F0"/>
    <w:rsid w:val="000850F4"/>
    <w:rsid w:val="00085C36"/>
    <w:rsid w:val="00086238"/>
    <w:rsid w:val="00086C2A"/>
    <w:rsid w:val="000918B9"/>
    <w:rsid w:val="00092FF8"/>
    <w:rsid w:val="00093492"/>
    <w:rsid w:val="00094623"/>
    <w:rsid w:val="0009516A"/>
    <w:rsid w:val="00096EFA"/>
    <w:rsid w:val="000A1C73"/>
    <w:rsid w:val="000A27E4"/>
    <w:rsid w:val="000B2F54"/>
    <w:rsid w:val="000B7503"/>
    <w:rsid w:val="000B7CCA"/>
    <w:rsid w:val="000C01AB"/>
    <w:rsid w:val="000C2CAB"/>
    <w:rsid w:val="000C2F7A"/>
    <w:rsid w:val="000C4E1C"/>
    <w:rsid w:val="000C66E3"/>
    <w:rsid w:val="000C7437"/>
    <w:rsid w:val="000D0C45"/>
    <w:rsid w:val="000D482E"/>
    <w:rsid w:val="000E2898"/>
    <w:rsid w:val="000E4138"/>
    <w:rsid w:val="000E46DF"/>
    <w:rsid w:val="000E5874"/>
    <w:rsid w:val="000F048C"/>
    <w:rsid w:val="000F1911"/>
    <w:rsid w:val="000F226F"/>
    <w:rsid w:val="000F2D5D"/>
    <w:rsid w:val="000F4FF7"/>
    <w:rsid w:val="000F52E8"/>
    <w:rsid w:val="00100097"/>
    <w:rsid w:val="00101107"/>
    <w:rsid w:val="001020D1"/>
    <w:rsid w:val="001070DF"/>
    <w:rsid w:val="001070FF"/>
    <w:rsid w:val="001208C9"/>
    <w:rsid w:val="00120DC3"/>
    <w:rsid w:val="001210EE"/>
    <w:rsid w:val="00121EF5"/>
    <w:rsid w:val="001223FD"/>
    <w:rsid w:val="001263F5"/>
    <w:rsid w:val="0012730A"/>
    <w:rsid w:val="0013667B"/>
    <w:rsid w:val="001401B1"/>
    <w:rsid w:val="00144B0A"/>
    <w:rsid w:val="00145DC2"/>
    <w:rsid w:val="00145EAC"/>
    <w:rsid w:val="001474E4"/>
    <w:rsid w:val="001505EC"/>
    <w:rsid w:val="00155C30"/>
    <w:rsid w:val="0015783F"/>
    <w:rsid w:val="00157BE9"/>
    <w:rsid w:val="00160BF1"/>
    <w:rsid w:val="0016143C"/>
    <w:rsid w:val="001616B2"/>
    <w:rsid w:val="00161E5B"/>
    <w:rsid w:val="001645C9"/>
    <w:rsid w:val="00166844"/>
    <w:rsid w:val="00171C56"/>
    <w:rsid w:val="0017432C"/>
    <w:rsid w:val="001759AA"/>
    <w:rsid w:val="00177789"/>
    <w:rsid w:val="0018139F"/>
    <w:rsid w:val="00182B43"/>
    <w:rsid w:val="00183739"/>
    <w:rsid w:val="00190D2A"/>
    <w:rsid w:val="001916FE"/>
    <w:rsid w:val="00191FC0"/>
    <w:rsid w:val="001A2F22"/>
    <w:rsid w:val="001A5A77"/>
    <w:rsid w:val="001A7E2E"/>
    <w:rsid w:val="001B17BC"/>
    <w:rsid w:val="001B378F"/>
    <w:rsid w:val="001B5CFC"/>
    <w:rsid w:val="001C4E01"/>
    <w:rsid w:val="001C61DE"/>
    <w:rsid w:val="001D05B1"/>
    <w:rsid w:val="001D0C41"/>
    <w:rsid w:val="001D1A53"/>
    <w:rsid w:val="001D568E"/>
    <w:rsid w:val="001D589F"/>
    <w:rsid w:val="001D5F98"/>
    <w:rsid w:val="001E0F52"/>
    <w:rsid w:val="001E22DA"/>
    <w:rsid w:val="001E6AF4"/>
    <w:rsid w:val="001F4A8F"/>
    <w:rsid w:val="001F586D"/>
    <w:rsid w:val="001F65E0"/>
    <w:rsid w:val="001F66AE"/>
    <w:rsid w:val="002000AB"/>
    <w:rsid w:val="0020047A"/>
    <w:rsid w:val="00201294"/>
    <w:rsid w:val="00204863"/>
    <w:rsid w:val="00204B40"/>
    <w:rsid w:val="00205933"/>
    <w:rsid w:val="00206390"/>
    <w:rsid w:val="00207F89"/>
    <w:rsid w:val="002143AC"/>
    <w:rsid w:val="002175E0"/>
    <w:rsid w:val="00222947"/>
    <w:rsid w:val="00224939"/>
    <w:rsid w:val="00226866"/>
    <w:rsid w:val="002275CE"/>
    <w:rsid w:val="0022773B"/>
    <w:rsid w:val="00231A87"/>
    <w:rsid w:val="00234480"/>
    <w:rsid w:val="00235140"/>
    <w:rsid w:val="00240B27"/>
    <w:rsid w:val="002411C8"/>
    <w:rsid w:val="002417B6"/>
    <w:rsid w:val="002457B7"/>
    <w:rsid w:val="002508A4"/>
    <w:rsid w:val="0025206C"/>
    <w:rsid w:val="002526C7"/>
    <w:rsid w:val="002545BD"/>
    <w:rsid w:val="00255329"/>
    <w:rsid w:val="002553BE"/>
    <w:rsid w:val="00256B8A"/>
    <w:rsid w:val="00260E91"/>
    <w:rsid w:val="00264B2C"/>
    <w:rsid w:val="0026582F"/>
    <w:rsid w:val="00265C01"/>
    <w:rsid w:val="002660A2"/>
    <w:rsid w:val="00270D81"/>
    <w:rsid w:val="002722C1"/>
    <w:rsid w:val="002753FC"/>
    <w:rsid w:val="00277640"/>
    <w:rsid w:val="0028286C"/>
    <w:rsid w:val="00283161"/>
    <w:rsid w:val="00283454"/>
    <w:rsid w:val="00283B07"/>
    <w:rsid w:val="00287085"/>
    <w:rsid w:val="00291F97"/>
    <w:rsid w:val="00292682"/>
    <w:rsid w:val="00293329"/>
    <w:rsid w:val="002937D3"/>
    <w:rsid w:val="002972C1"/>
    <w:rsid w:val="00297AC0"/>
    <w:rsid w:val="002A1F01"/>
    <w:rsid w:val="002A2F93"/>
    <w:rsid w:val="002A3220"/>
    <w:rsid w:val="002A3B8B"/>
    <w:rsid w:val="002A784C"/>
    <w:rsid w:val="002B149D"/>
    <w:rsid w:val="002B3DE0"/>
    <w:rsid w:val="002B646D"/>
    <w:rsid w:val="002C202C"/>
    <w:rsid w:val="002C5732"/>
    <w:rsid w:val="002C79AF"/>
    <w:rsid w:val="002D11E8"/>
    <w:rsid w:val="002D21CE"/>
    <w:rsid w:val="002D4155"/>
    <w:rsid w:val="002D4444"/>
    <w:rsid w:val="002D5098"/>
    <w:rsid w:val="002D50E1"/>
    <w:rsid w:val="002D540B"/>
    <w:rsid w:val="002D6805"/>
    <w:rsid w:val="002D7767"/>
    <w:rsid w:val="002E5149"/>
    <w:rsid w:val="002E5617"/>
    <w:rsid w:val="002E5935"/>
    <w:rsid w:val="002E6819"/>
    <w:rsid w:val="002E7835"/>
    <w:rsid w:val="002F413D"/>
    <w:rsid w:val="002F7994"/>
    <w:rsid w:val="00301B74"/>
    <w:rsid w:val="00302131"/>
    <w:rsid w:val="00305B41"/>
    <w:rsid w:val="0030735D"/>
    <w:rsid w:val="0031136E"/>
    <w:rsid w:val="003149B9"/>
    <w:rsid w:val="00315C97"/>
    <w:rsid w:val="00320379"/>
    <w:rsid w:val="00320AC1"/>
    <w:rsid w:val="00321ED2"/>
    <w:rsid w:val="0032410F"/>
    <w:rsid w:val="00326793"/>
    <w:rsid w:val="00327801"/>
    <w:rsid w:val="0033337F"/>
    <w:rsid w:val="00334458"/>
    <w:rsid w:val="00334869"/>
    <w:rsid w:val="003465B8"/>
    <w:rsid w:val="0034776B"/>
    <w:rsid w:val="003477AD"/>
    <w:rsid w:val="00350896"/>
    <w:rsid w:val="00350A00"/>
    <w:rsid w:val="00351EB5"/>
    <w:rsid w:val="00354412"/>
    <w:rsid w:val="00362162"/>
    <w:rsid w:val="00363FF9"/>
    <w:rsid w:val="003650F0"/>
    <w:rsid w:val="00371B9A"/>
    <w:rsid w:val="00373DB8"/>
    <w:rsid w:val="003748A0"/>
    <w:rsid w:val="003754A8"/>
    <w:rsid w:val="003765E8"/>
    <w:rsid w:val="003805FB"/>
    <w:rsid w:val="00381B79"/>
    <w:rsid w:val="00381C17"/>
    <w:rsid w:val="00383DA8"/>
    <w:rsid w:val="0038602C"/>
    <w:rsid w:val="00386D06"/>
    <w:rsid w:val="0039019D"/>
    <w:rsid w:val="00391333"/>
    <w:rsid w:val="00393584"/>
    <w:rsid w:val="00396297"/>
    <w:rsid w:val="003965FC"/>
    <w:rsid w:val="003A004F"/>
    <w:rsid w:val="003A4E79"/>
    <w:rsid w:val="003A520A"/>
    <w:rsid w:val="003B2390"/>
    <w:rsid w:val="003B3916"/>
    <w:rsid w:val="003B433C"/>
    <w:rsid w:val="003B45B0"/>
    <w:rsid w:val="003B5966"/>
    <w:rsid w:val="003B62D1"/>
    <w:rsid w:val="003B7233"/>
    <w:rsid w:val="003B7EFC"/>
    <w:rsid w:val="003C301D"/>
    <w:rsid w:val="003C330E"/>
    <w:rsid w:val="003C4772"/>
    <w:rsid w:val="003C709D"/>
    <w:rsid w:val="003C7A98"/>
    <w:rsid w:val="003D0BCD"/>
    <w:rsid w:val="003D1152"/>
    <w:rsid w:val="003D2B3A"/>
    <w:rsid w:val="003D454C"/>
    <w:rsid w:val="003D4FE8"/>
    <w:rsid w:val="003D71C8"/>
    <w:rsid w:val="003E0E64"/>
    <w:rsid w:val="003E2803"/>
    <w:rsid w:val="003E2C02"/>
    <w:rsid w:val="003E3110"/>
    <w:rsid w:val="003F05E3"/>
    <w:rsid w:val="003F0E26"/>
    <w:rsid w:val="003F3497"/>
    <w:rsid w:val="003F7100"/>
    <w:rsid w:val="00401F68"/>
    <w:rsid w:val="004029EA"/>
    <w:rsid w:val="00411D7E"/>
    <w:rsid w:val="004163DC"/>
    <w:rsid w:val="00416870"/>
    <w:rsid w:val="00420321"/>
    <w:rsid w:val="004222D3"/>
    <w:rsid w:val="0042266D"/>
    <w:rsid w:val="00422FFF"/>
    <w:rsid w:val="00423409"/>
    <w:rsid w:val="00423905"/>
    <w:rsid w:val="00425831"/>
    <w:rsid w:val="00426AF4"/>
    <w:rsid w:val="0042734B"/>
    <w:rsid w:val="0043197F"/>
    <w:rsid w:val="00434F19"/>
    <w:rsid w:val="00435A58"/>
    <w:rsid w:val="004410B0"/>
    <w:rsid w:val="004415AA"/>
    <w:rsid w:val="00444455"/>
    <w:rsid w:val="00447212"/>
    <w:rsid w:val="004477A6"/>
    <w:rsid w:val="00450270"/>
    <w:rsid w:val="00452DCE"/>
    <w:rsid w:val="004602CA"/>
    <w:rsid w:val="00461938"/>
    <w:rsid w:val="00461D91"/>
    <w:rsid w:val="004631CD"/>
    <w:rsid w:val="00467E14"/>
    <w:rsid w:val="0047490F"/>
    <w:rsid w:val="0047625F"/>
    <w:rsid w:val="00476A6A"/>
    <w:rsid w:val="00481490"/>
    <w:rsid w:val="004818ED"/>
    <w:rsid w:val="00482907"/>
    <w:rsid w:val="00490014"/>
    <w:rsid w:val="00491BC9"/>
    <w:rsid w:val="00493BD7"/>
    <w:rsid w:val="00493C28"/>
    <w:rsid w:val="00494004"/>
    <w:rsid w:val="00496B75"/>
    <w:rsid w:val="00497707"/>
    <w:rsid w:val="00497F5E"/>
    <w:rsid w:val="004A4EA4"/>
    <w:rsid w:val="004A527A"/>
    <w:rsid w:val="004B0973"/>
    <w:rsid w:val="004B1948"/>
    <w:rsid w:val="004B45FB"/>
    <w:rsid w:val="004B6502"/>
    <w:rsid w:val="004B6952"/>
    <w:rsid w:val="004C501D"/>
    <w:rsid w:val="004D08CE"/>
    <w:rsid w:val="004D18B2"/>
    <w:rsid w:val="004D20DC"/>
    <w:rsid w:val="004D2205"/>
    <w:rsid w:val="004D27C4"/>
    <w:rsid w:val="004D31D0"/>
    <w:rsid w:val="004D32F2"/>
    <w:rsid w:val="004D48EE"/>
    <w:rsid w:val="004D6323"/>
    <w:rsid w:val="004D78A0"/>
    <w:rsid w:val="004E2956"/>
    <w:rsid w:val="004E4611"/>
    <w:rsid w:val="004E558E"/>
    <w:rsid w:val="004E675B"/>
    <w:rsid w:val="004E74B8"/>
    <w:rsid w:val="004E7533"/>
    <w:rsid w:val="004F1465"/>
    <w:rsid w:val="004F15FC"/>
    <w:rsid w:val="004F1FC3"/>
    <w:rsid w:val="004F1FFF"/>
    <w:rsid w:val="004F6EC1"/>
    <w:rsid w:val="004F7C46"/>
    <w:rsid w:val="00502F2C"/>
    <w:rsid w:val="005031FF"/>
    <w:rsid w:val="00504326"/>
    <w:rsid w:val="005133F5"/>
    <w:rsid w:val="00513CFD"/>
    <w:rsid w:val="005231B5"/>
    <w:rsid w:val="0052695F"/>
    <w:rsid w:val="005306E1"/>
    <w:rsid w:val="005327A6"/>
    <w:rsid w:val="005349F1"/>
    <w:rsid w:val="00536BA9"/>
    <w:rsid w:val="00540A68"/>
    <w:rsid w:val="005415D3"/>
    <w:rsid w:val="00544CC9"/>
    <w:rsid w:val="00546B20"/>
    <w:rsid w:val="00550B6A"/>
    <w:rsid w:val="00552910"/>
    <w:rsid w:val="0055762A"/>
    <w:rsid w:val="00560328"/>
    <w:rsid w:val="00563C39"/>
    <w:rsid w:val="00572B03"/>
    <w:rsid w:val="00572D5A"/>
    <w:rsid w:val="00576D6E"/>
    <w:rsid w:val="005779EC"/>
    <w:rsid w:val="00580291"/>
    <w:rsid w:val="0058055F"/>
    <w:rsid w:val="00582F1E"/>
    <w:rsid w:val="005833E4"/>
    <w:rsid w:val="00583763"/>
    <w:rsid w:val="00584630"/>
    <w:rsid w:val="00584DA8"/>
    <w:rsid w:val="00587285"/>
    <w:rsid w:val="00591763"/>
    <w:rsid w:val="005919E4"/>
    <w:rsid w:val="00591F09"/>
    <w:rsid w:val="0059374F"/>
    <w:rsid w:val="005952E7"/>
    <w:rsid w:val="00597D9C"/>
    <w:rsid w:val="005A3669"/>
    <w:rsid w:val="005A46F9"/>
    <w:rsid w:val="005A6954"/>
    <w:rsid w:val="005B17A3"/>
    <w:rsid w:val="005B2A2E"/>
    <w:rsid w:val="005B2BBE"/>
    <w:rsid w:val="005B4083"/>
    <w:rsid w:val="005B6960"/>
    <w:rsid w:val="005B7600"/>
    <w:rsid w:val="005B7961"/>
    <w:rsid w:val="005C02FD"/>
    <w:rsid w:val="005C2823"/>
    <w:rsid w:val="005C3FCE"/>
    <w:rsid w:val="005C509A"/>
    <w:rsid w:val="005D0115"/>
    <w:rsid w:val="005D7698"/>
    <w:rsid w:val="005D7737"/>
    <w:rsid w:val="005E0D04"/>
    <w:rsid w:val="005E1A16"/>
    <w:rsid w:val="005E42B2"/>
    <w:rsid w:val="005E4C7D"/>
    <w:rsid w:val="005E606F"/>
    <w:rsid w:val="005F7DB6"/>
    <w:rsid w:val="0060205A"/>
    <w:rsid w:val="0060211B"/>
    <w:rsid w:val="00605098"/>
    <w:rsid w:val="00606418"/>
    <w:rsid w:val="00611BC8"/>
    <w:rsid w:val="0061352D"/>
    <w:rsid w:val="00613E0F"/>
    <w:rsid w:val="00615A53"/>
    <w:rsid w:val="00616F87"/>
    <w:rsid w:val="00620B0F"/>
    <w:rsid w:val="00625C42"/>
    <w:rsid w:val="006327F4"/>
    <w:rsid w:val="00632AF8"/>
    <w:rsid w:val="00632B65"/>
    <w:rsid w:val="0064021F"/>
    <w:rsid w:val="006410BD"/>
    <w:rsid w:val="00643F73"/>
    <w:rsid w:val="006440EF"/>
    <w:rsid w:val="006453D9"/>
    <w:rsid w:val="00647485"/>
    <w:rsid w:val="00652EF1"/>
    <w:rsid w:val="00653CA1"/>
    <w:rsid w:val="00655829"/>
    <w:rsid w:val="006608FB"/>
    <w:rsid w:val="00660D46"/>
    <w:rsid w:val="00661B3D"/>
    <w:rsid w:val="00662B16"/>
    <w:rsid w:val="006641D5"/>
    <w:rsid w:val="006660C3"/>
    <w:rsid w:val="00667450"/>
    <w:rsid w:val="0067054B"/>
    <w:rsid w:val="00670EBD"/>
    <w:rsid w:val="00673C09"/>
    <w:rsid w:val="0067436B"/>
    <w:rsid w:val="00674686"/>
    <w:rsid w:val="00680930"/>
    <w:rsid w:val="0068116F"/>
    <w:rsid w:val="006833C1"/>
    <w:rsid w:val="006903CA"/>
    <w:rsid w:val="0069098C"/>
    <w:rsid w:val="00693E2B"/>
    <w:rsid w:val="0069446D"/>
    <w:rsid w:val="006A0559"/>
    <w:rsid w:val="006A0A19"/>
    <w:rsid w:val="006A113C"/>
    <w:rsid w:val="006A1BB1"/>
    <w:rsid w:val="006A47A6"/>
    <w:rsid w:val="006A6440"/>
    <w:rsid w:val="006B0F10"/>
    <w:rsid w:val="006B1DC3"/>
    <w:rsid w:val="006B256A"/>
    <w:rsid w:val="006B491F"/>
    <w:rsid w:val="006C25DD"/>
    <w:rsid w:val="006C4499"/>
    <w:rsid w:val="006C56CD"/>
    <w:rsid w:val="006C7284"/>
    <w:rsid w:val="006D36B6"/>
    <w:rsid w:val="006D41D4"/>
    <w:rsid w:val="006D472C"/>
    <w:rsid w:val="006D7BF1"/>
    <w:rsid w:val="006E1D75"/>
    <w:rsid w:val="006E2AA8"/>
    <w:rsid w:val="006E66AA"/>
    <w:rsid w:val="006F10F0"/>
    <w:rsid w:val="006F3033"/>
    <w:rsid w:val="006F4CBD"/>
    <w:rsid w:val="006F68A4"/>
    <w:rsid w:val="006F77BD"/>
    <w:rsid w:val="007008F3"/>
    <w:rsid w:val="007062ED"/>
    <w:rsid w:val="00712417"/>
    <w:rsid w:val="0071472D"/>
    <w:rsid w:val="00722550"/>
    <w:rsid w:val="007229D5"/>
    <w:rsid w:val="0072364C"/>
    <w:rsid w:val="007247A3"/>
    <w:rsid w:val="007312C0"/>
    <w:rsid w:val="0073155E"/>
    <w:rsid w:val="00732F83"/>
    <w:rsid w:val="00733744"/>
    <w:rsid w:val="00733D1A"/>
    <w:rsid w:val="00733D47"/>
    <w:rsid w:val="00733EE5"/>
    <w:rsid w:val="0073509B"/>
    <w:rsid w:val="007370EE"/>
    <w:rsid w:val="00737880"/>
    <w:rsid w:val="00745A3A"/>
    <w:rsid w:val="00745A74"/>
    <w:rsid w:val="00746B80"/>
    <w:rsid w:val="0074750F"/>
    <w:rsid w:val="00747F54"/>
    <w:rsid w:val="007506E5"/>
    <w:rsid w:val="00755009"/>
    <w:rsid w:val="00755798"/>
    <w:rsid w:val="00755B82"/>
    <w:rsid w:val="0076142E"/>
    <w:rsid w:val="00763E92"/>
    <w:rsid w:val="007669FE"/>
    <w:rsid w:val="007702AE"/>
    <w:rsid w:val="007712C8"/>
    <w:rsid w:val="0077176E"/>
    <w:rsid w:val="0077331E"/>
    <w:rsid w:val="00773393"/>
    <w:rsid w:val="00774288"/>
    <w:rsid w:val="007772B5"/>
    <w:rsid w:val="00783655"/>
    <w:rsid w:val="007842D4"/>
    <w:rsid w:val="0078579B"/>
    <w:rsid w:val="00790374"/>
    <w:rsid w:val="00790B9D"/>
    <w:rsid w:val="007940BC"/>
    <w:rsid w:val="007A0457"/>
    <w:rsid w:val="007A7A15"/>
    <w:rsid w:val="007B3F7D"/>
    <w:rsid w:val="007B4CAE"/>
    <w:rsid w:val="007C25DE"/>
    <w:rsid w:val="007C3A6E"/>
    <w:rsid w:val="007D4AEB"/>
    <w:rsid w:val="007D7877"/>
    <w:rsid w:val="007E234D"/>
    <w:rsid w:val="007E6D5C"/>
    <w:rsid w:val="007F1C96"/>
    <w:rsid w:val="007F5725"/>
    <w:rsid w:val="007F6387"/>
    <w:rsid w:val="00800E93"/>
    <w:rsid w:val="00802674"/>
    <w:rsid w:val="00810DE7"/>
    <w:rsid w:val="00812112"/>
    <w:rsid w:val="008131C9"/>
    <w:rsid w:val="00813C1E"/>
    <w:rsid w:val="00815939"/>
    <w:rsid w:val="00815E85"/>
    <w:rsid w:val="00816006"/>
    <w:rsid w:val="008165A6"/>
    <w:rsid w:val="00822AB0"/>
    <w:rsid w:val="00825B2C"/>
    <w:rsid w:val="00825D73"/>
    <w:rsid w:val="00834814"/>
    <w:rsid w:val="00835909"/>
    <w:rsid w:val="00835E2E"/>
    <w:rsid w:val="0083638A"/>
    <w:rsid w:val="00837F3E"/>
    <w:rsid w:val="00840816"/>
    <w:rsid w:val="0084387F"/>
    <w:rsid w:val="008442CC"/>
    <w:rsid w:val="00844C63"/>
    <w:rsid w:val="00846946"/>
    <w:rsid w:val="0084792D"/>
    <w:rsid w:val="00852371"/>
    <w:rsid w:val="00853D9E"/>
    <w:rsid w:val="00856A71"/>
    <w:rsid w:val="0086143C"/>
    <w:rsid w:val="008624D2"/>
    <w:rsid w:val="008646F0"/>
    <w:rsid w:val="008679A2"/>
    <w:rsid w:val="00871956"/>
    <w:rsid w:val="008750D5"/>
    <w:rsid w:val="00875111"/>
    <w:rsid w:val="0087718D"/>
    <w:rsid w:val="00877831"/>
    <w:rsid w:val="00880848"/>
    <w:rsid w:val="0088119B"/>
    <w:rsid w:val="00887BC8"/>
    <w:rsid w:val="0089058A"/>
    <w:rsid w:val="00891A6B"/>
    <w:rsid w:val="00893F46"/>
    <w:rsid w:val="00896C89"/>
    <w:rsid w:val="0089750C"/>
    <w:rsid w:val="008A2328"/>
    <w:rsid w:val="008A2A6E"/>
    <w:rsid w:val="008B1C4A"/>
    <w:rsid w:val="008B2018"/>
    <w:rsid w:val="008B4922"/>
    <w:rsid w:val="008B4E5C"/>
    <w:rsid w:val="008B5415"/>
    <w:rsid w:val="008B65C4"/>
    <w:rsid w:val="008C1F1F"/>
    <w:rsid w:val="008C29BF"/>
    <w:rsid w:val="008C4675"/>
    <w:rsid w:val="008C6E43"/>
    <w:rsid w:val="008C7E80"/>
    <w:rsid w:val="008D121D"/>
    <w:rsid w:val="008D14F3"/>
    <w:rsid w:val="008D3A47"/>
    <w:rsid w:val="008E002C"/>
    <w:rsid w:val="008E008F"/>
    <w:rsid w:val="008F06A9"/>
    <w:rsid w:val="008F1608"/>
    <w:rsid w:val="008F1B3F"/>
    <w:rsid w:val="008F3DD4"/>
    <w:rsid w:val="008F4034"/>
    <w:rsid w:val="009003F0"/>
    <w:rsid w:val="00901974"/>
    <w:rsid w:val="00907223"/>
    <w:rsid w:val="00916537"/>
    <w:rsid w:val="00916DDA"/>
    <w:rsid w:val="0092352F"/>
    <w:rsid w:val="009276B5"/>
    <w:rsid w:val="0093364D"/>
    <w:rsid w:val="00935764"/>
    <w:rsid w:val="00935C03"/>
    <w:rsid w:val="00936C02"/>
    <w:rsid w:val="00937C9A"/>
    <w:rsid w:val="0094066B"/>
    <w:rsid w:val="00943D98"/>
    <w:rsid w:val="00945A42"/>
    <w:rsid w:val="009478F1"/>
    <w:rsid w:val="00952289"/>
    <w:rsid w:val="00953F62"/>
    <w:rsid w:val="00954600"/>
    <w:rsid w:val="0095500D"/>
    <w:rsid w:val="009623B0"/>
    <w:rsid w:val="009626F9"/>
    <w:rsid w:val="00962921"/>
    <w:rsid w:val="00964A7E"/>
    <w:rsid w:val="00967709"/>
    <w:rsid w:val="00967F09"/>
    <w:rsid w:val="00971900"/>
    <w:rsid w:val="009728D6"/>
    <w:rsid w:val="009777FA"/>
    <w:rsid w:val="0098039E"/>
    <w:rsid w:val="00980691"/>
    <w:rsid w:val="00981380"/>
    <w:rsid w:val="00983379"/>
    <w:rsid w:val="00984D56"/>
    <w:rsid w:val="00985B7E"/>
    <w:rsid w:val="00986B87"/>
    <w:rsid w:val="0098758C"/>
    <w:rsid w:val="009900A3"/>
    <w:rsid w:val="00990BC2"/>
    <w:rsid w:val="00996B39"/>
    <w:rsid w:val="00997A05"/>
    <w:rsid w:val="009A0082"/>
    <w:rsid w:val="009A0777"/>
    <w:rsid w:val="009A085A"/>
    <w:rsid w:val="009A3F47"/>
    <w:rsid w:val="009A6CA7"/>
    <w:rsid w:val="009B432E"/>
    <w:rsid w:val="009B4CE3"/>
    <w:rsid w:val="009B5FD8"/>
    <w:rsid w:val="009B6F83"/>
    <w:rsid w:val="009C12EC"/>
    <w:rsid w:val="009C2034"/>
    <w:rsid w:val="009C3DE7"/>
    <w:rsid w:val="009C5348"/>
    <w:rsid w:val="009C5BD4"/>
    <w:rsid w:val="009C64D3"/>
    <w:rsid w:val="009C76D5"/>
    <w:rsid w:val="009D113E"/>
    <w:rsid w:val="009D39E6"/>
    <w:rsid w:val="009D6338"/>
    <w:rsid w:val="009E1CC5"/>
    <w:rsid w:val="009E59C8"/>
    <w:rsid w:val="009E77A9"/>
    <w:rsid w:val="009F09A7"/>
    <w:rsid w:val="009F44D1"/>
    <w:rsid w:val="009F795E"/>
    <w:rsid w:val="00A005EF"/>
    <w:rsid w:val="00A046CE"/>
    <w:rsid w:val="00A06CF3"/>
    <w:rsid w:val="00A07A5B"/>
    <w:rsid w:val="00A10111"/>
    <w:rsid w:val="00A12437"/>
    <w:rsid w:val="00A159DE"/>
    <w:rsid w:val="00A16B7D"/>
    <w:rsid w:val="00A17586"/>
    <w:rsid w:val="00A17E77"/>
    <w:rsid w:val="00A20855"/>
    <w:rsid w:val="00A23DD2"/>
    <w:rsid w:val="00A259A4"/>
    <w:rsid w:val="00A25B9B"/>
    <w:rsid w:val="00A342FB"/>
    <w:rsid w:val="00A34459"/>
    <w:rsid w:val="00A34E11"/>
    <w:rsid w:val="00A35724"/>
    <w:rsid w:val="00A35BBD"/>
    <w:rsid w:val="00A40E2E"/>
    <w:rsid w:val="00A4214C"/>
    <w:rsid w:val="00A422E6"/>
    <w:rsid w:val="00A42A5B"/>
    <w:rsid w:val="00A43A76"/>
    <w:rsid w:val="00A44A83"/>
    <w:rsid w:val="00A45FE6"/>
    <w:rsid w:val="00A45FF1"/>
    <w:rsid w:val="00A47F37"/>
    <w:rsid w:val="00A5051C"/>
    <w:rsid w:val="00A50F05"/>
    <w:rsid w:val="00A52376"/>
    <w:rsid w:val="00A524CF"/>
    <w:rsid w:val="00A54048"/>
    <w:rsid w:val="00A55391"/>
    <w:rsid w:val="00A60031"/>
    <w:rsid w:val="00A64CE8"/>
    <w:rsid w:val="00A662BC"/>
    <w:rsid w:val="00A67E53"/>
    <w:rsid w:val="00A70059"/>
    <w:rsid w:val="00A7276A"/>
    <w:rsid w:val="00A7316D"/>
    <w:rsid w:val="00A7642C"/>
    <w:rsid w:val="00A764E2"/>
    <w:rsid w:val="00A80FBB"/>
    <w:rsid w:val="00A8166C"/>
    <w:rsid w:val="00A818A3"/>
    <w:rsid w:val="00A819FF"/>
    <w:rsid w:val="00A81C38"/>
    <w:rsid w:val="00A82F44"/>
    <w:rsid w:val="00A852F7"/>
    <w:rsid w:val="00A90C1B"/>
    <w:rsid w:val="00A932D6"/>
    <w:rsid w:val="00A9615C"/>
    <w:rsid w:val="00A9747C"/>
    <w:rsid w:val="00A97F22"/>
    <w:rsid w:val="00AA1934"/>
    <w:rsid w:val="00AA205E"/>
    <w:rsid w:val="00AA7203"/>
    <w:rsid w:val="00AA7839"/>
    <w:rsid w:val="00AA7D49"/>
    <w:rsid w:val="00AB791C"/>
    <w:rsid w:val="00AC0D5A"/>
    <w:rsid w:val="00AC4146"/>
    <w:rsid w:val="00AC50D7"/>
    <w:rsid w:val="00AD17B8"/>
    <w:rsid w:val="00AD3560"/>
    <w:rsid w:val="00AD4662"/>
    <w:rsid w:val="00AD6432"/>
    <w:rsid w:val="00AD674C"/>
    <w:rsid w:val="00AD6E25"/>
    <w:rsid w:val="00AD6F86"/>
    <w:rsid w:val="00AE32B8"/>
    <w:rsid w:val="00AE4734"/>
    <w:rsid w:val="00AE62DB"/>
    <w:rsid w:val="00AE7F63"/>
    <w:rsid w:val="00AF08EA"/>
    <w:rsid w:val="00B01A6F"/>
    <w:rsid w:val="00B04AC3"/>
    <w:rsid w:val="00B04DFA"/>
    <w:rsid w:val="00B0531B"/>
    <w:rsid w:val="00B05912"/>
    <w:rsid w:val="00B05981"/>
    <w:rsid w:val="00B07C72"/>
    <w:rsid w:val="00B10CD8"/>
    <w:rsid w:val="00B10DF1"/>
    <w:rsid w:val="00B11B7D"/>
    <w:rsid w:val="00B15284"/>
    <w:rsid w:val="00B15DBF"/>
    <w:rsid w:val="00B176DA"/>
    <w:rsid w:val="00B22AE3"/>
    <w:rsid w:val="00B22DE4"/>
    <w:rsid w:val="00B232E7"/>
    <w:rsid w:val="00B246E6"/>
    <w:rsid w:val="00B24D86"/>
    <w:rsid w:val="00B24FDD"/>
    <w:rsid w:val="00B26755"/>
    <w:rsid w:val="00B339CC"/>
    <w:rsid w:val="00B35CF7"/>
    <w:rsid w:val="00B36B22"/>
    <w:rsid w:val="00B40D54"/>
    <w:rsid w:val="00B4268C"/>
    <w:rsid w:val="00B439A2"/>
    <w:rsid w:val="00B472F3"/>
    <w:rsid w:val="00B47327"/>
    <w:rsid w:val="00B47423"/>
    <w:rsid w:val="00B5067E"/>
    <w:rsid w:val="00B50C10"/>
    <w:rsid w:val="00B53F10"/>
    <w:rsid w:val="00B608DF"/>
    <w:rsid w:val="00B60A8C"/>
    <w:rsid w:val="00B62AB7"/>
    <w:rsid w:val="00B666EF"/>
    <w:rsid w:val="00B66703"/>
    <w:rsid w:val="00B7519B"/>
    <w:rsid w:val="00B75392"/>
    <w:rsid w:val="00B8016D"/>
    <w:rsid w:val="00B81E5C"/>
    <w:rsid w:val="00B854C9"/>
    <w:rsid w:val="00B87265"/>
    <w:rsid w:val="00B91551"/>
    <w:rsid w:val="00B91D0E"/>
    <w:rsid w:val="00B92046"/>
    <w:rsid w:val="00BA1017"/>
    <w:rsid w:val="00BA1377"/>
    <w:rsid w:val="00BA24B0"/>
    <w:rsid w:val="00BA4C51"/>
    <w:rsid w:val="00BA5276"/>
    <w:rsid w:val="00BA7A9C"/>
    <w:rsid w:val="00BB1913"/>
    <w:rsid w:val="00BB364C"/>
    <w:rsid w:val="00BB5CAF"/>
    <w:rsid w:val="00BB7821"/>
    <w:rsid w:val="00BC4B08"/>
    <w:rsid w:val="00BC694E"/>
    <w:rsid w:val="00BC74FD"/>
    <w:rsid w:val="00BD1336"/>
    <w:rsid w:val="00BD2738"/>
    <w:rsid w:val="00BD2E5D"/>
    <w:rsid w:val="00BD3008"/>
    <w:rsid w:val="00BD5111"/>
    <w:rsid w:val="00BD7B48"/>
    <w:rsid w:val="00BE0004"/>
    <w:rsid w:val="00BE20DD"/>
    <w:rsid w:val="00BE2670"/>
    <w:rsid w:val="00BE2ED5"/>
    <w:rsid w:val="00BE5582"/>
    <w:rsid w:val="00BE5C00"/>
    <w:rsid w:val="00BF2687"/>
    <w:rsid w:val="00BF47BB"/>
    <w:rsid w:val="00C00808"/>
    <w:rsid w:val="00C04693"/>
    <w:rsid w:val="00C04C32"/>
    <w:rsid w:val="00C056E2"/>
    <w:rsid w:val="00C058C6"/>
    <w:rsid w:val="00C06B51"/>
    <w:rsid w:val="00C1193B"/>
    <w:rsid w:val="00C1332C"/>
    <w:rsid w:val="00C15DB5"/>
    <w:rsid w:val="00C21E5F"/>
    <w:rsid w:val="00C255F6"/>
    <w:rsid w:val="00C257AA"/>
    <w:rsid w:val="00C27137"/>
    <w:rsid w:val="00C30FD6"/>
    <w:rsid w:val="00C323E3"/>
    <w:rsid w:val="00C34432"/>
    <w:rsid w:val="00C36C4D"/>
    <w:rsid w:val="00C37226"/>
    <w:rsid w:val="00C420AF"/>
    <w:rsid w:val="00C42667"/>
    <w:rsid w:val="00C45218"/>
    <w:rsid w:val="00C453AA"/>
    <w:rsid w:val="00C45EB5"/>
    <w:rsid w:val="00C50403"/>
    <w:rsid w:val="00C51865"/>
    <w:rsid w:val="00C51DC9"/>
    <w:rsid w:val="00C53CDC"/>
    <w:rsid w:val="00C60152"/>
    <w:rsid w:val="00C61201"/>
    <w:rsid w:val="00C62E2D"/>
    <w:rsid w:val="00C63384"/>
    <w:rsid w:val="00C65BB1"/>
    <w:rsid w:val="00C66122"/>
    <w:rsid w:val="00C730D0"/>
    <w:rsid w:val="00C73818"/>
    <w:rsid w:val="00C760E0"/>
    <w:rsid w:val="00C77A14"/>
    <w:rsid w:val="00C8031D"/>
    <w:rsid w:val="00C809B4"/>
    <w:rsid w:val="00C81170"/>
    <w:rsid w:val="00C8183A"/>
    <w:rsid w:val="00C81BD3"/>
    <w:rsid w:val="00C85C53"/>
    <w:rsid w:val="00C86EC2"/>
    <w:rsid w:val="00C90749"/>
    <w:rsid w:val="00C90E2F"/>
    <w:rsid w:val="00C94F62"/>
    <w:rsid w:val="00C95C02"/>
    <w:rsid w:val="00C97A1E"/>
    <w:rsid w:val="00CA46FB"/>
    <w:rsid w:val="00CA4C47"/>
    <w:rsid w:val="00CA75CB"/>
    <w:rsid w:val="00CB3559"/>
    <w:rsid w:val="00CB4528"/>
    <w:rsid w:val="00CB4743"/>
    <w:rsid w:val="00CB6432"/>
    <w:rsid w:val="00CC296B"/>
    <w:rsid w:val="00CD06C9"/>
    <w:rsid w:val="00CD3B16"/>
    <w:rsid w:val="00CD7B34"/>
    <w:rsid w:val="00CE2FCC"/>
    <w:rsid w:val="00CE446F"/>
    <w:rsid w:val="00CF0EB1"/>
    <w:rsid w:val="00CF17FC"/>
    <w:rsid w:val="00CF5D89"/>
    <w:rsid w:val="00CF7B44"/>
    <w:rsid w:val="00D01D3C"/>
    <w:rsid w:val="00D04897"/>
    <w:rsid w:val="00D05C74"/>
    <w:rsid w:val="00D072E7"/>
    <w:rsid w:val="00D1044C"/>
    <w:rsid w:val="00D105BB"/>
    <w:rsid w:val="00D12E07"/>
    <w:rsid w:val="00D13AA0"/>
    <w:rsid w:val="00D13E2C"/>
    <w:rsid w:val="00D14701"/>
    <w:rsid w:val="00D14C2E"/>
    <w:rsid w:val="00D150E7"/>
    <w:rsid w:val="00D161CA"/>
    <w:rsid w:val="00D17A14"/>
    <w:rsid w:val="00D24775"/>
    <w:rsid w:val="00D27DBE"/>
    <w:rsid w:val="00D31499"/>
    <w:rsid w:val="00D314FE"/>
    <w:rsid w:val="00D31847"/>
    <w:rsid w:val="00D3347F"/>
    <w:rsid w:val="00D33827"/>
    <w:rsid w:val="00D37371"/>
    <w:rsid w:val="00D415FA"/>
    <w:rsid w:val="00D41621"/>
    <w:rsid w:val="00D426B1"/>
    <w:rsid w:val="00D45B0A"/>
    <w:rsid w:val="00D461CB"/>
    <w:rsid w:val="00D4705B"/>
    <w:rsid w:val="00D4780B"/>
    <w:rsid w:val="00D479F1"/>
    <w:rsid w:val="00D47E1B"/>
    <w:rsid w:val="00D51148"/>
    <w:rsid w:val="00D51549"/>
    <w:rsid w:val="00D51ED7"/>
    <w:rsid w:val="00D532F8"/>
    <w:rsid w:val="00D546B7"/>
    <w:rsid w:val="00D5575D"/>
    <w:rsid w:val="00D57D6D"/>
    <w:rsid w:val="00D61CDE"/>
    <w:rsid w:val="00D61DD6"/>
    <w:rsid w:val="00D65188"/>
    <w:rsid w:val="00D652B3"/>
    <w:rsid w:val="00D656AA"/>
    <w:rsid w:val="00D7262E"/>
    <w:rsid w:val="00D743AC"/>
    <w:rsid w:val="00D7712A"/>
    <w:rsid w:val="00D77B46"/>
    <w:rsid w:val="00D8074A"/>
    <w:rsid w:val="00D8120F"/>
    <w:rsid w:val="00D8293E"/>
    <w:rsid w:val="00D83687"/>
    <w:rsid w:val="00D84CFB"/>
    <w:rsid w:val="00D87AE9"/>
    <w:rsid w:val="00D90388"/>
    <w:rsid w:val="00D935D2"/>
    <w:rsid w:val="00D937C6"/>
    <w:rsid w:val="00D94D73"/>
    <w:rsid w:val="00D95782"/>
    <w:rsid w:val="00DA5C12"/>
    <w:rsid w:val="00DA6662"/>
    <w:rsid w:val="00DB0EEC"/>
    <w:rsid w:val="00DB13EB"/>
    <w:rsid w:val="00DB4733"/>
    <w:rsid w:val="00DB502C"/>
    <w:rsid w:val="00DC05A1"/>
    <w:rsid w:val="00DC06B5"/>
    <w:rsid w:val="00DC0E68"/>
    <w:rsid w:val="00DC3E69"/>
    <w:rsid w:val="00DC42EA"/>
    <w:rsid w:val="00DC44B8"/>
    <w:rsid w:val="00DC4D1D"/>
    <w:rsid w:val="00DC5E14"/>
    <w:rsid w:val="00DC63E9"/>
    <w:rsid w:val="00DD4A74"/>
    <w:rsid w:val="00DD4CCB"/>
    <w:rsid w:val="00DD7123"/>
    <w:rsid w:val="00DD78CC"/>
    <w:rsid w:val="00DD7C3B"/>
    <w:rsid w:val="00DE0224"/>
    <w:rsid w:val="00DE18E8"/>
    <w:rsid w:val="00DE1A3B"/>
    <w:rsid w:val="00DE1BA4"/>
    <w:rsid w:val="00DE1C4B"/>
    <w:rsid w:val="00DE1CA9"/>
    <w:rsid w:val="00DE307E"/>
    <w:rsid w:val="00DE5841"/>
    <w:rsid w:val="00DE69F0"/>
    <w:rsid w:val="00DF3904"/>
    <w:rsid w:val="00E034B5"/>
    <w:rsid w:val="00E058E7"/>
    <w:rsid w:val="00E12A8A"/>
    <w:rsid w:val="00E13256"/>
    <w:rsid w:val="00E133CC"/>
    <w:rsid w:val="00E160A1"/>
    <w:rsid w:val="00E24A59"/>
    <w:rsid w:val="00E31E39"/>
    <w:rsid w:val="00E3605B"/>
    <w:rsid w:val="00E40364"/>
    <w:rsid w:val="00E4123F"/>
    <w:rsid w:val="00E41F55"/>
    <w:rsid w:val="00E42A09"/>
    <w:rsid w:val="00E43756"/>
    <w:rsid w:val="00E443A0"/>
    <w:rsid w:val="00E46384"/>
    <w:rsid w:val="00E47743"/>
    <w:rsid w:val="00E5390E"/>
    <w:rsid w:val="00E5491B"/>
    <w:rsid w:val="00E54E39"/>
    <w:rsid w:val="00E551EB"/>
    <w:rsid w:val="00E5701C"/>
    <w:rsid w:val="00E62A4D"/>
    <w:rsid w:val="00E650C9"/>
    <w:rsid w:val="00E653F2"/>
    <w:rsid w:val="00E663C8"/>
    <w:rsid w:val="00E67A39"/>
    <w:rsid w:val="00E728CC"/>
    <w:rsid w:val="00E730F3"/>
    <w:rsid w:val="00E745C6"/>
    <w:rsid w:val="00E77EE2"/>
    <w:rsid w:val="00E8027D"/>
    <w:rsid w:val="00E80320"/>
    <w:rsid w:val="00E81E32"/>
    <w:rsid w:val="00E83713"/>
    <w:rsid w:val="00E84D20"/>
    <w:rsid w:val="00E87772"/>
    <w:rsid w:val="00E87FE5"/>
    <w:rsid w:val="00E92B62"/>
    <w:rsid w:val="00E93C36"/>
    <w:rsid w:val="00E94AD4"/>
    <w:rsid w:val="00E9538D"/>
    <w:rsid w:val="00E961AF"/>
    <w:rsid w:val="00E966E1"/>
    <w:rsid w:val="00E97D6C"/>
    <w:rsid w:val="00EA4407"/>
    <w:rsid w:val="00EA56F9"/>
    <w:rsid w:val="00EA7078"/>
    <w:rsid w:val="00EB0477"/>
    <w:rsid w:val="00EB10C4"/>
    <w:rsid w:val="00EB1505"/>
    <w:rsid w:val="00EC09FC"/>
    <w:rsid w:val="00EC0C27"/>
    <w:rsid w:val="00EC342C"/>
    <w:rsid w:val="00EC6ABF"/>
    <w:rsid w:val="00ED09B0"/>
    <w:rsid w:val="00ED1742"/>
    <w:rsid w:val="00ED2824"/>
    <w:rsid w:val="00ED2B4B"/>
    <w:rsid w:val="00ED2C9F"/>
    <w:rsid w:val="00ED5ADD"/>
    <w:rsid w:val="00ED72E0"/>
    <w:rsid w:val="00ED7AFE"/>
    <w:rsid w:val="00EE0076"/>
    <w:rsid w:val="00EE1F29"/>
    <w:rsid w:val="00EE3403"/>
    <w:rsid w:val="00EE45BC"/>
    <w:rsid w:val="00EE6A23"/>
    <w:rsid w:val="00EE764E"/>
    <w:rsid w:val="00F013B1"/>
    <w:rsid w:val="00F01562"/>
    <w:rsid w:val="00F02BAA"/>
    <w:rsid w:val="00F034F0"/>
    <w:rsid w:val="00F04B4D"/>
    <w:rsid w:val="00F11C7A"/>
    <w:rsid w:val="00F1418A"/>
    <w:rsid w:val="00F15ACA"/>
    <w:rsid w:val="00F1650B"/>
    <w:rsid w:val="00F20988"/>
    <w:rsid w:val="00F229BB"/>
    <w:rsid w:val="00F229BF"/>
    <w:rsid w:val="00F25DAE"/>
    <w:rsid w:val="00F32A20"/>
    <w:rsid w:val="00F33995"/>
    <w:rsid w:val="00F35ACF"/>
    <w:rsid w:val="00F36AAB"/>
    <w:rsid w:val="00F40D1C"/>
    <w:rsid w:val="00F4188F"/>
    <w:rsid w:val="00F42140"/>
    <w:rsid w:val="00F43029"/>
    <w:rsid w:val="00F44735"/>
    <w:rsid w:val="00F50AC5"/>
    <w:rsid w:val="00F53F08"/>
    <w:rsid w:val="00F5551E"/>
    <w:rsid w:val="00F557D9"/>
    <w:rsid w:val="00F60BFF"/>
    <w:rsid w:val="00F6174B"/>
    <w:rsid w:val="00F63C77"/>
    <w:rsid w:val="00F63CD2"/>
    <w:rsid w:val="00F64907"/>
    <w:rsid w:val="00F66AF7"/>
    <w:rsid w:val="00F71C92"/>
    <w:rsid w:val="00F71DC5"/>
    <w:rsid w:val="00F7237E"/>
    <w:rsid w:val="00F72AB1"/>
    <w:rsid w:val="00F77EC9"/>
    <w:rsid w:val="00F81927"/>
    <w:rsid w:val="00F840BB"/>
    <w:rsid w:val="00F86065"/>
    <w:rsid w:val="00F97C6A"/>
    <w:rsid w:val="00FA0624"/>
    <w:rsid w:val="00FA1FC9"/>
    <w:rsid w:val="00FA2B68"/>
    <w:rsid w:val="00FA43C6"/>
    <w:rsid w:val="00FA72F3"/>
    <w:rsid w:val="00FA758F"/>
    <w:rsid w:val="00FB1C24"/>
    <w:rsid w:val="00FB31DE"/>
    <w:rsid w:val="00FB6428"/>
    <w:rsid w:val="00FC286E"/>
    <w:rsid w:val="00FC34EE"/>
    <w:rsid w:val="00FC3531"/>
    <w:rsid w:val="00FC4D5B"/>
    <w:rsid w:val="00FC785F"/>
    <w:rsid w:val="00FD20EA"/>
    <w:rsid w:val="00FD5856"/>
    <w:rsid w:val="00FD5FE0"/>
    <w:rsid w:val="00FE1658"/>
    <w:rsid w:val="00FE2452"/>
    <w:rsid w:val="00FE2926"/>
    <w:rsid w:val="00FE5173"/>
    <w:rsid w:val="00FE5C7C"/>
    <w:rsid w:val="00FF02FF"/>
    <w:rsid w:val="00FF5AE1"/>
    <w:rsid w:val="00FF66D5"/>
    <w:rsid w:val="00FF7ED2"/>
    <w:rsid w:val="04390F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6849A"/>
  <w15:chartTrackingRefBased/>
  <w15:docId w15:val="{AAC2C03F-50C6-47E8-A3F3-0E907C23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F02BAA"/>
    <w:pPr>
      <w:ind w:left="720"/>
      <w:contextualSpacing/>
    </w:pPr>
  </w:style>
  <w:style w:type="paragraph" w:styleId="NormalWeb">
    <w:name w:val="Normal (Web)"/>
    <w:basedOn w:val="Normal"/>
    <w:uiPriority w:val="99"/>
    <w:unhideWhenUsed/>
    <w:rsid w:val="00F02BA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F02BAA"/>
  </w:style>
  <w:style w:type="character" w:styleId="CommentReference">
    <w:name w:val="annotation reference"/>
    <w:basedOn w:val="DefaultParagraphFont"/>
    <w:uiPriority w:val="99"/>
    <w:semiHidden/>
    <w:unhideWhenUsed/>
    <w:rsid w:val="00240B27"/>
    <w:rPr>
      <w:sz w:val="16"/>
      <w:szCs w:val="16"/>
    </w:rPr>
  </w:style>
  <w:style w:type="paragraph" w:styleId="CommentText">
    <w:name w:val="annotation text"/>
    <w:basedOn w:val="Normal"/>
    <w:link w:val="CommentTextChar"/>
    <w:uiPriority w:val="99"/>
    <w:unhideWhenUsed/>
    <w:rsid w:val="00240B27"/>
    <w:pPr>
      <w:spacing w:line="240" w:lineRule="auto"/>
    </w:pPr>
    <w:rPr>
      <w:sz w:val="20"/>
      <w:szCs w:val="20"/>
    </w:rPr>
  </w:style>
  <w:style w:type="character" w:customStyle="1" w:styleId="CommentTextChar">
    <w:name w:val="Comment Text Char"/>
    <w:basedOn w:val="DefaultParagraphFont"/>
    <w:link w:val="CommentText"/>
    <w:uiPriority w:val="99"/>
    <w:rsid w:val="00240B27"/>
    <w:rPr>
      <w:sz w:val="20"/>
      <w:szCs w:val="20"/>
    </w:rPr>
  </w:style>
  <w:style w:type="paragraph" w:styleId="CommentSubject">
    <w:name w:val="annotation subject"/>
    <w:basedOn w:val="CommentText"/>
    <w:next w:val="CommentText"/>
    <w:link w:val="CommentSubjectChar"/>
    <w:uiPriority w:val="99"/>
    <w:semiHidden/>
    <w:unhideWhenUsed/>
    <w:rsid w:val="00240B27"/>
    <w:rPr>
      <w:b/>
      <w:bCs/>
    </w:rPr>
  </w:style>
  <w:style w:type="character" w:customStyle="1" w:styleId="CommentSubjectChar">
    <w:name w:val="Comment Subject Char"/>
    <w:basedOn w:val="CommentTextChar"/>
    <w:link w:val="CommentSubject"/>
    <w:uiPriority w:val="99"/>
    <w:semiHidden/>
    <w:rsid w:val="00240B27"/>
    <w:rPr>
      <w:b/>
      <w:bCs/>
      <w:sz w:val="20"/>
      <w:szCs w:val="20"/>
    </w:rPr>
  </w:style>
  <w:style w:type="paragraph" w:styleId="BalloonText">
    <w:name w:val="Balloon Text"/>
    <w:basedOn w:val="Normal"/>
    <w:link w:val="BalloonTextChar"/>
    <w:uiPriority w:val="99"/>
    <w:semiHidden/>
    <w:unhideWhenUsed/>
    <w:rsid w:val="00240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B27"/>
    <w:rPr>
      <w:rFonts w:ascii="Segoe UI" w:hAnsi="Segoe UI" w:cs="Segoe UI"/>
      <w:sz w:val="18"/>
      <w:szCs w:val="18"/>
    </w:rPr>
  </w:style>
  <w:style w:type="character" w:styleId="Hyperlink">
    <w:name w:val="Hyperlink"/>
    <w:basedOn w:val="DefaultParagraphFont"/>
    <w:uiPriority w:val="99"/>
    <w:unhideWhenUsed/>
    <w:rsid w:val="004D6323"/>
    <w:rPr>
      <w:color w:val="0000FF"/>
      <w:u w:val="single"/>
    </w:rPr>
  </w:style>
  <w:style w:type="paragraph" w:styleId="FootnoteText">
    <w:name w:val="footnote text"/>
    <w:basedOn w:val="Normal"/>
    <w:link w:val="FootnoteTextChar"/>
    <w:uiPriority w:val="99"/>
    <w:semiHidden/>
    <w:unhideWhenUsed/>
    <w:rsid w:val="009E77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77A9"/>
    <w:rPr>
      <w:sz w:val="20"/>
      <w:szCs w:val="20"/>
    </w:rPr>
  </w:style>
  <w:style w:type="character" w:styleId="FootnoteReference">
    <w:name w:val="footnote reference"/>
    <w:basedOn w:val="DefaultParagraphFont"/>
    <w:uiPriority w:val="99"/>
    <w:semiHidden/>
    <w:unhideWhenUsed/>
    <w:rsid w:val="009E77A9"/>
    <w:rPr>
      <w:vertAlign w:val="superscript"/>
    </w:rPr>
  </w:style>
  <w:style w:type="paragraph" w:styleId="Revision">
    <w:name w:val="Revision"/>
    <w:hidden/>
    <w:uiPriority w:val="99"/>
    <w:semiHidden/>
    <w:rsid w:val="006C4499"/>
    <w:pPr>
      <w:spacing w:after="0" w:line="240" w:lineRule="auto"/>
    </w:pPr>
  </w:style>
  <w:style w:type="character" w:customStyle="1" w:styleId="UnresolvedMention1">
    <w:name w:val="Unresolved Mention1"/>
    <w:basedOn w:val="DefaultParagraphFont"/>
    <w:uiPriority w:val="99"/>
    <w:semiHidden/>
    <w:unhideWhenUsed/>
    <w:rsid w:val="00C30FD6"/>
    <w:rPr>
      <w:color w:val="605E5C"/>
      <w:shd w:val="clear" w:color="auto" w:fill="E1DFDD"/>
    </w:rPr>
  </w:style>
  <w:style w:type="character" w:styleId="FollowedHyperlink">
    <w:name w:val="FollowedHyperlink"/>
    <w:basedOn w:val="DefaultParagraphFont"/>
    <w:uiPriority w:val="99"/>
    <w:semiHidden/>
    <w:unhideWhenUsed/>
    <w:rsid w:val="0030735D"/>
    <w:rPr>
      <w:color w:val="954F72" w:themeColor="followedHyperlink"/>
      <w:u w:val="single"/>
    </w:rPr>
  </w:style>
  <w:style w:type="paragraph" w:styleId="Header">
    <w:name w:val="header"/>
    <w:basedOn w:val="Normal"/>
    <w:link w:val="HeaderChar"/>
    <w:uiPriority w:val="99"/>
    <w:unhideWhenUsed/>
    <w:rsid w:val="00050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0A72"/>
  </w:style>
  <w:style w:type="paragraph" w:styleId="Footer">
    <w:name w:val="footer"/>
    <w:basedOn w:val="Normal"/>
    <w:link w:val="FooterChar"/>
    <w:uiPriority w:val="99"/>
    <w:unhideWhenUsed/>
    <w:rsid w:val="00050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0A72"/>
  </w:style>
  <w:style w:type="character" w:customStyle="1" w:styleId="UnresolvedMention2">
    <w:name w:val="Unresolved Mention2"/>
    <w:basedOn w:val="DefaultParagraphFont"/>
    <w:uiPriority w:val="99"/>
    <w:semiHidden/>
    <w:unhideWhenUsed/>
    <w:rsid w:val="00987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1848">
      <w:bodyDiv w:val="1"/>
      <w:marLeft w:val="0"/>
      <w:marRight w:val="0"/>
      <w:marTop w:val="0"/>
      <w:marBottom w:val="0"/>
      <w:divBdr>
        <w:top w:val="none" w:sz="0" w:space="0" w:color="auto"/>
        <w:left w:val="none" w:sz="0" w:space="0" w:color="auto"/>
        <w:bottom w:val="none" w:sz="0" w:space="0" w:color="auto"/>
        <w:right w:val="none" w:sz="0" w:space="0" w:color="auto"/>
      </w:divBdr>
      <w:divsChild>
        <w:div w:id="1265377469">
          <w:marLeft w:val="0"/>
          <w:marRight w:val="0"/>
          <w:marTop w:val="0"/>
          <w:marBottom w:val="0"/>
          <w:divBdr>
            <w:top w:val="none" w:sz="0" w:space="0" w:color="auto"/>
            <w:left w:val="none" w:sz="0" w:space="0" w:color="auto"/>
            <w:bottom w:val="none" w:sz="0" w:space="0" w:color="auto"/>
            <w:right w:val="none" w:sz="0" w:space="0" w:color="auto"/>
          </w:divBdr>
          <w:divsChild>
            <w:div w:id="18465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5145">
      <w:bodyDiv w:val="1"/>
      <w:marLeft w:val="0"/>
      <w:marRight w:val="0"/>
      <w:marTop w:val="0"/>
      <w:marBottom w:val="0"/>
      <w:divBdr>
        <w:top w:val="none" w:sz="0" w:space="0" w:color="auto"/>
        <w:left w:val="none" w:sz="0" w:space="0" w:color="auto"/>
        <w:bottom w:val="none" w:sz="0" w:space="0" w:color="auto"/>
        <w:right w:val="none" w:sz="0" w:space="0" w:color="auto"/>
      </w:divBdr>
    </w:div>
    <w:div w:id="364839817">
      <w:bodyDiv w:val="1"/>
      <w:marLeft w:val="0"/>
      <w:marRight w:val="0"/>
      <w:marTop w:val="0"/>
      <w:marBottom w:val="0"/>
      <w:divBdr>
        <w:top w:val="none" w:sz="0" w:space="0" w:color="auto"/>
        <w:left w:val="none" w:sz="0" w:space="0" w:color="auto"/>
        <w:bottom w:val="none" w:sz="0" w:space="0" w:color="auto"/>
        <w:right w:val="none" w:sz="0" w:space="0" w:color="auto"/>
      </w:divBdr>
    </w:div>
    <w:div w:id="439034231">
      <w:bodyDiv w:val="1"/>
      <w:marLeft w:val="0"/>
      <w:marRight w:val="0"/>
      <w:marTop w:val="0"/>
      <w:marBottom w:val="0"/>
      <w:divBdr>
        <w:top w:val="none" w:sz="0" w:space="0" w:color="auto"/>
        <w:left w:val="none" w:sz="0" w:space="0" w:color="auto"/>
        <w:bottom w:val="none" w:sz="0" w:space="0" w:color="auto"/>
        <w:right w:val="none" w:sz="0" w:space="0" w:color="auto"/>
      </w:divBdr>
    </w:div>
    <w:div w:id="495539468">
      <w:bodyDiv w:val="1"/>
      <w:marLeft w:val="0"/>
      <w:marRight w:val="0"/>
      <w:marTop w:val="0"/>
      <w:marBottom w:val="0"/>
      <w:divBdr>
        <w:top w:val="none" w:sz="0" w:space="0" w:color="auto"/>
        <w:left w:val="none" w:sz="0" w:space="0" w:color="auto"/>
        <w:bottom w:val="none" w:sz="0" w:space="0" w:color="auto"/>
        <w:right w:val="none" w:sz="0" w:space="0" w:color="auto"/>
      </w:divBdr>
    </w:div>
    <w:div w:id="535889415">
      <w:bodyDiv w:val="1"/>
      <w:marLeft w:val="0"/>
      <w:marRight w:val="0"/>
      <w:marTop w:val="0"/>
      <w:marBottom w:val="0"/>
      <w:divBdr>
        <w:top w:val="none" w:sz="0" w:space="0" w:color="auto"/>
        <w:left w:val="none" w:sz="0" w:space="0" w:color="auto"/>
        <w:bottom w:val="none" w:sz="0" w:space="0" w:color="auto"/>
        <w:right w:val="none" w:sz="0" w:space="0" w:color="auto"/>
      </w:divBdr>
    </w:div>
    <w:div w:id="545877972">
      <w:bodyDiv w:val="1"/>
      <w:marLeft w:val="0"/>
      <w:marRight w:val="0"/>
      <w:marTop w:val="0"/>
      <w:marBottom w:val="0"/>
      <w:divBdr>
        <w:top w:val="none" w:sz="0" w:space="0" w:color="auto"/>
        <w:left w:val="none" w:sz="0" w:space="0" w:color="auto"/>
        <w:bottom w:val="none" w:sz="0" w:space="0" w:color="auto"/>
        <w:right w:val="none" w:sz="0" w:space="0" w:color="auto"/>
      </w:divBdr>
    </w:div>
    <w:div w:id="559219749">
      <w:bodyDiv w:val="1"/>
      <w:marLeft w:val="0"/>
      <w:marRight w:val="0"/>
      <w:marTop w:val="0"/>
      <w:marBottom w:val="0"/>
      <w:divBdr>
        <w:top w:val="none" w:sz="0" w:space="0" w:color="auto"/>
        <w:left w:val="none" w:sz="0" w:space="0" w:color="auto"/>
        <w:bottom w:val="none" w:sz="0" w:space="0" w:color="auto"/>
        <w:right w:val="none" w:sz="0" w:space="0" w:color="auto"/>
      </w:divBdr>
    </w:div>
    <w:div w:id="654458254">
      <w:bodyDiv w:val="1"/>
      <w:marLeft w:val="0"/>
      <w:marRight w:val="0"/>
      <w:marTop w:val="0"/>
      <w:marBottom w:val="0"/>
      <w:divBdr>
        <w:top w:val="none" w:sz="0" w:space="0" w:color="auto"/>
        <w:left w:val="none" w:sz="0" w:space="0" w:color="auto"/>
        <w:bottom w:val="none" w:sz="0" w:space="0" w:color="auto"/>
        <w:right w:val="none" w:sz="0" w:space="0" w:color="auto"/>
      </w:divBdr>
    </w:div>
    <w:div w:id="706182035">
      <w:bodyDiv w:val="1"/>
      <w:marLeft w:val="0"/>
      <w:marRight w:val="0"/>
      <w:marTop w:val="0"/>
      <w:marBottom w:val="0"/>
      <w:divBdr>
        <w:top w:val="none" w:sz="0" w:space="0" w:color="auto"/>
        <w:left w:val="none" w:sz="0" w:space="0" w:color="auto"/>
        <w:bottom w:val="none" w:sz="0" w:space="0" w:color="auto"/>
        <w:right w:val="none" w:sz="0" w:space="0" w:color="auto"/>
      </w:divBdr>
      <w:divsChild>
        <w:div w:id="738096367">
          <w:marLeft w:val="0"/>
          <w:marRight w:val="0"/>
          <w:marTop w:val="0"/>
          <w:marBottom w:val="0"/>
          <w:divBdr>
            <w:top w:val="none" w:sz="0" w:space="0" w:color="auto"/>
            <w:left w:val="none" w:sz="0" w:space="0" w:color="auto"/>
            <w:bottom w:val="none" w:sz="0" w:space="0" w:color="auto"/>
            <w:right w:val="none" w:sz="0" w:space="0" w:color="auto"/>
          </w:divBdr>
          <w:divsChild>
            <w:div w:id="21220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7174">
      <w:bodyDiv w:val="1"/>
      <w:marLeft w:val="0"/>
      <w:marRight w:val="0"/>
      <w:marTop w:val="0"/>
      <w:marBottom w:val="0"/>
      <w:divBdr>
        <w:top w:val="none" w:sz="0" w:space="0" w:color="auto"/>
        <w:left w:val="none" w:sz="0" w:space="0" w:color="auto"/>
        <w:bottom w:val="none" w:sz="0" w:space="0" w:color="auto"/>
        <w:right w:val="none" w:sz="0" w:space="0" w:color="auto"/>
      </w:divBdr>
    </w:div>
    <w:div w:id="1118529795">
      <w:bodyDiv w:val="1"/>
      <w:marLeft w:val="0"/>
      <w:marRight w:val="0"/>
      <w:marTop w:val="0"/>
      <w:marBottom w:val="0"/>
      <w:divBdr>
        <w:top w:val="none" w:sz="0" w:space="0" w:color="auto"/>
        <w:left w:val="none" w:sz="0" w:space="0" w:color="auto"/>
        <w:bottom w:val="none" w:sz="0" w:space="0" w:color="auto"/>
        <w:right w:val="none" w:sz="0" w:space="0" w:color="auto"/>
      </w:divBdr>
    </w:div>
    <w:div w:id="1200047107">
      <w:bodyDiv w:val="1"/>
      <w:marLeft w:val="0"/>
      <w:marRight w:val="0"/>
      <w:marTop w:val="0"/>
      <w:marBottom w:val="0"/>
      <w:divBdr>
        <w:top w:val="none" w:sz="0" w:space="0" w:color="auto"/>
        <w:left w:val="none" w:sz="0" w:space="0" w:color="auto"/>
        <w:bottom w:val="none" w:sz="0" w:space="0" w:color="auto"/>
        <w:right w:val="none" w:sz="0" w:space="0" w:color="auto"/>
      </w:divBdr>
    </w:div>
    <w:div w:id="134744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occar.int/our-work/general-security-agreements" TargetMode="External"/><Relationship Id="rId1" Type="http://schemas.openxmlformats.org/officeDocument/2006/relationships/hyperlink" Target="https://eur-lex.europa.eu/eli/reg/2025/1106/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8725</ap:Words>
  <ap:Characters>47990</ap:Characters>
  <ap:DocSecurity>0</ap:DocSecurity>
  <ap:Lines>399</ap:Lines>
  <ap:Paragraphs>113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56602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2026-05-20T07:52:00.0000000Z</dcterms:created>
  <dcterms:modified xsi:type="dcterms:W3CDTF">2026-05-20T07:52:00.0000000Z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