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E52E639" w14:textId="77777777">
        <w:trPr>
          <w:cantSplit/>
        </w:trPr>
        <w:tc>
          <w:tcPr>
            <w:tcW w:w="9142" w:type="dxa"/>
            <w:gridSpan w:val="2"/>
            <w:tcBorders>
              <w:top w:val="nil"/>
              <w:left w:val="nil"/>
              <w:bottom w:val="nil"/>
              <w:right w:val="nil"/>
            </w:tcBorders>
          </w:tcPr>
          <w:p w:rsidRPr="002168F4" w:rsidR="00CB3578" w:rsidP="007C4B6A" w:rsidRDefault="00CB3578" w14:paraId="634F2532" w14:textId="77777777">
            <w:pPr>
              <w:pStyle w:val="Amendement"/>
              <w:jc w:val="right"/>
              <w:rPr>
                <w:rFonts w:ascii="Times New Roman" w:hAnsi="Times New Roman" w:cs="Times New Roman"/>
              </w:rPr>
            </w:pPr>
          </w:p>
        </w:tc>
      </w:tr>
      <w:tr w:rsidRPr="002168F4" w:rsidR="00CB3578" w:rsidTr="00A11E73" w14:paraId="68E91F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4B6A" w:rsidRDefault="00CB3578" w14:paraId="7D570A9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4B6A" w:rsidRDefault="00CB3578" w14:paraId="0F3E6D05" w14:textId="77777777">
            <w:pPr>
              <w:tabs>
                <w:tab w:val="left" w:pos="-1440"/>
                <w:tab w:val="left" w:pos="-720"/>
              </w:tabs>
              <w:suppressAutoHyphens/>
              <w:rPr>
                <w:rFonts w:ascii="Times New Roman" w:hAnsi="Times New Roman"/>
                <w:b/>
                <w:bCs/>
              </w:rPr>
            </w:pPr>
          </w:p>
        </w:tc>
      </w:tr>
      <w:tr w:rsidRPr="002168F4" w:rsidR="002A727C" w:rsidTr="00A11E73" w14:paraId="73A78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C4B6A" w:rsidRDefault="007C4B6A" w14:paraId="5274C94B" w14:textId="5B3FEABE">
            <w:pPr>
              <w:rPr>
                <w:rFonts w:ascii="Times New Roman" w:hAnsi="Times New Roman"/>
                <w:b/>
                <w:sz w:val="24"/>
              </w:rPr>
            </w:pPr>
            <w:r>
              <w:rPr>
                <w:rFonts w:ascii="Times New Roman" w:hAnsi="Times New Roman"/>
                <w:b/>
                <w:sz w:val="24"/>
              </w:rPr>
              <w:t>36 951</w:t>
            </w:r>
          </w:p>
        </w:tc>
        <w:tc>
          <w:tcPr>
            <w:tcW w:w="6590" w:type="dxa"/>
            <w:tcBorders>
              <w:top w:val="nil"/>
              <w:left w:val="nil"/>
              <w:bottom w:val="nil"/>
              <w:right w:val="nil"/>
            </w:tcBorders>
          </w:tcPr>
          <w:p w:rsidRPr="009E03F4" w:rsidR="002A727C" w:rsidP="007C4B6A" w:rsidRDefault="007C4B6A" w14:paraId="655B1E55" w14:textId="70C0DD0E">
            <w:pPr>
              <w:rPr>
                <w:rFonts w:ascii="Times New Roman" w:hAnsi="Times New Roman"/>
                <w:b/>
                <w:bCs/>
                <w:sz w:val="24"/>
              </w:rPr>
            </w:pPr>
            <w:r w:rsidRPr="007C4B6A">
              <w:rPr>
                <w:rFonts w:ascii="Times New Roman" w:hAnsi="Times New Roman"/>
                <w:b/>
                <w:bCs/>
                <w:sz w:val="24"/>
              </w:rPr>
              <w:t>Verklaring dat er grond bestaat een voorstel in overweging te nemen tot verandering in de Grondwet van de bepaling inzake de vervolging en berechting van ambtsdelicten die</w:t>
            </w:r>
            <w:r w:rsidR="009E03F4">
              <w:rPr>
                <w:rFonts w:ascii="Times New Roman" w:hAnsi="Times New Roman"/>
                <w:b/>
                <w:bCs/>
                <w:sz w:val="24"/>
              </w:rPr>
              <w:t xml:space="preserve"> </w:t>
            </w:r>
            <w:r w:rsidRPr="007C4B6A">
              <w:rPr>
                <w:rFonts w:ascii="Times New Roman" w:hAnsi="Times New Roman"/>
                <w:b/>
                <w:bCs/>
                <w:sz w:val="24"/>
              </w:rPr>
              <w:t>zijn begaan door leden van de Staten-Generaal, ministers en staatssecretarissen</w:t>
            </w:r>
          </w:p>
        </w:tc>
      </w:tr>
      <w:tr w:rsidRPr="002168F4" w:rsidR="00CB3578" w:rsidTr="00A11E73" w14:paraId="6C9F33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4B6A" w:rsidRDefault="00CB3578" w14:paraId="7CC440D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4B6A" w:rsidRDefault="00CB3578" w14:paraId="0FF95E31" w14:textId="77777777">
            <w:pPr>
              <w:pStyle w:val="Amendement"/>
              <w:rPr>
                <w:rFonts w:ascii="Times New Roman" w:hAnsi="Times New Roman" w:cs="Times New Roman"/>
              </w:rPr>
            </w:pPr>
          </w:p>
        </w:tc>
      </w:tr>
      <w:tr w:rsidRPr="002168F4" w:rsidR="00CB3578" w:rsidTr="00A11E73" w14:paraId="2EDD70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4B6A" w:rsidRDefault="00CB3578" w14:paraId="328E3E5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4B6A" w:rsidRDefault="00CB3578" w14:paraId="15F9E546" w14:textId="77777777">
            <w:pPr>
              <w:pStyle w:val="Amendement"/>
              <w:rPr>
                <w:rFonts w:ascii="Times New Roman" w:hAnsi="Times New Roman" w:cs="Times New Roman"/>
              </w:rPr>
            </w:pPr>
          </w:p>
        </w:tc>
      </w:tr>
      <w:tr w:rsidRPr="002168F4" w:rsidR="00CB3578" w:rsidTr="00A11E73" w14:paraId="3D25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4B6A" w:rsidRDefault="00CB3578" w14:paraId="0026DA4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7C4B6A" w:rsidRDefault="00CB3578" w14:paraId="6D8FB52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4174A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4B6A" w:rsidRDefault="00CB3578" w14:paraId="5876530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4B6A" w:rsidRDefault="00CB3578" w14:paraId="4E5CAAF5" w14:textId="77777777">
            <w:pPr>
              <w:pStyle w:val="Amendement"/>
              <w:rPr>
                <w:rFonts w:ascii="Times New Roman" w:hAnsi="Times New Roman" w:cs="Times New Roman"/>
              </w:rPr>
            </w:pPr>
          </w:p>
        </w:tc>
      </w:tr>
    </w:tbl>
    <w:p w:rsidRPr="007C4B6A" w:rsidR="007C4B6A" w:rsidP="007C4B6A" w:rsidRDefault="007C4B6A" w14:paraId="01678B95" w14:textId="29904F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4B6A">
        <w:rPr>
          <w:rFonts w:ascii="Times New Roman" w:hAnsi="Times New Roman"/>
          <w:sz w:val="24"/>
          <w:szCs w:val="20"/>
        </w:rPr>
        <w:t>Wij Willem-Alexander, bij de gratie Gods, Koning der Nederlanden, Prins van Oranje-Nassau, enz. enz. enz.</w:t>
      </w:r>
    </w:p>
    <w:p w:rsidR="007C4B6A" w:rsidP="007C4B6A" w:rsidRDefault="007C4B6A" w14:paraId="66F29AF1" w14:textId="77777777">
      <w:pPr>
        <w:tabs>
          <w:tab w:val="left" w:pos="284"/>
          <w:tab w:val="left" w:pos="567"/>
          <w:tab w:val="left" w:pos="851"/>
        </w:tabs>
        <w:rPr>
          <w:rFonts w:ascii="Times New Roman" w:hAnsi="Times New Roman"/>
          <w:sz w:val="24"/>
          <w:szCs w:val="20"/>
        </w:rPr>
      </w:pPr>
    </w:p>
    <w:p w:rsidRPr="007C4B6A" w:rsidR="007C4B6A" w:rsidP="007C4B6A" w:rsidRDefault="007C4B6A" w14:paraId="7C627A2A" w14:textId="042EEED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4B6A">
        <w:rPr>
          <w:rFonts w:ascii="Times New Roman" w:hAnsi="Times New Roman"/>
          <w:sz w:val="24"/>
          <w:szCs w:val="20"/>
        </w:rPr>
        <w:t>Allen, die deze zullen zien of horen lezen, saluut! doen te weten:</w:t>
      </w:r>
    </w:p>
    <w:p w:rsidRPr="007C4B6A" w:rsidR="007C4B6A" w:rsidP="007C4B6A" w:rsidRDefault="007C4B6A" w14:paraId="68F58F73" w14:textId="178E499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4B6A">
        <w:rPr>
          <w:rFonts w:ascii="Times New Roman" w:hAnsi="Times New Roman"/>
          <w:sz w:val="24"/>
          <w:szCs w:val="20"/>
        </w:rPr>
        <w:t>Alzo Wij in overweging genomen hebben, dat er grond bestaat een voorstel in overweging te nemen tot verandering in de Grondwet van de bepaling inzake vervolging en berechting van ambtsdelicten die zijn gepleegd door leden van de Staten-Generaal, ministers of staatssecretarissen;</w:t>
      </w:r>
    </w:p>
    <w:p w:rsidRPr="007C4B6A" w:rsidR="007C4B6A" w:rsidP="007C4B6A" w:rsidRDefault="007C4B6A" w14:paraId="2F8D0D43" w14:textId="48A8D26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4B6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C4B6A" w:rsidP="007C4B6A" w:rsidRDefault="007C4B6A" w14:paraId="0CE57F47" w14:textId="77777777">
      <w:pPr>
        <w:tabs>
          <w:tab w:val="left" w:pos="284"/>
          <w:tab w:val="left" w:pos="567"/>
          <w:tab w:val="left" w:pos="851"/>
        </w:tabs>
        <w:rPr>
          <w:rFonts w:ascii="Times New Roman" w:hAnsi="Times New Roman"/>
          <w:sz w:val="24"/>
          <w:szCs w:val="20"/>
        </w:rPr>
      </w:pPr>
    </w:p>
    <w:p w:rsidR="007C4B6A" w:rsidP="007C4B6A" w:rsidRDefault="007C4B6A" w14:paraId="3BE7DE4A" w14:textId="77777777">
      <w:pPr>
        <w:tabs>
          <w:tab w:val="left" w:pos="284"/>
          <w:tab w:val="left" w:pos="567"/>
          <w:tab w:val="left" w:pos="851"/>
        </w:tabs>
        <w:rPr>
          <w:rFonts w:ascii="Times New Roman" w:hAnsi="Times New Roman"/>
          <w:sz w:val="24"/>
          <w:szCs w:val="20"/>
        </w:rPr>
      </w:pPr>
    </w:p>
    <w:p w:rsidRPr="007C4B6A" w:rsidR="007C4B6A" w:rsidP="007C4B6A" w:rsidRDefault="007C4B6A" w14:paraId="51429F0D" w14:textId="5B508AC0">
      <w:pPr>
        <w:tabs>
          <w:tab w:val="left" w:pos="284"/>
          <w:tab w:val="left" w:pos="567"/>
          <w:tab w:val="left" w:pos="851"/>
        </w:tabs>
        <w:rPr>
          <w:rFonts w:ascii="Times New Roman" w:hAnsi="Times New Roman"/>
          <w:b/>
          <w:bCs/>
          <w:sz w:val="24"/>
          <w:szCs w:val="20"/>
        </w:rPr>
      </w:pPr>
      <w:r w:rsidRPr="007C4B6A">
        <w:rPr>
          <w:rFonts w:ascii="Times New Roman" w:hAnsi="Times New Roman"/>
          <w:b/>
          <w:bCs/>
          <w:sz w:val="24"/>
          <w:szCs w:val="20"/>
        </w:rPr>
        <w:t>ARTIKEL I</w:t>
      </w:r>
    </w:p>
    <w:p w:rsidR="007C4B6A" w:rsidP="007C4B6A" w:rsidRDefault="007C4B6A" w14:paraId="56B9738E" w14:textId="77777777">
      <w:pPr>
        <w:tabs>
          <w:tab w:val="left" w:pos="284"/>
          <w:tab w:val="left" w:pos="567"/>
          <w:tab w:val="left" w:pos="851"/>
        </w:tabs>
        <w:rPr>
          <w:rFonts w:ascii="Times New Roman" w:hAnsi="Times New Roman"/>
          <w:sz w:val="24"/>
          <w:szCs w:val="20"/>
        </w:rPr>
      </w:pPr>
    </w:p>
    <w:p w:rsidRPr="007C4B6A" w:rsidR="007C4B6A" w:rsidP="007C4B6A" w:rsidRDefault="007C4B6A" w14:paraId="03DC9C27" w14:textId="2392F9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4B6A">
        <w:rPr>
          <w:rFonts w:ascii="Times New Roman" w:hAnsi="Times New Roman"/>
          <w:sz w:val="24"/>
          <w:szCs w:val="20"/>
        </w:rPr>
        <w:t>Er bestaat grond het hierna in de artikelen II en III omschreven voorstel tot verandering in de Grondwet in overweging te nemen.</w:t>
      </w:r>
    </w:p>
    <w:p w:rsidR="007C4B6A" w:rsidP="007C4B6A" w:rsidRDefault="007C4B6A" w14:paraId="41B52AF7" w14:textId="77777777">
      <w:pPr>
        <w:tabs>
          <w:tab w:val="left" w:pos="284"/>
          <w:tab w:val="left" w:pos="567"/>
          <w:tab w:val="left" w:pos="851"/>
        </w:tabs>
        <w:rPr>
          <w:rFonts w:ascii="Times New Roman" w:hAnsi="Times New Roman"/>
          <w:sz w:val="24"/>
          <w:szCs w:val="20"/>
        </w:rPr>
      </w:pPr>
    </w:p>
    <w:p w:rsidR="007C4B6A" w:rsidP="007C4B6A" w:rsidRDefault="007C4B6A" w14:paraId="0FA45D58" w14:textId="77777777">
      <w:pPr>
        <w:tabs>
          <w:tab w:val="left" w:pos="284"/>
          <w:tab w:val="left" w:pos="567"/>
          <w:tab w:val="left" w:pos="851"/>
        </w:tabs>
        <w:rPr>
          <w:rFonts w:ascii="Times New Roman" w:hAnsi="Times New Roman"/>
          <w:sz w:val="24"/>
          <w:szCs w:val="20"/>
        </w:rPr>
      </w:pPr>
    </w:p>
    <w:p w:rsidRPr="007C4B6A" w:rsidR="007C4B6A" w:rsidP="007C4B6A" w:rsidRDefault="007C4B6A" w14:paraId="415F4342" w14:textId="5E3E1B26">
      <w:pPr>
        <w:tabs>
          <w:tab w:val="left" w:pos="284"/>
          <w:tab w:val="left" w:pos="567"/>
          <w:tab w:val="left" w:pos="851"/>
        </w:tabs>
        <w:rPr>
          <w:rFonts w:ascii="Times New Roman" w:hAnsi="Times New Roman"/>
          <w:b/>
          <w:bCs/>
          <w:sz w:val="24"/>
          <w:szCs w:val="20"/>
        </w:rPr>
      </w:pPr>
      <w:r w:rsidRPr="007C4B6A">
        <w:rPr>
          <w:rFonts w:ascii="Times New Roman" w:hAnsi="Times New Roman"/>
          <w:b/>
          <w:bCs/>
          <w:sz w:val="24"/>
          <w:szCs w:val="20"/>
        </w:rPr>
        <w:t>ARTIKEL II</w:t>
      </w:r>
    </w:p>
    <w:p w:rsidR="007C4B6A" w:rsidP="007C4B6A" w:rsidRDefault="007C4B6A" w14:paraId="50CD6D7D" w14:textId="77777777">
      <w:pPr>
        <w:tabs>
          <w:tab w:val="left" w:pos="284"/>
          <w:tab w:val="left" w:pos="567"/>
          <w:tab w:val="left" w:pos="851"/>
        </w:tabs>
        <w:rPr>
          <w:rFonts w:ascii="Times New Roman" w:hAnsi="Times New Roman"/>
          <w:sz w:val="24"/>
          <w:szCs w:val="20"/>
        </w:rPr>
      </w:pPr>
    </w:p>
    <w:p w:rsidRPr="007C4B6A" w:rsidR="007C4B6A" w:rsidP="007C4B6A" w:rsidRDefault="007C4B6A" w14:paraId="7EA41290" w14:textId="169127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4B6A">
        <w:rPr>
          <w:rFonts w:ascii="Times New Roman" w:hAnsi="Times New Roman"/>
          <w:sz w:val="24"/>
          <w:szCs w:val="20"/>
        </w:rPr>
        <w:t>Artikel 119 komt te luiden:</w:t>
      </w:r>
    </w:p>
    <w:p w:rsidR="007C4B6A" w:rsidP="007C4B6A" w:rsidRDefault="007C4B6A" w14:paraId="13B8FBB1" w14:textId="77777777">
      <w:pPr>
        <w:tabs>
          <w:tab w:val="left" w:pos="284"/>
          <w:tab w:val="left" w:pos="567"/>
          <w:tab w:val="left" w:pos="851"/>
        </w:tabs>
        <w:rPr>
          <w:rFonts w:ascii="Times New Roman" w:hAnsi="Times New Roman"/>
          <w:sz w:val="24"/>
          <w:szCs w:val="20"/>
        </w:rPr>
      </w:pPr>
    </w:p>
    <w:p w:rsidRPr="007C4B6A" w:rsidR="007C4B6A" w:rsidP="007C4B6A" w:rsidRDefault="007C4B6A" w14:paraId="77692B79" w14:textId="73EE301F">
      <w:pPr>
        <w:tabs>
          <w:tab w:val="left" w:pos="284"/>
          <w:tab w:val="left" w:pos="567"/>
          <w:tab w:val="left" w:pos="851"/>
        </w:tabs>
        <w:rPr>
          <w:rFonts w:ascii="Times New Roman" w:hAnsi="Times New Roman"/>
          <w:b/>
          <w:bCs/>
          <w:sz w:val="24"/>
          <w:szCs w:val="20"/>
        </w:rPr>
      </w:pPr>
      <w:r w:rsidRPr="007C4B6A">
        <w:rPr>
          <w:rFonts w:ascii="Times New Roman" w:hAnsi="Times New Roman"/>
          <w:b/>
          <w:bCs/>
          <w:sz w:val="24"/>
          <w:szCs w:val="20"/>
        </w:rPr>
        <w:t>Artikel 119</w:t>
      </w:r>
    </w:p>
    <w:p w:rsidR="007C4B6A" w:rsidP="007C4B6A" w:rsidRDefault="007C4B6A" w14:paraId="165F431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7C4B6A" w:rsidR="007C4B6A" w:rsidP="007C4B6A" w:rsidRDefault="007C4B6A" w14:paraId="18B5C941" w14:textId="5F9C9F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4B6A">
        <w:rPr>
          <w:rFonts w:ascii="Times New Roman" w:hAnsi="Times New Roman"/>
          <w:sz w:val="24"/>
          <w:szCs w:val="20"/>
        </w:rPr>
        <w:t xml:space="preserve">De procureur-generaal bij de Hoge Raad is, behoudens in de gevallen bij de wet bepaald, belast met het geven van de opdracht tot de vervolging van de leden van de Staten-Generaal, de ministers en de staatssecretarissen, ook na hun aftreden, wegens ambtsdelicten die in die betrekkingen zijn begaan. </w:t>
      </w:r>
    </w:p>
    <w:p w:rsidR="007C4B6A" w:rsidP="007C4B6A" w:rsidRDefault="007C4B6A" w14:paraId="7E430BC5" w14:textId="77777777">
      <w:pPr>
        <w:tabs>
          <w:tab w:val="left" w:pos="284"/>
          <w:tab w:val="left" w:pos="567"/>
          <w:tab w:val="left" w:pos="851"/>
        </w:tabs>
        <w:rPr>
          <w:rFonts w:ascii="Times New Roman" w:hAnsi="Times New Roman"/>
          <w:sz w:val="24"/>
          <w:szCs w:val="20"/>
        </w:rPr>
      </w:pPr>
    </w:p>
    <w:p w:rsidR="007C4B6A" w:rsidP="007C4B6A" w:rsidRDefault="007C4B6A" w14:paraId="219B9A0A" w14:textId="77777777">
      <w:pPr>
        <w:tabs>
          <w:tab w:val="left" w:pos="284"/>
          <w:tab w:val="left" w:pos="567"/>
          <w:tab w:val="left" w:pos="851"/>
        </w:tabs>
        <w:rPr>
          <w:rFonts w:ascii="Times New Roman" w:hAnsi="Times New Roman"/>
          <w:sz w:val="24"/>
          <w:szCs w:val="20"/>
        </w:rPr>
      </w:pPr>
    </w:p>
    <w:p w:rsidRPr="007C4B6A" w:rsidR="007C4B6A" w:rsidP="007C4B6A" w:rsidRDefault="007C4B6A" w14:paraId="10F685AD" w14:textId="6D278EBB">
      <w:pPr>
        <w:tabs>
          <w:tab w:val="left" w:pos="284"/>
          <w:tab w:val="left" w:pos="567"/>
          <w:tab w:val="left" w:pos="851"/>
        </w:tabs>
        <w:rPr>
          <w:rFonts w:ascii="Times New Roman" w:hAnsi="Times New Roman"/>
          <w:b/>
          <w:bCs/>
          <w:sz w:val="24"/>
          <w:szCs w:val="20"/>
        </w:rPr>
      </w:pPr>
      <w:r w:rsidRPr="007C4B6A">
        <w:rPr>
          <w:rFonts w:ascii="Times New Roman" w:hAnsi="Times New Roman"/>
          <w:b/>
          <w:bCs/>
          <w:sz w:val="24"/>
          <w:szCs w:val="20"/>
        </w:rPr>
        <w:t>ARTIKEL III</w:t>
      </w:r>
    </w:p>
    <w:p w:rsidR="007C4B6A" w:rsidP="007C4B6A" w:rsidRDefault="007C4B6A" w14:paraId="38B4464A" w14:textId="77777777">
      <w:pPr>
        <w:tabs>
          <w:tab w:val="left" w:pos="284"/>
          <w:tab w:val="left" w:pos="567"/>
          <w:tab w:val="left" w:pos="851"/>
        </w:tabs>
        <w:rPr>
          <w:rFonts w:ascii="Times New Roman" w:hAnsi="Times New Roman"/>
          <w:sz w:val="24"/>
          <w:szCs w:val="20"/>
        </w:rPr>
      </w:pPr>
    </w:p>
    <w:p w:rsidRPr="007C4B6A" w:rsidR="007C4B6A" w:rsidP="007C4B6A" w:rsidRDefault="007C4B6A" w14:paraId="5C730720" w14:textId="5F50BB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4B6A">
        <w:rPr>
          <w:rFonts w:ascii="Times New Roman" w:hAnsi="Times New Roman"/>
          <w:sz w:val="24"/>
          <w:szCs w:val="20"/>
        </w:rPr>
        <w:t>Aan de Grondwet wordt het volgende additionele artikel toegevoegd:</w:t>
      </w:r>
    </w:p>
    <w:p w:rsidR="007C4B6A" w:rsidP="007C4B6A" w:rsidRDefault="007C4B6A" w14:paraId="53C59E24" w14:textId="77777777">
      <w:pPr>
        <w:tabs>
          <w:tab w:val="left" w:pos="284"/>
          <w:tab w:val="left" w:pos="567"/>
          <w:tab w:val="left" w:pos="851"/>
        </w:tabs>
        <w:rPr>
          <w:rFonts w:ascii="Times New Roman" w:hAnsi="Times New Roman"/>
          <w:sz w:val="24"/>
          <w:szCs w:val="20"/>
        </w:rPr>
      </w:pPr>
    </w:p>
    <w:p w:rsidRPr="007C4B6A" w:rsidR="007C4B6A" w:rsidP="007C4B6A" w:rsidRDefault="007C4B6A" w14:paraId="43E54931" w14:textId="76F9447E">
      <w:pPr>
        <w:tabs>
          <w:tab w:val="left" w:pos="284"/>
          <w:tab w:val="left" w:pos="567"/>
          <w:tab w:val="left" w:pos="851"/>
        </w:tabs>
        <w:rPr>
          <w:rFonts w:ascii="Times New Roman" w:hAnsi="Times New Roman"/>
          <w:b/>
          <w:bCs/>
          <w:sz w:val="24"/>
          <w:szCs w:val="20"/>
        </w:rPr>
      </w:pPr>
      <w:r w:rsidRPr="007C4B6A">
        <w:rPr>
          <w:rFonts w:ascii="Times New Roman" w:hAnsi="Times New Roman"/>
          <w:b/>
          <w:bCs/>
          <w:sz w:val="24"/>
          <w:szCs w:val="20"/>
        </w:rPr>
        <w:t>ARTIKEL I</w:t>
      </w:r>
    </w:p>
    <w:p w:rsidRPr="007C4B6A" w:rsidR="007C4B6A" w:rsidP="007C4B6A" w:rsidRDefault="007C4B6A" w14:paraId="12C09F96" w14:textId="77777777">
      <w:pPr>
        <w:tabs>
          <w:tab w:val="left" w:pos="284"/>
          <w:tab w:val="left" w:pos="567"/>
          <w:tab w:val="left" w:pos="851"/>
        </w:tabs>
        <w:rPr>
          <w:rFonts w:ascii="Times New Roman" w:hAnsi="Times New Roman"/>
          <w:sz w:val="24"/>
          <w:szCs w:val="20"/>
        </w:rPr>
      </w:pPr>
    </w:p>
    <w:p w:rsidRPr="007C4B6A" w:rsidR="007C4B6A" w:rsidP="007C4B6A" w:rsidRDefault="007C4B6A" w14:paraId="4E35AC39" w14:textId="02B7090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7C4B6A">
        <w:rPr>
          <w:rFonts w:ascii="Times New Roman" w:hAnsi="Times New Roman"/>
          <w:sz w:val="24"/>
          <w:szCs w:val="20"/>
        </w:rPr>
        <w:t>1. Artikel 119 naar de tekst van 1983 blijft gedurende vijf jaren of een bij de wet te bepalen kortere termijn van kracht. Deze termijn kan bij de wet voor ten hoogste vijf jaren worden verlengd.</w:t>
      </w:r>
    </w:p>
    <w:p w:rsidRPr="007C4B6A" w:rsidR="007C4B6A" w:rsidP="007C4B6A" w:rsidRDefault="007C4B6A" w14:paraId="7C1CF539" w14:textId="42E1E2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4B6A">
        <w:rPr>
          <w:rFonts w:ascii="Times New Roman" w:hAnsi="Times New Roman"/>
          <w:sz w:val="24"/>
          <w:szCs w:val="20"/>
        </w:rPr>
        <w:t>2. Indien voor het einde van de in het eerste lid bedoelde termijn opdracht is gegeven tot vervolging van een ambtsmisdrijf op grond van artikel 119 naar de tekst van 1983, blijft het recht naar de tekst van 1983 met betrekking tot die opdracht van toepassing tot en met de dag waarop de Hoge Raad hierover uitspraak doet.</w:t>
      </w:r>
    </w:p>
    <w:p w:rsidRPr="007C4B6A" w:rsidR="007C4B6A" w:rsidP="007C4B6A" w:rsidRDefault="007C4B6A" w14:paraId="7DF888D5" w14:textId="6EB19E7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4B6A">
        <w:rPr>
          <w:rFonts w:ascii="Times New Roman" w:hAnsi="Times New Roman"/>
          <w:sz w:val="24"/>
          <w:szCs w:val="20"/>
        </w:rPr>
        <w:t>3. Dit additionele artikel vervalt met ingang van de dag waarop de termijn, bedoeld in het eerste lid, eindigt, tenzij een of meerdere opdrachten zijn gegeven als bedoeld in het tweede lid. In dat geval vervalt dit additionele artikel met ingang van de dag na die waarop de Hoge Raad in verband met de laatste van dergelijke opdrachten uitspraak doet.</w:t>
      </w:r>
    </w:p>
    <w:p w:rsidRPr="007C4B6A" w:rsidR="007C4B6A" w:rsidP="007C4B6A" w:rsidRDefault="007C4B6A" w14:paraId="42A660C5" w14:textId="77777777">
      <w:pPr>
        <w:tabs>
          <w:tab w:val="left" w:pos="284"/>
          <w:tab w:val="left" w:pos="567"/>
          <w:tab w:val="left" w:pos="851"/>
        </w:tabs>
        <w:rPr>
          <w:rFonts w:ascii="Times New Roman" w:hAnsi="Times New Roman"/>
          <w:sz w:val="24"/>
          <w:szCs w:val="20"/>
        </w:rPr>
      </w:pPr>
    </w:p>
    <w:p w:rsidRPr="007C4B6A" w:rsidR="007C4B6A" w:rsidP="007C4B6A" w:rsidRDefault="007C4B6A" w14:paraId="27ED98DA" w14:textId="77777777">
      <w:pPr>
        <w:tabs>
          <w:tab w:val="left" w:pos="284"/>
          <w:tab w:val="left" w:pos="567"/>
          <w:tab w:val="left" w:pos="851"/>
        </w:tabs>
        <w:rPr>
          <w:rFonts w:ascii="Times New Roman" w:hAnsi="Times New Roman"/>
          <w:sz w:val="24"/>
          <w:szCs w:val="20"/>
        </w:rPr>
      </w:pPr>
    </w:p>
    <w:p w:rsidRPr="007C4B6A" w:rsidR="007C4B6A" w:rsidP="007C4B6A" w:rsidRDefault="007C4B6A" w14:paraId="610D9FE3" w14:textId="2F1A588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4B6A">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7C4B6A" w:rsidR="007C4B6A" w:rsidP="007C4B6A" w:rsidRDefault="007C4B6A" w14:paraId="62BBA63F" w14:textId="77777777">
      <w:pPr>
        <w:tabs>
          <w:tab w:val="left" w:pos="284"/>
          <w:tab w:val="left" w:pos="567"/>
          <w:tab w:val="left" w:pos="851"/>
        </w:tabs>
        <w:rPr>
          <w:rFonts w:ascii="Times New Roman" w:hAnsi="Times New Roman"/>
          <w:sz w:val="24"/>
          <w:szCs w:val="20"/>
        </w:rPr>
      </w:pPr>
    </w:p>
    <w:p w:rsidRPr="007C4B6A" w:rsidR="007C4B6A" w:rsidP="007C4B6A" w:rsidRDefault="007C4B6A" w14:paraId="53E5B679" w14:textId="77777777">
      <w:pPr>
        <w:tabs>
          <w:tab w:val="left" w:pos="284"/>
          <w:tab w:val="left" w:pos="567"/>
          <w:tab w:val="left" w:pos="851"/>
        </w:tabs>
        <w:rPr>
          <w:rFonts w:ascii="Times New Roman" w:hAnsi="Times New Roman"/>
          <w:sz w:val="24"/>
          <w:szCs w:val="20"/>
        </w:rPr>
      </w:pPr>
      <w:r w:rsidRPr="007C4B6A">
        <w:rPr>
          <w:rFonts w:ascii="Times New Roman" w:hAnsi="Times New Roman"/>
          <w:sz w:val="24"/>
          <w:szCs w:val="20"/>
        </w:rPr>
        <w:t>Gegeven</w:t>
      </w:r>
    </w:p>
    <w:p w:rsidR="007C4B6A" w:rsidP="007C4B6A" w:rsidRDefault="007C4B6A" w14:paraId="2E9615E7" w14:textId="77777777">
      <w:pPr>
        <w:tabs>
          <w:tab w:val="left" w:pos="284"/>
          <w:tab w:val="left" w:pos="567"/>
          <w:tab w:val="left" w:pos="851"/>
        </w:tabs>
        <w:rPr>
          <w:rFonts w:ascii="Times New Roman" w:hAnsi="Times New Roman"/>
          <w:sz w:val="24"/>
          <w:szCs w:val="20"/>
        </w:rPr>
      </w:pPr>
    </w:p>
    <w:p w:rsidR="007C4B6A" w:rsidP="007C4B6A" w:rsidRDefault="007C4B6A" w14:paraId="00EA0C01" w14:textId="77777777">
      <w:pPr>
        <w:tabs>
          <w:tab w:val="left" w:pos="284"/>
          <w:tab w:val="left" w:pos="567"/>
          <w:tab w:val="left" w:pos="851"/>
        </w:tabs>
        <w:rPr>
          <w:rFonts w:ascii="Times New Roman" w:hAnsi="Times New Roman"/>
          <w:sz w:val="24"/>
          <w:szCs w:val="20"/>
        </w:rPr>
      </w:pPr>
    </w:p>
    <w:p w:rsidRPr="007C4B6A" w:rsidR="007C4B6A" w:rsidP="007C4B6A" w:rsidRDefault="007C4B6A" w14:paraId="4ED2FF81" w14:textId="77777777">
      <w:pPr>
        <w:tabs>
          <w:tab w:val="left" w:pos="284"/>
          <w:tab w:val="left" w:pos="567"/>
          <w:tab w:val="left" w:pos="851"/>
        </w:tabs>
        <w:rPr>
          <w:rFonts w:ascii="Times New Roman" w:hAnsi="Times New Roman"/>
          <w:sz w:val="24"/>
          <w:szCs w:val="20"/>
        </w:rPr>
      </w:pPr>
      <w:r w:rsidRPr="007C4B6A">
        <w:rPr>
          <w:rFonts w:ascii="Times New Roman" w:hAnsi="Times New Roman"/>
          <w:sz w:val="24"/>
          <w:szCs w:val="20"/>
        </w:rPr>
        <w:t xml:space="preserve">De Minister-President, Minister van Algemene Zaken, </w:t>
      </w:r>
    </w:p>
    <w:p w:rsidR="007C4B6A" w:rsidP="007C4B6A" w:rsidRDefault="007C4B6A" w14:paraId="2B646A7E" w14:textId="77777777">
      <w:pPr>
        <w:tabs>
          <w:tab w:val="left" w:pos="284"/>
          <w:tab w:val="left" w:pos="567"/>
          <w:tab w:val="left" w:pos="851"/>
        </w:tabs>
        <w:rPr>
          <w:rFonts w:ascii="Times New Roman" w:hAnsi="Times New Roman"/>
          <w:sz w:val="24"/>
          <w:szCs w:val="20"/>
        </w:rPr>
      </w:pPr>
    </w:p>
    <w:p w:rsidR="007C4B6A" w:rsidP="007C4B6A" w:rsidRDefault="007C4B6A" w14:paraId="75FC5C67" w14:textId="77777777">
      <w:pPr>
        <w:tabs>
          <w:tab w:val="left" w:pos="284"/>
          <w:tab w:val="left" w:pos="567"/>
          <w:tab w:val="left" w:pos="851"/>
        </w:tabs>
        <w:rPr>
          <w:rFonts w:ascii="Times New Roman" w:hAnsi="Times New Roman"/>
          <w:sz w:val="24"/>
          <w:szCs w:val="20"/>
        </w:rPr>
      </w:pPr>
    </w:p>
    <w:p w:rsidRPr="007C4B6A" w:rsidR="00252610" w:rsidP="007C4B6A" w:rsidRDefault="00252610" w14:paraId="15A12B62" w14:textId="77777777">
      <w:pPr>
        <w:tabs>
          <w:tab w:val="left" w:pos="284"/>
          <w:tab w:val="left" w:pos="567"/>
          <w:tab w:val="left" w:pos="851"/>
        </w:tabs>
        <w:rPr>
          <w:rFonts w:ascii="Times New Roman" w:hAnsi="Times New Roman"/>
          <w:sz w:val="24"/>
          <w:szCs w:val="20"/>
        </w:rPr>
      </w:pPr>
    </w:p>
    <w:p w:rsidRPr="007C4B6A" w:rsidR="007C4B6A" w:rsidP="007C4B6A" w:rsidRDefault="007C4B6A" w14:paraId="2AE6D20B" w14:textId="77777777">
      <w:pPr>
        <w:tabs>
          <w:tab w:val="left" w:pos="284"/>
          <w:tab w:val="left" w:pos="567"/>
          <w:tab w:val="left" w:pos="851"/>
        </w:tabs>
        <w:rPr>
          <w:rFonts w:ascii="Times New Roman" w:hAnsi="Times New Roman"/>
          <w:sz w:val="24"/>
          <w:szCs w:val="20"/>
        </w:rPr>
      </w:pPr>
      <w:r w:rsidRPr="007C4B6A">
        <w:rPr>
          <w:rFonts w:ascii="Times New Roman" w:hAnsi="Times New Roman"/>
          <w:sz w:val="24"/>
          <w:szCs w:val="20"/>
        </w:rPr>
        <w:t xml:space="preserve">De Minister van Binnenlandse Zaken en Koninkrijksrelaties, </w:t>
      </w:r>
    </w:p>
    <w:p w:rsidR="007C4B6A" w:rsidP="007C4B6A" w:rsidRDefault="007C4B6A" w14:paraId="49D582A9" w14:textId="77777777">
      <w:pPr>
        <w:tabs>
          <w:tab w:val="left" w:pos="284"/>
          <w:tab w:val="left" w:pos="567"/>
          <w:tab w:val="left" w:pos="851"/>
        </w:tabs>
        <w:rPr>
          <w:rFonts w:ascii="Times New Roman" w:hAnsi="Times New Roman"/>
          <w:sz w:val="24"/>
          <w:szCs w:val="20"/>
        </w:rPr>
      </w:pPr>
    </w:p>
    <w:p w:rsidR="00252610" w:rsidP="007C4B6A" w:rsidRDefault="00252610" w14:paraId="12CD81A1" w14:textId="77777777">
      <w:pPr>
        <w:tabs>
          <w:tab w:val="left" w:pos="284"/>
          <w:tab w:val="left" w:pos="567"/>
          <w:tab w:val="left" w:pos="851"/>
        </w:tabs>
        <w:rPr>
          <w:rFonts w:ascii="Times New Roman" w:hAnsi="Times New Roman"/>
          <w:sz w:val="24"/>
          <w:szCs w:val="20"/>
        </w:rPr>
      </w:pPr>
    </w:p>
    <w:p w:rsidRPr="007C4B6A" w:rsidR="007C4B6A" w:rsidP="007C4B6A" w:rsidRDefault="007C4B6A" w14:paraId="388A4E21" w14:textId="77777777">
      <w:pPr>
        <w:tabs>
          <w:tab w:val="left" w:pos="284"/>
          <w:tab w:val="left" w:pos="567"/>
          <w:tab w:val="left" w:pos="851"/>
        </w:tabs>
        <w:rPr>
          <w:rFonts w:ascii="Times New Roman" w:hAnsi="Times New Roman"/>
          <w:sz w:val="24"/>
          <w:szCs w:val="20"/>
        </w:rPr>
      </w:pPr>
    </w:p>
    <w:p w:rsidRPr="002168F4" w:rsidR="00CB3578" w:rsidP="007C4B6A" w:rsidRDefault="007C4B6A" w14:paraId="1C8A48E3" w14:textId="59260FBA">
      <w:pPr>
        <w:tabs>
          <w:tab w:val="left" w:pos="284"/>
          <w:tab w:val="left" w:pos="567"/>
          <w:tab w:val="left" w:pos="851"/>
        </w:tabs>
        <w:rPr>
          <w:rFonts w:ascii="Times New Roman" w:hAnsi="Times New Roman"/>
          <w:sz w:val="24"/>
          <w:szCs w:val="20"/>
        </w:rPr>
      </w:pPr>
      <w:r w:rsidRPr="007C4B6A">
        <w:rPr>
          <w:rFonts w:ascii="Times New Roman" w:hAnsi="Times New Roman"/>
          <w:sz w:val="24"/>
          <w:szCs w:val="20"/>
        </w:rPr>
        <w:t>De Minister van Justitie en Veiligheid,</w:t>
      </w:r>
    </w:p>
    <w:sectPr w:rsidRPr="002168F4" w:rsidR="00CB3578" w:rsidSect="000F64FA">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C5B4" w14:textId="77777777" w:rsidR="00D77EF9" w:rsidRDefault="00D77EF9">
      <w:pPr>
        <w:spacing w:line="20" w:lineRule="exact"/>
      </w:pPr>
    </w:p>
  </w:endnote>
  <w:endnote w:type="continuationSeparator" w:id="0">
    <w:p w14:paraId="697ADCEB" w14:textId="77777777" w:rsidR="00D77EF9" w:rsidRDefault="00D77EF9">
      <w:pPr>
        <w:pStyle w:val="Amendement"/>
      </w:pPr>
      <w:r>
        <w:rPr>
          <w:b w:val="0"/>
          <w:bCs w:val="0"/>
        </w:rPr>
        <w:t xml:space="preserve"> </w:t>
      </w:r>
    </w:p>
  </w:endnote>
  <w:endnote w:type="continuationNotice" w:id="1">
    <w:p w14:paraId="4A5536DF" w14:textId="77777777" w:rsidR="00D77EF9" w:rsidRDefault="00D77E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3B2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5742A6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1ED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3304" w14:textId="77777777" w:rsidR="00D77EF9" w:rsidRDefault="00D77EF9">
      <w:pPr>
        <w:pStyle w:val="Amendement"/>
      </w:pPr>
      <w:r>
        <w:rPr>
          <w:b w:val="0"/>
          <w:bCs w:val="0"/>
        </w:rPr>
        <w:separator/>
      </w:r>
    </w:p>
  </w:footnote>
  <w:footnote w:type="continuationSeparator" w:id="0">
    <w:p w14:paraId="5952032C" w14:textId="77777777" w:rsidR="00D77EF9" w:rsidRDefault="00D77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6A"/>
    <w:rsid w:val="00012DBE"/>
    <w:rsid w:val="000A1D81"/>
    <w:rsid w:val="000F64FA"/>
    <w:rsid w:val="00111ED3"/>
    <w:rsid w:val="001C190E"/>
    <w:rsid w:val="002168F4"/>
    <w:rsid w:val="00252610"/>
    <w:rsid w:val="002A727C"/>
    <w:rsid w:val="003A6071"/>
    <w:rsid w:val="005D2707"/>
    <w:rsid w:val="00606255"/>
    <w:rsid w:val="006B607A"/>
    <w:rsid w:val="00756208"/>
    <w:rsid w:val="007C4B6A"/>
    <w:rsid w:val="007D451C"/>
    <w:rsid w:val="00826224"/>
    <w:rsid w:val="00930A23"/>
    <w:rsid w:val="009C7354"/>
    <w:rsid w:val="009E03F4"/>
    <w:rsid w:val="009E6D7F"/>
    <w:rsid w:val="00A11E73"/>
    <w:rsid w:val="00A2521E"/>
    <w:rsid w:val="00AE436A"/>
    <w:rsid w:val="00C135B1"/>
    <w:rsid w:val="00C92DF8"/>
    <w:rsid w:val="00CB3578"/>
    <w:rsid w:val="00D20AFA"/>
    <w:rsid w:val="00D221F5"/>
    <w:rsid w:val="00D55648"/>
    <w:rsid w:val="00D77EF9"/>
    <w:rsid w:val="00D846B2"/>
    <w:rsid w:val="00E16443"/>
    <w:rsid w:val="00E354B7"/>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40E33"/>
  <w15:docId w15:val="{4A0B06C8-CD06-4B00-ADEC-996A1C34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430</ap:Words>
  <ap:Characters>2365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2026-05-26T09:39:00.0000000Z</dcterms:created>
  <dcterms:modified xsi:type="dcterms:W3CDTF">2026-05-26T09:40:00.0000000Z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